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1DE49" w14:textId="77777777" w:rsidR="006F42B9" w:rsidRDefault="00000000">
      <w:pPr>
        <w:spacing w:after="0" w:line="480" w:lineRule="auto"/>
        <w:jc w:val="center"/>
      </w:pPr>
      <w:r>
        <w:rPr>
          <w:b/>
        </w:rPr>
        <w:t>Chapter III</w:t>
      </w:r>
    </w:p>
    <w:p w14:paraId="0EC9A21D" w14:textId="77777777" w:rsidR="006F42B9" w:rsidRDefault="00000000">
      <w:pPr>
        <w:spacing w:after="0" w:line="480" w:lineRule="auto"/>
        <w:jc w:val="center"/>
      </w:pPr>
      <w:r>
        <w:rPr>
          <w:b/>
        </w:rPr>
        <w:t>Methodology</w:t>
      </w:r>
    </w:p>
    <w:p w14:paraId="685CF54B" w14:textId="77777777" w:rsidR="006F42B9" w:rsidRDefault="00000000">
      <w:pPr>
        <w:spacing w:after="0" w:line="480" w:lineRule="auto"/>
        <w:ind w:firstLine="720"/>
      </w:pPr>
      <w: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513B3861" w14:textId="77777777" w:rsidR="006F42B9" w:rsidRDefault="00000000">
      <w:pPr>
        <w:spacing w:after="0" w:line="480" w:lineRule="auto"/>
        <w:ind w:firstLine="720"/>
      </w:pPr>
      <w:r>
        <w:rPr>
          <w:b/>
        </w:rPr>
        <w:t xml:space="preserve">Research Approach: </w:t>
      </w:r>
      <w:r>
        <w:t>Establishes the theoretical framework, research variables, hypotheses, experimental design, and the technical apparatus utilized.</w:t>
      </w:r>
    </w:p>
    <w:p w14:paraId="67EEBDEC" w14:textId="77777777" w:rsidR="006F42B9" w:rsidRDefault="00000000">
      <w:pPr>
        <w:spacing w:after="0" w:line="480" w:lineRule="auto"/>
        <w:ind w:firstLine="720"/>
      </w:pPr>
      <w:r>
        <w:rPr>
          <w:b/>
        </w:rPr>
        <w:t xml:space="preserve">Sample: </w:t>
      </w:r>
      <w:r>
        <w:t>Outlines the multi-tiered macro and micro sampling frameworks used to categorize physical checkpoint environments and terminal architectures.</w:t>
      </w:r>
    </w:p>
    <w:p w14:paraId="4CF8FB06" w14:textId="77777777" w:rsidR="006F42B9" w:rsidRDefault="00000000">
      <w:pPr>
        <w:spacing w:after="0" w:line="480" w:lineRule="auto"/>
        <w:ind w:firstLine="720"/>
      </w:pPr>
      <w:r>
        <w:rPr>
          <w:b/>
        </w:rPr>
        <w:t xml:space="preserve">Sources of Data: </w:t>
      </w:r>
      <w:r>
        <w:t>Identifies the primary authorized data repositories supplying the longitudinal datasets.</w:t>
      </w:r>
    </w:p>
    <w:p w14:paraId="06C2EB6D" w14:textId="77777777" w:rsidR="006F42B9" w:rsidRDefault="00000000">
      <w:pPr>
        <w:spacing w:after="0" w:line="480" w:lineRule="auto"/>
        <w:ind w:firstLine="720"/>
      </w:pPr>
      <w:r>
        <w:rPr>
          <w:b/>
        </w:rPr>
        <w:t xml:space="preserve">Validity: </w:t>
      </w:r>
      <w:r>
        <w:t>Addresses and controls internal and construct threats, specifically related to passenger flow bias and screening lane heterogeneity.</w:t>
      </w:r>
    </w:p>
    <w:p w14:paraId="7ECE6AB1" w14:textId="77777777" w:rsidR="006F42B9" w:rsidRDefault="00000000">
      <w:pPr>
        <w:spacing w:after="0" w:line="480" w:lineRule="auto"/>
        <w:ind w:firstLine="720"/>
      </w:pPr>
      <w:r>
        <w:rPr>
          <w:b/>
        </w:rPr>
        <w:t xml:space="preserve">Treatment of Data: </w:t>
      </w:r>
      <w:r>
        <w:t>Details the sequential pipeline used to ingest, clean, standardize, and align the data sources.</w:t>
      </w:r>
    </w:p>
    <w:p w14:paraId="4FE00E0C" w14:textId="77777777" w:rsidR="006F42B9" w:rsidRDefault="00000000">
      <w:pPr>
        <w:spacing w:after="0" w:line="480" w:lineRule="auto"/>
      </w:pPr>
      <w:r>
        <w:rPr>
          <w:b/>
        </w:rPr>
        <w:t>Research Approach</w:t>
      </w:r>
    </w:p>
    <w:p w14:paraId="6187C50A" w14:textId="77777777" w:rsidR="006F42B9" w:rsidRDefault="00000000">
      <w:pPr>
        <w:spacing w:after="0" w:line="480" w:lineRule="auto"/>
        <w:ind w:firstLine="720"/>
      </w:pPr>
      <w:r>
        <w:t xml:space="preserve">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 – including static deterministic baselines – it asserts that to truly optimize checkpoint flows, terminal subsystems (i.e., check-in, security screening, and boarding) must ultimately be treated as a stochastic queuing network capable of absorbing dynamic, schedule-driven variability (De Neufville &amp; Odoni, 2014). The primary objective is a comparison of three </w:t>
      </w:r>
      <w:r>
        <w:lastRenderedPageBreak/>
        <w:t>model families (Figure 1):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309EF2F1" w14:textId="77777777" w:rsidR="006F42B9" w:rsidRDefault="00000000">
      <w:pPr>
        <w:spacing w:after="0" w:line="480" w:lineRule="auto"/>
      </w:pPr>
      <w:r>
        <w:rPr>
          <w:b/>
        </w:rPr>
        <w:t>Figure 1</w:t>
      </w:r>
    </w:p>
    <w:p w14:paraId="5CDAC703" w14:textId="2F50E15A" w:rsidR="006F42B9" w:rsidRDefault="00000000">
      <w:pPr>
        <w:spacing w:after="0" w:line="480" w:lineRule="auto"/>
      </w:pPr>
      <w:r>
        <w:rPr>
          <w:i/>
        </w:rPr>
        <w:t>Forecasting Model Family Comparison</w:t>
      </w:r>
      <w:r w:rsidR="00E947C4">
        <w:rPr>
          <w:noProof/>
        </w:rPr>
        <w:drawing>
          <wp:inline distT="0" distB="0" distL="0" distR="0" wp14:anchorId="4CE2140F" wp14:editId="5FE5EDAC">
            <wp:extent cx="5270500" cy="2197100"/>
            <wp:effectExtent l="0" t="0" r="0" b="0"/>
            <wp:docPr id="10159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9753" name="Picture 1015989753"/>
                    <pic:cNvPicPr/>
                  </pic:nvPicPr>
                  <pic:blipFill>
                    <a:blip r:embed="rId6"/>
                    <a:stretch>
                      <a:fillRect/>
                    </a:stretch>
                  </pic:blipFill>
                  <pic:spPr>
                    <a:xfrm>
                      <a:off x="0" y="0"/>
                      <a:ext cx="5270500" cy="2197100"/>
                    </a:xfrm>
                    <a:prstGeom prst="rect">
                      <a:avLst/>
                    </a:prstGeom>
                  </pic:spPr>
                </pic:pic>
              </a:graphicData>
            </a:graphic>
          </wp:inline>
        </w:drawing>
      </w:r>
    </w:p>
    <w:p w14:paraId="52E0BEE0" w14:textId="77777777" w:rsidR="006F42B9" w:rsidRDefault="00000000">
      <w:pPr>
        <w:spacing w:after="0" w:line="480" w:lineRule="auto"/>
        <w:ind w:firstLine="720"/>
      </w:pPr>
      <w:r>
        <w:t>The predictive capabilities of each model configuration focus on three core performance measures: robustness, resilience, and generalizability. In this investigation:</w:t>
      </w:r>
    </w:p>
    <w:p w14:paraId="13077B2F" w14:textId="77777777" w:rsidR="006F42B9" w:rsidRDefault="00000000">
      <w:pPr>
        <w:spacing w:after="0" w:line="480" w:lineRule="auto"/>
        <w:ind w:left="720" w:hanging="360"/>
      </w:pPr>
      <w:r>
        <w:t>•</w:t>
      </w:r>
      <w:r>
        <w:tab/>
      </w:r>
      <w:r>
        <w:rPr>
          <w:b/>
        </w:rPr>
        <w:t xml:space="preserve">Robustness: </w:t>
      </w:r>
      <w:r>
        <w:t>Consistency and precision under nominal on-time operating conditions and routine daily operations.</w:t>
      </w:r>
    </w:p>
    <w:p w14:paraId="210D6B74" w14:textId="77777777" w:rsidR="006F42B9" w:rsidRDefault="00000000">
      <w:pPr>
        <w:spacing w:after="0" w:line="480" w:lineRule="auto"/>
        <w:ind w:left="720" w:hanging="360"/>
      </w:pPr>
      <w:r>
        <w:t>•</w:t>
      </w:r>
      <w:r>
        <w:tab/>
      </w:r>
      <w:r>
        <w:rPr>
          <w:b/>
        </w:rPr>
        <w:t xml:space="preserve">Resilience: </w:t>
      </w:r>
      <w:r>
        <w:t>Stability, error boundedness, and speed of recovery after severe exogenous operational disruptions.</w:t>
      </w:r>
    </w:p>
    <w:p w14:paraId="1AE00F85" w14:textId="77777777" w:rsidR="006F42B9" w:rsidRDefault="00000000">
      <w:pPr>
        <w:spacing w:after="0" w:line="480" w:lineRule="auto"/>
        <w:ind w:left="720" w:hanging="360"/>
      </w:pPr>
      <w:r>
        <w:t>•</w:t>
      </w:r>
      <w:r>
        <w:tab/>
      </w:r>
      <w:r>
        <w:rPr>
          <w:b/>
        </w:rPr>
        <w:t xml:space="preserve">Generalizability: </w:t>
      </w:r>
      <w:r>
        <w:t>Performance across different airports or terminal layouts under zero-shot spatial transfer without local retraining.</w:t>
      </w:r>
    </w:p>
    <w:p w14:paraId="20C014A5" w14:textId="77777777" w:rsidR="006F42B9" w:rsidRPr="008029F8" w:rsidRDefault="00000000">
      <w:pPr>
        <w:spacing w:after="0" w:line="480" w:lineRule="auto"/>
        <w:rPr>
          <w:color w:val="EE0000"/>
        </w:rPr>
      </w:pPr>
      <w:r w:rsidRPr="008029F8">
        <w:rPr>
          <w:b/>
          <w:i/>
          <w:color w:val="EE0000"/>
        </w:rPr>
        <w:t>Core Research Variables</w:t>
      </w:r>
    </w:p>
    <w:p w14:paraId="03E4C1AE" w14:textId="77777777" w:rsidR="006F42B9" w:rsidRPr="008029F8" w:rsidRDefault="00000000">
      <w:pPr>
        <w:spacing w:after="0" w:line="480" w:lineRule="auto"/>
        <w:ind w:firstLine="720"/>
        <w:rPr>
          <w:color w:val="EE0000"/>
        </w:rPr>
      </w:pPr>
      <w:r w:rsidRPr="008029F8">
        <w:rPr>
          <w:b/>
          <w:color w:val="EE0000"/>
        </w:rPr>
        <w:lastRenderedPageBreak/>
        <w:t xml:space="preserve">Independent Variables: </w:t>
      </w:r>
      <w:r w:rsidRPr="008029F8">
        <w:rPr>
          <w:color w:val="EE0000"/>
        </w:rPr>
        <w:t>Scheduled flight departures, actual flight performance data (departure delays, taxi-out queues, tactical cancellations), terminal structure categories, and origin-and-destination passenger ratios.</w:t>
      </w:r>
    </w:p>
    <w:p w14:paraId="79E6EB7A" w14:textId="77777777" w:rsidR="006F42B9" w:rsidRPr="008029F8" w:rsidRDefault="00000000">
      <w:pPr>
        <w:spacing w:after="0" w:line="480" w:lineRule="auto"/>
        <w:ind w:firstLine="720"/>
        <w:rPr>
          <w:color w:val="EE0000"/>
        </w:rPr>
      </w:pPr>
      <w:r w:rsidRPr="008029F8">
        <w:rPr>
          <w:b/>
          <w:color w:val="EE0000"/>
        </w:rPr>
        <w:t xml:space="preserve">Dependent Variables: </w:t>
      </w:r>
      <w:r w:rsidRPr="008029F8">
        <w:rPr>
          <w:color w:val="EE0000"/>
        </w:rPr>
        <w:t>Volatility of TSA security checkpoint passenger throughput across multiple operational horizons: Intraday Diurnal Absolute Dispersion (σ_TSA, hr), Intraday Scale-Free Relative Volatility (CV_TSA, hr), and Multi-Day Temporal Rolling Volatility (σ_TSA, 7d).</w:t>
      </w:r>
    </w:p>
    <w:p w14:paraId="2AE49B29" w14:textId="77777777" w:rsidR="006F42B9" w:rsidRDefault="00000000">
      <w:pPr>
        <w:spacing w:after="0" w:line="480" w:lineRule="auto"/>
        <w:ind w:firstLine="720"/>
      </w:pPr>
      <w:r>
        <w:rPr>
          <w:b/>
        </w:rPr>
        <w:t xml:space="preserve">Queuing Consequence: </w:t>
      </w:r>
      <w:r>
        <w:t>Checkpoint queue wait times and bottleneck formation rates.</w:t>
      </w:r>
    </w:p>
    <w:p w14:paraId="1F2146B1" w14:textId="77777777" w:rsidR="006F42B9" w:rsidRDefault="00000000">
      <w:pPr>
        <w:spacing w:after="0" w:line="480" w:lineRule="auto"/>
        <w:ind w:firstLine="720"/>
      </w:pPr>
      <w:r>
        <w:rPr>
          <w:b/>
        </w:rPr>
        <w:t xml:space="preserve">Secondary Outcome: </w:t>
      </w:r>
      <w:r>
        <w:t>Comparative predictive model performance across the candidate modeling suite.</w:t>
      </w:r>
    </w:p>
    <w:p w14:paraId="5AA1C320" w14:textId="77777777" w:rsidR="006F42B9" w:rsidRDefault="00000000">
      <w:pPr>
        <w:spacing w:after="0" w:line="480" w:lineRule="auto"/>
      </w:pPr>
      <w:r>
        <w:rPr>
          <w:b/>
          <w:i/>
        </w:rPr>
        <w:t>Research Hypotheses</w:t>
      </w:r>
    </w:p>
    <w:p w14:paraId="0AC77FC4" w14:textId="77777777" w:rsidR="006F42B9" w:rsidRPr="00E40DF4" w:rsidRDefault="00000000">
      <w:pPr>
        <w:spacing w:after="0" w:line="480" w:lineRule="auto"/>
        <w:ind w:firstLine="720"/>
        <w:rPr>
          <w:color w:val="EE0000"/>
        </w:rPr>
      </w:pPr>
      <w:r w:rsidRPr="00E40DF4">
        <w:rPr>
          <w:b/>
          <w:color w:val="EE0000"/>
        </w:rPr>
        <w:t xml:space="preserve">Core Research Hypothesis (H1 – Master Asymmetric Trade-Off Hypothesis). </w:t>
      </w:r>
      <w:r w:rsidRPr="00E40DF4">
        <w:rPr>
          <w:color w:val="EE0000"/>
        </w:rPr>
        <w:t>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227D2D37" w14:textId="77777777" w:rsidR="006F42B9" w:rsidRPr="00E40DF4" w:rsidRDefault="00000000">
      <w:pPr>
        <w:spacing w:after="0" w:line="480" w:lineRule="auto"/>
        <w:ind w:firstLine="720"/>
        <w:rPr>
          <w:color w:val="EE0000"/>
        </w:rPr>
      </w:pPr>
      <w:r w:rsidRPr="00E40DF4">
        <w:rPr>
          <w:b/>
          <w:color w:val="EE0000"/>
        </w:rPr>
        <w:t xml:space="preserve">Robustness Performance: </w:t>
      </w:r>
      <w:r w:rsidRPr="00E40DF4">
        <w:rPr>
          <w:color w:val="EE0000"/>
        </w:rPr>
        <w:t>Under nominal operating conditions (departure delays &lt; 15 minutes, zero cancellations), machine learning and dynamic hybrid models achieve target robustness (MASE &lt; 0.700), with machine learning delivering a computationally lightweight, Pareto-efficient routine solution with zero feedback compute latency.</w:t>
      </w:r>
    </w:p>
    <w:p w14:paraId="373C547F" w14:textId="77777777" w:rsidR="006F42B9" w:rsidRPr="00E40DF4" w:rsidRDefault="00000000">
      <w:pPr>
        <w:spacing w:after="0" w:line="480" w:lineRule="auto"/>
        <w:ind w:firstLine="720"/>
        <w:rPr>
          <w:color w:val="EE0000"/>
        </w:rPr>
      </w:pPr>
      <w:r w:rsidRPr="00E40DF4">
        <w:rPr>
          <w:b/>
          <w:color w:val="EE0000"/>
        </w:rPr>
        <w:t xml:space="preserve">Resilience Performance: </w:t>
      </w:r>
      <w:r w:rsidRPr="00E40DF4">
        <w:rPr>
          <w:color w:val="EE0000"/>
        </w:rPr>
        <w:t xml:space="preserve">Under severe operational disruptions (departure delays ≥ 45 minutes or cancellations ≥ 5), the dynamic two-stage hybrid model demonstrates superior </w:t>
      </w:r>
      <w:r w:rsidRPr="00E40DF4">
        <w:rPr>
          <w:color w:val="EE0000"/>
        </w:rPr>
        <w:lastRenderedPageBreak/>
        <w:t>resilience (R_MASE ≈ 1.00, TTR &lt; 4.0h) by utilizing live floor error feedback to track stranded passenger crowds, whereas pure machine learning collapses due to the Empty Checkpoint Fallacy.</w:t>
      </w:r>
    </w:p>
    <w:p w14:paraId="20826AD9" w14:textId="77777777" w:rsidR="006F42B9" w:rsidRPr="00E40DF4" w:rsidRDefault="00000000">
      <w:pPr>
        <w:spacing w:after="0" w:line="480" w:lineRule="auto"/>
        <w:ind w:firstLine="720"/>
        <w:rPr>
          <w:color w:val="EE0000"/>
        </w:rPr>
      </w:pPr>
      <w:r w:rsidRPr="00E40DF4">
        <w:rPr>
          <w:b/>
          <w:color w:val="EE0000"/>
        </w:rPr>
        <w:t xml:space="preserve">Generalizability Performance: </w:t>
      </w:r>
      <w:r w:rsidRPr="00E40DF4">
        <w:rPr>
          <w:color w:val="EE0000"/>
        </w:rPr>
        <w:t>Under zero-shot cross-airport transfer without local retraining, the deterministic flight schedule model achieves superior generalizability (RTR ≈ 1.00, ΔMASE ≤ 10.0%) due to terminal geometry invariance, whereas hybrid models experience transfer penalties from terminal layout overfitting.</w:t>
      </w:r>
    </w:p>
    <w:p w14:paraId="4649D116" w14:textId="77777777" w:rsidR="006F42B9" w:rsidRPr="00E40DF4" w:rsidRDefault="00000000">
      <w:pPr>
        <w:spacing w:after="0" w:line="480" w:lineRule="auto"/>
        <w:ind w:firstLine="720"/>
        <w:rPr>
          <w:color w:val="EE0000"/>
        </w:rPr>
      </w:pPr>
      <w:r w:rsidRPr="00E40DF4">
        <w:rPr>
          <w:color w:val="EE0000"/>
        </w:rPr>
        <w:t>Detailed hypothesis formulations, sub-hypotheses (H1a, H1b, H1c), formal mathematical evaluation thresholds, and Diebold-Mariano test specifications are compiled in the Appendix.</w:t>
      </w:r>
    </w:p>
    <w:p w14:paraId="18E7130F" w14:textId="77777777" w:rsidR="006F42B9" w:rsidRDefault="00000000">
      <w:pPr>
        <w:spacing w:after="0" w:line="480" w:lineRule="auto"/>
      </w:pPr>
      <w:r>
        <w:rPr>
          <w:b/>
        </w:rPr>
        <w:t>Design and Procedures</w:t>
      </w:r>
    </w:p>
    <w:p w14:paraId="73D2E6A9" w14:textId="77777777" w:rsidR="006F42B9" w:rsidRDefault="00000000">
      <w:pPr>
        <w:spacing w:after="0" w:line="480" w:lineRule="auto"/>
        <w:ind w:firstLine="720"/>
      </w:pPr>
      <w:r>
        <w:t xml:space="preserve">The execution of this research follows an exploratory, sequential quantitative design structured into four iterative phases to systematically evaluate passenger flow forecasting models at airport security checkpoints. Phase 1 executes automated data ingestion and preprocessing across longitudinal federal aviation feeds, standardizing timestamps, isolating corrupt facility records, deflating connecting passenger volumes, and convolving flight departure banks across passenger arrival distributions. Phase 2 constructs and calibrates the candidate forecasting architectures—comprising deterministic baselines, supervised machine learning, and dynamic hybrid frameworks—alongside an empirical naive persistence control. Phase 3 establishes the evaluation framework, stress-testing each model across nominal, routine, and severe disruption regimes to quantify robustness, resilience, and generalizability. Finally, Phase 4 evaluates empirical findings against theoretical queuing principles and translates performance trade-offs into an operational decision playbook for airport security operators. A summary of these four </w:t>
      </w:r>
      <w:r>
        <w:lastRenderedPageBreak/>
        <w:t>procedural phases is presented in Table 3.1, with exhaustive phase-by-phase execution protocols, data engineering audits, and algorithmic steps documented in the Appendix.</w:t>
      </w:r>
    </w:p>
    <w:p w14:paraId="7CE7D4C8" w14:textId="77777777" w:rsidR="006F42B9" w:rsidRDefault="00000000">
      <w:pPr>
        <w:spacing w:after="0" w:line="480" w:lineRule="auto"/>
      </w:pPr>
      <w:r>
        <w:rPr>
          <w:b/>
        </w:rPr>
        <w:t>Table 3.1</w:t>
      </w:r>
    </w:p>
    <w:p w14:paraId="64DAF25E" w14:textId="77777777" w:rsidR="006F42B9" w:rsidRDefault="00000000">
      <w:pPr>
        <w:spacing w:after="0" w:line="480" w:lineRule="auto"/>
      </w:pPr>
      <w:r>
        <w:rPr>
          <w:i/>
        </w:rPr>
        <w:t>Summary of Research Design and Execution Procedures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152"/>
        <w:gridCol w:w="1872"/>
        <w:gridCol w:w="2016"/>
        <w:gridCol w:w="2304"/>
        <w:gridCol w:w="2016"/>
      </w:tblGrid>
      <w:tr w:rsidR="006F42B9" w14:paraId="1A01A704" w14:textId="77777777">
        <w:trPr>
          <w:jc w:val="center"/>
        </w:trPr>
        <w:tc>
          <w:tcPr>
            <w:tcW w:w="1152" w:type="dxa"/>
            <w:tcBorders>
              <w:bottom w:val="single" w:sz="6" w:space="0" w:color="000000"/>
            </w:tcBorders>
          </w:tcPr>
          <w:p w14:paraId="3E90E7C6" w14:textId="77777777" w:rsidR="006F42B9" w:rsidRDefault="00000000">
            <w:pPr>
              <w:spacing w:before="60" w:after="60"/>
              <w:jc w:val="center"/>
            </w:pPr>
            <w:r>
              <w:rPr>
                <w:b/>
                <w:sz w:val="20"/>
              </w:rPr>
              <w:t>Phase</w:t>
            </w:r>
          </w:p>
        </w:tc>
        <w:tc>
          <w:tcPr>
            <w:tcW w:w="1872" w:type="dxa"/>
            <w:tcBorders>
              <w:bottom w:val="single" w:sz="6" w:space="0" w:color="000000"/>
            </w:tcBorders>
          </w:tcPr>
          <w:p w14:paraId="581878C9" w14:textId="77777777" w:rsidR="006F42B9" w:rsidRDefault="00000000">
            <w:pPr>
              <w:spacing w:before="60" w:after="60"/>
              <w:jc w:val="center"/>
            </w:pPr>
            <w:r>
              <w:rPr>
                <w:b/>
                <w:sz w:val="20"/>
              </w:rPr>
              <w:t>Designation</w:t>
            </w:r>
          </w:p>
        </w:tc>
        <w:tc>
          <w:tcPr>
            <w:tcW w:w="2016" w:type="dxa"/>
            <w:tcBorders>
              <w:bottom w:val="single" w:sz="6" w:space="0" w:color="000000"/>
            </w:tcBorders>
          </w:tcPr>
          <w:p w14:paraId="3DDE9967" w14:textId="77777777" w:rsidR="006F42B9" w:rsidRDefault="00000000">
            <w:pPr>
              <w:spacing w:before="60" w:after="60"/>
              <w:jc w:val="center"/>
            </w:pPr>
            <w:r>
              <w:rPr>
                <w:b/>
                <w:sz w:val="20"/>
              </w:rPr>
              <w:t>Core Objective</w:t>
            </w:r>
          </w:p>
        </w:tc>
        <w:tc>
          <w:tcPr>
            <w:tcW w:w="2304" w:type="dxa"/>
            <w:tcBorders>
              <w:bottom w:val="single" w:sz="6" w:space="0" w:color="000000"/>
            </w:tcBorders>
          </w:tcPr>
          <w:p w14:paraId="1FAFCADA" w14:textId="77777777" w:rsidR="006F42B9" w:rsidRDefault="00000000">
            <w:pPr>
              <w:spacing w:before="60" w:after="60"/>
              <w:jc w:val="center"/>
            </w:pPr>
            <w:r>
              <w:rPr>
                <w:b/>
                <w:sz w:val="20"/>
              </w:rPr>
              <w:t>Key Analytical Tasks</w:t>
            </w:r>
          </w:p>
        </w:tc>
        <w:tc>
          <w:tcPr>
            <w:tcW w:w="2016" w:type="dxa"/>
            <w:tcBorders>
              <w:bottom w:val="single" w:sz="6" w:space="0" w:color="000000"/>
            </w:tcBorders>
          </w:tcPr>
          <w:p w14:paraId="3605DD25" w14:textId="77777777" w:rsidR="006F42B9" w:rsidRDefault="00000000">
            <w:pPr>
              <w:spacing w:before="60" w:after="60"/>
              <w:jc w:val="center"/>
            </w:pPr>
            <w:r>
              <w:rPr>
                <w:b/>
                <w:sz w:val="20"/>
              </w:rPr>
              <w:t>Primary Deliverables</w:t>
            </w:r>
          </w:p>
        </w:tc>
      </w:tr>
      <w:tr w:rsidR="006F42B9" w14:paraId="5C22BE4B" w14:textId="77777777">
        <w:trPr>
          <w:jc w:val="center"/>
        </w:trPr>
        <w:tc>
          <w:tcPr>
            <w:tcW w:w="1152" w:type="dxa"/>
          </w:tcPr>
          <w:p w14:paraId="4C70FE5F" w14:textId="77777777" w:rsidR="006F42B9" w:rsidRDefault="00000000">
            <w:pPr>
              <w:spacing w:before="60" w:after="60"/>
              <w:jc w:val="center"/>
            </w:pPr>
            <w:r>
              <w:rPr>
                <w:sz w:val="19"/>
              </w:rPr>
              <w:t>Phase 1</w:t>
            </w:r>
          </w:p>
        </w:tc>
        <w:tc>
          <w:tcPr>
            <w:tcW w:w="1872" w:type="dxa"/>
          </w:tcPr>
          <w:p w14:paraId="25DB6C03" w14:textId="77777777" w:rsidR="006F42B9" w:rsidRDefault="00000000">
            <w:pPr>
              <w:spacing w:before="60" w:after="60"/>
            </w:pPr>
            <w:r>
              <w:rPr>
                <w:sz w:val="19"/>
              </w:rPr>
              <w:t>Data Ingestion &amp; Preprocessing (ETL)</w:t>
            </w:r>
          </w:p>
        </w:tc>
        <w:tc>
          <w:tcPr>
            <w:tcW w:w="2016" w:type="dxa"/>
          </w:tcPr>
          <w:p w14:paraId="6DCB7F56" w14:textId="77777777" w:rsidR="006F42B9" w:rsidRDefault="00000000">
            <w:pPr>
              <w:spacing w:before="60" w:after="60"/>
            </w:pPr>
            <w:r>
              <w:rPr>
                <w:sz w:val="19"/>
              </w:rPr>
              <w:t>Ingest, clean, standardize, and align multi-source federal aviation data feeds across the 2019–2025 sequence.</w:t>
            </w:r>
          </w:p>
        </w:tc>
        <w:tc>
          <w:tcPr>
            <w:tcW w:w="2304" w:type="dxa"/>
          </w:tcPr>
          <w:p w14:paraId="32E0F4B0" w14:textId="77777777" w:rsidR="006F42B9" w:rsidRDefault="00000000">
            <w:pPr>
              <w:spacing w:before="60" w:after="60"/>
            </w:pPr>
            <w:r>
              <w:rPr>
                <w:sz w:val="19"/>
              </w:rPr>
              <w:t>Temporal clock normalization; phantom airport isolation; structural zero preservation; DB1B connecting passenger deflation; ACRP 40 flight bank convolution.</w:t>
            </w:r>
          </w:p>
        </w:tc>
        <w:tc>
          <w:tcPr>
            <w:tcW w:w="2016" w:type="dxa"/>
          </w:tcPr>
          <w:p w14:paraId="7B17D3BC" w14:textId="77777777" w:rsidR="006F42B9" w:rsidRDefault="00000000">
            <w:pPr>
              <w:spacing w:before="60" w:after="60"/>
            </w:pPr>
            <w:r>
              <w:rPr>
                <w:sz w:val="19"/>
              </w:rPr>
              <w:t>Conformed 42.06M-row feature warehouse; post-pandemic temporal demarcation (May 1, 2022); 24-attribute feature store.</w:t>
            </w:r>
          </w:p>
        </w:tc>
      </w:tr>
      <w:tr w:rsidR="006F42B9" w14:paraId="48A14409" w14:textId="77777777">
        <w:trPr>
          <w:jc w:val="center"/>
        </w:trPr>
        <w:tc>
          <w:tcPr>
            <w:tcW w:w="1152" w:type="dxa"/>
          </w:tcPr>
          <w:p w14:paraId="3BEB2BC6" w14:textId="77777777" w:rsidR="006F42B9" w:rsidRDefault="00000000">
            <w:pPr>
              <w:spacing w:before="60" w:after="60"/>
              <w:jc w:val="center"/>
            </w:pPr>
            <w:r>
              <w:rPr>
                <w:sz w:val="19"/>
              </w:rPr>
              <w:t>Phase 2</w:t>
            </w:r>
          </w:p>
        </w:tc>
        <w:tc>
          <w:tcPr>
            <w:tcW w:w="1872" w:type="dxa"/>
          </w:tcPr>
          <w:p w14:paraId="47FB0D51" w14:textId="77777777" w:rsidR="006F42B9" w:rsidRDefault="00000000">
            <w:pPr>
              <w:spacing w:before="60" w:after="60"/>
            </w:pPr>
            <w:r>
              <w:rPr>
                <w:sz w:val="19"/>
              </w:rPr>
              <w:t>Model Development &amp; Calibration</w:t>
            </w:r>
          </w:p>
        </w:tc>
        <w:tc>
          <w:tcPr>
            <w:tcW w:w="2016" w:type="dxa"/>
          </w:tcPr>
          <w:p w14:paraId="053AB3B9" w14:textId="77777777" w:rsidR="006F42B9" w:rsidRDefault="00000000">
            <w:pPr>
              <w:spacing w:before="60" w:after="60"/>
            </w:pPr>
            <w:r>
              <w:rPr>
                <w:sz w:val="19"/>
              </w:rPr>
              <w:t>Construct, calibrate, and train three candidate architectures alongside the baseline control benchmark.</w:t>
            </w:r>
          </w:p>
        </w:tc>
        <w:tc>
          <w:tcPr>
            <w:tcW w:w="2304" w:type="dxa"/>
          </w:tcPr>
          <w:p w14:paraId="380D64C6" w14:textId="77777777" w:rsidR="006F42B9" w:rsidRDefault="00000000">
            <w:pPr>
              <w:spacing w:before="60" w:after="60"/>
            </w:pPr>
            <w:r>
              <w:rPr>
                <w:sz w:val="19"/>
              </w:rPr>
              <w:t>Formulate diurnal persistence control; implement deterministic ACRP 40 schedule baseline; train decision-tree regressors on 24 BTS OTP features; construct dynamic 2-stage hybrid with 1-step error innovation.</w:t>
            </w:r>
          </w:p>
        </w:tc>
        <w:tc>
          <w:tcPr>
            <w:tcW w:w="2016" w:type="dxa"/>
          </w:tcPr>
          <w:p w14:paraId="74DFCBFB" w14:textId="77777777" w:rsidR="006F42B9" w:rsidRDefault="00000000">
            <w:pPr>
              <w:spacing w:before="60" w:after="60"/>
            </w:pPr>
            <w:r>
              <w:rPr>
                <w:sz w:val="19"/>
              </w:rPr>
              <w:t>Four calibrated forecasting architectures; hyperparameter-tuned decision trees; operationalized live error feedback loop.</w:t>
            </w:r>
          </w:p>
        </w:tc>
      </w:tr>
      <w:tr w:rsidR="006F42B9" w14:paraId="00BC8BCB" w14:textId="77777777">
        <w:trPr>
          <w:jc w:val="center"/>
        </w:trPr>
        <w:tc>
          <w:tcPr>
            <w:tcW w:w="1152" w:type="dxa"/>
          </w:tcPr>
          <w:p w14:paraId="6DBBDDAA" w14:textId="77777777" w:rsidR="006F42B9" w:rsidRDefault="00000000">
            <w:pPr>
              <w:spacing w:before="60" w:after="60"/>
              <w:jc w:val="center"/>
            </w:pPr>
            <w:r>
              <w:rPr>
                <w:sz w:val="19"/>
              </w:rPr>
              <w:t>Phase 3</w:t>
            </w:r>
          </w:p>
        </w:tc>
        <w:tc>
          <w:tcPr>
            <w:tcW w:w="1872" w:type="dxa"/>
          </w:tcPr>
          <w:p w14:paraId="5B33BF23" w14:textId="77777777" w:rsidR="006F42B9" w:rsidRDefault="00000000">
            <w:pPr>
              <w:spacing w:before="60" w:after="60"/>
            </w:pPr>
            <w:r>
              <w:rPr>
                <w:sz w:val="19"/>
              </w:rPr>
              <w:t>Evaluation Framework &amp; Stress-Testing</w:t>
            </w:r>
          </w:p>
        </w:tc>
        <w:tc>
          <w:tcPr>
            <w:tcW w:w="2016" w:type="dxa"/>
          </w:tcPr>
          <w:p w14:paraId="6B388FA2" w14:textId="77777777" w:rsidR="006F42B9" w:rsidRDefault="00000000">
            <w:pPr>
              <w:spacing w:before="60" w:after="60"/>
            </w:pPr>
            <w:r>
              <w:rPr>
                <w:sz w:val="19"/>
              </w:rPr>
              <w:t>Empirically benchmark candidate architectures across 2025 out-of-time holdout under nominal, routine, and severe disruption regimes.</w:t>
            </w:r>
          </w:p>
        </w:tc>
        <w:tc>
          <w:tcPr>
            <w:tcW w:w="2304" w:type="dxa"/>
          </w:tcPr>
          <w:p w14:paraId="73EB2598" w14:textId="77777777" w:rsidR="006F42B9" w:rsidRDefault="00000000">
            <w:pPr>
              <w:spacing w:before="60" w:after="60"/>
            </w:pPr>
            <w:r>
              <w:rPr>
                <w:sz w:val="19"/>
              </w:rPr>
              <w:t>Assess Dimension 1 (Robustness via RMSE and MASE); stress-test Dimension 2 (Resilience via R_MASE and TTR); evaluate Dimension 3 (Generalizability via RTR and ΔMASE); Diebold-Mariano tests.</w:t>
            </w:r>
          </w:p>
        </w:tc>
        <w:tc>
          <w:tcPr>
            <w:tcW w:w="2016" w:type="dxa"/>
          </w:tcPr>
          <w:p w14:paraId="1F0E4011" w14:textId="77777777" w:rsidR="006F42B9" w:rsidRDefault="00000000">
            <w:pPr>
              <w:spacing w:before="60" w:after="60"/>
            </w:pPr>
            <w:r>
              <w:rPr>
                <w:sz w:val="19"/>
              </w:rPr>
              <w:t>Certified 2025 holdout evaluation matrix (N = 3,222 complex-days; 72,053 screening hours); Diebold-Mariano matrices (DM &gt; 18.9, p &lt; 0.0001).</w:t>
            </w:r>
          </w:p>
        </w:tc>
      </w:tr>
      <w:tr w:rsidR="006F42B9" w14:paraId="2773B79A" w14:textId="77777777">
        <w:trPr>
          <w:jc w:val="center"/>
        </w:trPr>
        <w:tc>
          <w:tcPr>
            <w:tcW w:w="1152" w:type="dxa"/>
          </w:tcPr>
          <w:p w14:paraId="5C4BA663" w14:textId="77777777" w:rsidR="006F42B9" w:rsidRDefault="00000000">
            <w:pPr>
              <w:spacing w:before="60" w:after="60"/>
              <w:jc w:val="center"/>
            </w:pPr>
            <w:r>
              <w:rPr>
                <w:sz w:val="19"/>
              </w:rPr>
              <w:t>Phase 4</w:t>
            </w:r>
          </w:p>
        </w:tc>
        <w:tc>
          <w:tcPr>
            <w:tcW w:w="1872" w:type="dxa"/>
          </w:tcPr>
          <w:p w14:paraId="5D3B1448" w14:textId="77777777" w:rsidR="006F42B9" w:rsidRDefault="00000000">
            <w:pPr>
              <w:spacing w:before="60" w:after="60"/>
            </w:pPr>
            <w:r>
              <w:rPr>
                <w:sz w:val="19"/>
              </w:rPr>
              <w:t>Analysis &amp; Operational Interpretation</w:t>
            </w:r>
          </w:p>
        </w:tc>
        <w:tc>
          <w:tcPr>
            <w:tcW w:w="2016" w:type="dxa"/>
          </w:tcPr>
          <w:p w14:paraId="3E85FE2D" w14:textId="77777777" w:rsidR="006F42B9" w:rsidRDefault="00000000">
            <w:pPr>
              <w:spacing w:before="60" w:after="60"/>
            </w:pPr>
            <w:r>
              <w:rPr>
                <w:sz w:val="19"/>
              </w:rPr>
              <w:t>Evaluate findings against queuing theory (Kingman formula), validate asymmetric trade-offs (H1), and translate into staffing playbooks.</w:t>
            </w:r>
          </w:p>
        </w:tc>
        <w:tc>
          <w:tcPr>
            <w:tcW w:w="2304" w:type="dxa"/>
          </w:tcPr>
          <w:p w14:paraId="3574CD07" w14:textId="77777777" w:rsidR="006F42B9" w:rsidRDefault="00000000">
            <w:pPr>
              <w:spacing w:before="60" w:after="60"/>
            </w:pPr>
            <w:r>
              <w:rPr>
                <w:sz w:val="19"/>
              </w:rPr>
              <w:t>Map empirical arrival burstiness (Ca²) to queue delay escalation; validate Values vs. Volatility coupling across horizons; quantify Empty Checkpoint Fallacy; synthesize dual-track dispatch rules.</w:t>
            </w:r>
          </w:p>
        </w:tc>
        <w:tc>
          <w:tcPr>
            <w:tcW w:w="2016" w:type="dxa"/>
          </w:tcPr>
          <w:p w14:paraId="5CEA66B9" w14:textId="77777777" w:rsidR="006F42B9" w:rsidRDefault="00000000">
            <w:pPr>
              <w:spacing w:before="60" w:after="60"/>
            </w:pPr>
            <w:r>
              <w:rPr>
                <w:sz w:val="19"/>
              </w:rPr>
              <w:t>Master Hypothesis Evaluation Matrix confirming H1; Dual-Track Operational Decision Playbook; dynamic lane staffing guidelines.</w:t>
            </w:r>
          </w:p>
        </w:tc>
      </w:tr>
    </w:tbl>
    <w:p w14:paraId="1D57541B" w14:textId="77777777" w:rsidR="006F42B9" w:rsidRDefault="00000000">
      <w:pPr>
        <w:spacing w:before="80" w:after="240"/>
      </w:pPr>
      <w:r>
        <w:rPr>
          <w:i/>
          <w:sz w:val="20"/>
        </w:rPr>
        <w:lastRenderedPageBreak/>
        <w:t xml:space="preserve">Note. </w:t>
      </w:r>
      <w:r>
        <w:rPr>
          <w:sz w:val="20"/>
        </w:rPr>
        <w:t>Synthesized from thesis research protocol. Companion multi-tab workbook methodology-tables.xlsx contains both this summary table and the detailed phase-by-phase execution protocol in Tab 'Design_Procedures_Detailed' for the Appendix.</w:t>
      </w:r>
    </w:p>
    <w:p w14:paraId="3A425C63" w14:textId="77777777" w:rsidR="006F42B9" w:rsidRDefault="00000000">
      <w:pPr>
        <w:spacing w:after="0" w:line="480" w:lineRule="auto"/>
      </w:pPr>
      <w:r>
        <w:rPr>
          <w:b/>
        </w:rPr>
        <w:t>Figure 2</w:t>
      </w:r>
    </w:p>
    <w:p w14:paraId="1EDF0DDF" w14:textId="77777777" w:rsidR="006F42B9" w:rsidRDefault="00000000">
      <w:pPr>
        <w:spacing w:after="0" w:line="480" w:lineRule="auto"/>
      </w:pPr>
      <w:r>
        <w:rPr>
          <w:i/>
        </w:rPr>
        <w:t>Evaluation Metric Definition</w:t>
      </w:r>
    </w:p>
    <w:p w14:paraId="6E23D78F" w14:textId="77777777" w:rsidR="006F42B9" w:rsidRDefault="00000000">
      <w:pPr>
        <w:spacing w:after="0" w:line="480" w:lineRule="auto"/>
        <w:jc w:val="center"/>
      </w:pPr>
      <w:r>
        <w:rPr>
          <w:i/>
          <w:sz w:val="22"/>
        </w:rPr>
        <w:t>[Insert Figure 2: Evaluation Metric Definition]</w:t>
      </w:r>
    </w:p>
    <w:p w14:paraId="701187F3" w14:textId="77777777" w:rsidR="006F42B9" w:rsidRDefault="00000000">
      <w:pPr>
        <w:spacing w:after="0" w:line="480" w:lineRule="auto"/>
      </w:pPr>
      <w:r>
        <w:rPr>
          <w:b/>
        </w:rPr>
        <w:t>Figure 3</w:t>
      </w:r>
    </w:p>
    <w:p w14:paraId="6B9970FB" w14:textId="77777777" w:rsidR="006F42B9" w:rsidRDefault="00000000">
      <w:pPr>
        <w:spacing w:after="0" w:line="480" w:lineRule="auto"/>
      </w:pPr>
      <w:r>
        <w:rPr>
          <w:i/>
        </w:rPr>
        <w:t>Design and Procedure Phases</w:t>
      </w:r>
    </w:p>
    <w:p w14:paraId="78904930" w14:textId="77777777" w:rsidR="006F42B9" w:rsidRDefault="00000000">
      <w:pPr>
        <w:spacing w:after="0" w:line="480" w:lineRule="auto"/>
        <w:jc w:val="center"/>
      </w:pPr>
      <w:r>
        <w:rPr>
          <w:i/>
          <w:sz w:val="22"/>
        </w:rPr>
        <w:t>[Insert Figure 3: Design and Procedure Phases]</w:t>
      </w:r>
    </w:p>
    <w:p w14:paraId="5254A7F4" w14:textId="77777777" w:rsidR="006F42B9" w:rsidRDefault="00000000">
      <w:pPr>
        <w:spacing w:after="0" w:line="480" w:lineRule="auto"/>
      </w:pPr>
      <w:r>
        <w:rPr>
          <w:b/>
        </w:rPr>
        <w:t>Predictive Modeling Frameworks and Baseline Control</w:t>
      </w:r>
    </w:p>
    <w:p w14:paraId="14BC1CAD" w14:textId="77777777" w:rsidR="006F42B9" w:rsidRDefault="00000000">
      <w:pPr>
        <w:spacing w:after="0" w:line="480" w:lineRule="auto"/>
        <w:ind w:firstLine="720"/>
      </w:pPr>
      <w:r>
        <w:t>To evaluate the research hypotheses, the empirical investigation establishes three candidate models representing distinct operational paradigms, benchmarked against an empirical baseline control:</w:t>
      </w:r>
    </w:p>
    <w:p w14:paraId="0FA4D4F2" w14:textId="77777777" w:rsidR="006F42B9" w:rsidRDefault="00000000">
      <w:pPr>
        <w:spacing w:after="0" w:line="480" w:lineRule="auto"/>
        <w:ind w:firstLine="720"/>
      </w:pPr>
      <w:r>
        <w:rPr>
          <w:b/>
        </w:rPr>
        <w:t xml:space="preserve">The Baseline Control Benchmark (Daily Persistence). </w:t>
      </w:r>
      <w:r>
        <w:t>Operating as the non-parametric reference standard (MASE ≡ 1.000), this benchmark assumes that checkpoint arrival volatility today mirrors the volatility observed at the exact same hour yesterday (Vol_hat_t = Vol_{t-24}). Any operational forecasting model considered for airport deployment must demonstrate that it provides measurable predictive skill beyond this persistence floor.</w:t>
      </w:r>
    </w:p>
    <w:p w14:paraId="4189EEF4" w14:textId="77777777" w:rsidR="006F42B9" w:rsidRDefault="00000000">
      <w:pPr>
        <w:spacing w:after="0" w:line="480" w:lineRule="auto"/>
        <w:ind w:firstLine="720"/>
      </w:pPr>
      <w:r>
        <w:rPr>
          <w:b/>
        </w:rPr>
        <w:t xml:space="preserve">Model 1: Deterministic Flight Schedule Model (Operational Baseline). </w:t>
      </w:r>
      <w:r>
        <w:t>This model represents the industry operational baseline by shifting published airline flight schedules forward in time using empirical passenger show-up curves from Airport Cooperative Research Program (ACRP) Report 40 (t+1, t+2, t+3 lead hours). Scheduled flight departure banks are convolved across lead arrival horizons without requiring real-time delay telemetry or parameter fitting, capturing the expected ebb and flow of scheduled flight waves.</w:t>
      </w:r>
    </w:p>
    <w:p w14:paraId="63A0D277" w14:textId="77777777" w:rsidR="006F42B9" w:rsidRDefault="00000000">
      <w:pPr>
        <w:spacing w:after="0" w:line="480" w:lineRule="auto"/>
        <w:ind w:firstLine="720"/>
      </w:pPr>
      <w:r>
        <w:rPr>
          <w:b/>
        </w:rPr>
        <w:lastRenderedPageBreak/>
        <w:t xml:space="preserve">Model 2: Supervised Machine Learning Model (Flight Operations &amp; Delays). </w:t>
      </w:r>
      <w:r>
        <w:t>This approach deploys an automated decision-tree algorithm trained across the convolved flight schedule and 24 Bureau of Transportation Statistics (BTS) On-Time Performance (OTP) operational features. By learning non-linear operational interactions—such as how departure delays, tactical cancellations, and surface taxi queues ripple into checkpoint arrival dispersion—it tests whether incorporating real-time airside flight operations improves landside volatility forecasts beyond schedule data alone.</w:t>
      </w:r>
    </w:p>
    <w:p w14:paraId="2BB7188A" w14:textId="77777777" w:rsidR="006F42B9" w:rsidRDefault="00000000">
      <w:pPr>
        <w:spacing w:after="0" w:line="480" w:lineRule="auto"/>
        <w:ind w:firstLine="720"/>
      </w:pPr>
      <w:r>
        <w:rPr>
          <w:b/>
        </w:rPr>
        <w:t xml:space="preserve">Model 3: Dynamic Two-Stage Hybrid Model (Schedule + Real-Time Feedback). </w:t>
      </w:r>
      <w:r>
        <w:t>This sequential architecture couples the structured foundation of airline flight schedules with live real-time feedback from the security checkpoint floor. In Stage 1, recurring daily and weekly flight schedule cycles are estimated via flight bank convolution. In Stage 2, a decision tree predicts residual volatility shocks induced by flight delays and convective weather ground stops, dynamically incorporating live one-step error innovation feedback (e_{t-1} = y_{t-1} - y_hat_{t-1}) from the preceding hour to track concourse queue accumulation and stranded passenger crowds.</w:t>
      </w:r>
    </w:p>
    <w:p w14:paraId="2A3542E5" w14:textId="77777777" w:rsidR="006F42B9" w:rsidRDefault="00000000">
      <w:pPr>
        <w:spacing w:after="0" w:line="480" w:lineRule="auto"/>
      </w:pPr>
      <w:r>
        <w:rPr>
          <w:b/>
        </w:rPr>
        <w:t>Dataset Partitioning and Validation Protocol</w:t>
      </w:r>
    </w:p>
    <w:p w14:paraId="58542016" w14:textId="77777777" w:rsidR="006F42B9" w:rsidRDefault="00000000">
      <w:pPr>
        <w:spacing w:after="0" w:line="480" w:lineRule="auto"/>
        <w:ind w:firstLine="720"/>
      </w:pPr>
      <w:r>
        <w:t>The longitudinal dataset is partitioned into training, validation, and out-of-time holdout windows across a 44-month post-pandemic evaluation period (May 1, 2022 to December 31, 2025), with the complete partitioning protocol, sample distributions, and validation procedures detailed in the Appendix.</w:t>
      </w:r>
    </w:p>
    <w:p w14:paraId="2E5FBE1D" w14:textId="77777777" w:rsidR="006F42B9" w:rsidRDefault="00000000">
      <w:pPr>
        <w:spacing w:after="0" w:line="480" w:lineRule="auto"/>
      </w:pPr>
      <w:r>
        <w:rPr>
          <w:b/>
        </w:rPr>
        <w:t>Quantitative Evaluation Dimensions and Operational Regimes</w:t>
      </w:r>
    </w:p>
    <w:p w14:paraId="2A0D3B5F" w14:textId="77777777" w:rsidR="006F42B9" w:rsidRDefault="00000000">
      <w:pPr>
        <w:spacing w:after="0" w:line="480" w:lineRule="auto"/>
        <w:ind w:firstLine="720"/>
      </w:pPr>
      <w:r>
        <w:t xml:space="preserve">Candidate model performance is evaluated across three orthogonal operational dimensions: (1) Robustness, verifying predictive consistency and low-error accuracy during </w:t>
      </w:r>
      <w:r>
        <w:lastRenderedPageBreak/>
        <w:t>nominal on-time operations and routine daily flight banks; (2) Resilience, verifying forecast stability, error boundedness, and rapid time-to-recovery following severe convective ground stops and irregular operations; and (3) Generalizability, verifying zero-shot spatial transferability across distinct airport layouts without local retraining. Flight conditions are structured into a three-tier operational taxonomy comprising Tier 1 (Nominal On-Time Baseline, departure delays &lt; 15 minutes and zero cancellations), Tier 2 (Routine Daily Operations, ambient 15–30 minute delays), and Tier 3 (Irregular Operations, departure delays ≥ 45 minutes or cancellations ≥ 5). The complete mathematical formulations, governing performance metrics (including Root Mean Squared Error, Mean Absolute Scaled Error, Disruption Error Multipliers, Time-to-Recovery, and Relative Transfer Ratios), and operational regime definitions are detailed in the Appendix.</w:t>
      </w:r>
    </w:p>
    <w:p w14:paraId="58AB875F" w14:textId="77777777" w:rsidR="006F42B9" w:rsidRDefault="00000000">
      <w:pPr>
        <w:spacing w:after="0" w:line="480" w:lineRule="auto"/>
      </w:pPr>
      <w:r>
        <w:rPr>
          <w:b/>
        </w:rPr>
        <w:t>Apparatus and Materials</w:t>
      </w:r>
    </w:p>
    <w:p w14:paraId="47753BE0" w14:textId="77777777" w:rsidR="006F42B9" w:rsidRDefault="00000000">
      <w:pPr>
        <w:spacing w:after="0" w:line="480" w:lineRule="auto"/>
        <w:ind w:firstLine="720"/>
      </w:pPr>
      <w:r>
        <w:t>To manage, parse, and evaluate the large datasets required for this study, the following software and computing resources are used:</w:t>
      </w:r>
    </w:p>
    <w:p w14:paraId="7786DD95" w14:textId="77777777" w:rsidR="006F42B9" w:rsidRDefault="00000000">
      <w:pPr>
        <w:spacing w:after="0" w:line="480" w:lineRule="auto"/>
        <w:ind w:firstLine="720"/>
      </w:pPr>
      <w:r>
        <w:rPr>
          <w:b/>
        </w:rPr>
        <w:t xml:space="preserve">Google Antigravity and Python: </w:t>
      </w:r>
      <w:r>
        <w:t>Utilized as an integrated agentic framework and primary data ingestion engine to manage high-volume government data dumps during the ETL process. To ensure data integrity at this scale, custom scripts handled automated data pulling, unzipping, spatial parsing, and relational joining workflows in the data pipeline for downstream predictive modeling.</w:t>
      </w:r>
    </w:p>
    <w:p w14:paraId="0BEF9BD6" w14:textId="77777777" w:rsidR="006F42B9" w:rsidRDefault="00000000">
      <w:pPr>
        <w:spacing w:after="0" w:line="480" w:lineRule="auto"/>
        <w:ind w:firstLine="720"/>
      </w:pPr>
      <w:r>
        <w:rPr>
          <w:b/>
        </w:rPr>
        <w:t xml:space="preserve">Microsoft Excel for Mac &amp; Microsoft Power BI: </w:t>
      </w:r>
      <w:r>
        <w:t>Deployed locally for advanced data transformation, tabular synthesis, and visual validation.</w:t>
      </w:r>
    </w:p>
    <w:p w14:paraId="023A1A37" w14:textId="77777777" w:rsidR="006F42B9" w:rsidRDefault="00000000">
      <w:pPr>
        <w:spacing w:after="0" w:line="480" w:lineRule="auto"/>
      </w:pPr>
      <w:r>
        <w:rPr>
          <w:b/>
        </w:rPr>
        <w:t>Sample</w:t>
      </w:r>
    </w:p>
    <w:p w14:paraId="0A0C6FAC" w14:textId="77777777" w:rsidR="006F42B9" w:rsidRDefault="00000000">
      <w:pPr>
        <w:spacing w:after="0" w:line="480" w:lineRule="auto"/>
        <w:ind w:firstLine="720"/>
      </w:pPr>
      <w:r>
        <w:t xml:space="preserve">The sample consists of airport checkpoint environments selected to reflect variation in terminal structure and airline dominance. Airports are grouped into structured categories to </w:t>
      </w:r>
      <w:r>
        <w:lastRenderedPageBreak/>
        <w:t>account for how physical layout influences passenger distribution and checkpoint use (OAG, 2026). This strategy is intended to support comparison across terminal types and carriers rather than to claim complete uniformity across airports and airlines.</w:t>
      </w:r>
    </w:p>
    <w:p w14:paraId="1A24DC1A" w14:textId="77777777" w:rsidR="006F42B9" w:rsidRDefault="00000000">
      <w:pPr>
        <w:spacing w:after="0" w:line="480" w:lineRule="auto"/>
      </w:pPr>
      <w:r>
        <w:rPr>
          <w:b/>
        </w:rPr>
        <w:t>Figure 4</w:t>
      </w:r>
    </w:p>
    <w:p w14:paraId="131C87E9" w14:textId="77777777" w:rsidR="006F42B9" w:rsidRDefault="00000000">
      <w:pPr>
        <w:spacing w:after="0" w:line="480" w:lineRule="auto"/>
      </w:pPr>
      <w:r>
        <w:rPr>
          <w:i/>
        </w:rPr>
        <w:t>Sample Framework for Terminal Capacity and Checkpoint Configuration</w:t>
      </w:r>
    </w:p>
    <w:p w14:paraId="4896C242" w14:textId="77777777" w:rsidR="006F42B9" w:rsidRDefault="00000000">
      <w:pPr>
        <w:spacing w:after="0" w:line="480" w:lineRule="auto"/>
        <w:jc w:val="center"/>
      </w:pPr>
      <w:r>
        <w:rPr>
          <w:i/>
          <w:sz w:val="22"/>
        </w:rPr>
        <w:t>[Insert Figure 4: Sample Framework for Terminal Capacity and Checkpoint Configuration]</w:t>
      </w:r>
    </w:p>
    <w:p w14:paraId="5AA7408B" w14:textId="77777777" w:rsidR="006F42B9" w:rsidRDefault="00000000">
      <w:pPr>
        <w:spacing w:after="0" w:line="480" w:lineRule="auto"/>
      </w:pPr>
      <w:r>
        <w:rPr>
          <w:b/>
        </w:rPr>
        <w:t>Figure 5</w:t>
      </w:r>
    </w:p>
    <w:p w14:paraId="5D63FF91" w14:textId="77777777" w:rsidR="006F42B9" w:rsidRDefault="00000000">
      <w:pPr>
        <w:spacing w:after="0" w:line="480" w:lineRule="auto"/>
      </w:pPr>
      <w:r>
        <w:rPr>
          <w:i/>
        </w:rPr>
        <w:t>Airport Operational Archetypes and Terminal Configuration</w:t>
      </w:r>
    </w:p>
    <w:p w14:paraId="60504D2B" w14:textId="77777777" w:rsidR="006F42B9" w:rsidRDefault="00000000">
      <w:pPr>
        <w:spacing w:after="0" w:line="480" w:lineRule="auto"/>
        <w:jc w:val="center"/>
      </w:pPr>
      <w:r>
        <w:rPr>
          <w:i/>
          <w:sz w:val="22"/>
        </w:rPr>
        <w:t>[Insert Figure 5: Airport Operational Archetypes and Terminal Configuration]</w:t>
      </w:r>
    </w:p>
    <w:p w14:paraId="03AD4F41" w14:textId="77777777" w:rsidR="006F42B9" w:rsidRDefault="00000000">
      <w:pPr>
        <w:spacing w:after="0" w:line="480" w:lineRule="auto"/>
      </w:pPr>
      <w:r>
        <w:rPr>
          <w:b/>
          <w:i/>
        </w:rPr>
        <w:t>Macro Categorization: Terminal-to-Airline Distribution</w:t>
      </w:r>
    </w:p>
    <w:p w14:paraId="2AC621EB" w14:textId="77777777" w:rsidR="006F42B9" w:rsidRDefault="00000000">
      <w:pPr>
        <w:spacing w:after="0" w:line="480" w:lineRule="auto"/>
        <w:ind w:firstLine="720"/>
      </w:pPr>
      <w:r>
        <w:t>Airports are first classified into four structural archetypes to control for how airline market share impacts terminal distribution, with structural archetypes outlined below:</w:t>
      </w:r>
    </w:p>
    <w:p w14:paraId="0E0FFBC8" w14:textId="77777777" w:rsidR="006F42B9" w:rsidRDefault="00000000">
      <w:pPr>
        <w:spacing w:after="0" w:line="480" w:lineRule="auto"/>
        <w:ind w:firstLine="720"/>
      </w:pPr>
      <w:r>
        <w:rPr>
          <w:b/>
        </w:rPr>
        <w:t xml:space="preserve">Mega Hubs with No Dedicated Terminals (e.g., ATL, CLT, DEN): </w:t>
      </w:r>
      <w:r>
        <w:t>Sprawling operations where major legacy carriers share linear concourses or central ticketing, distributing passenger volume across shared screening areas.</w:t>
      </w:r>
    </w:p>
    <w:p w14:paraId="163ADF1B" w14:textId="77777777" w:rsidR="006F42B9" w:rsidRDefault="00000000">
      <w:pPr>
        <w:spacing w:after="0" w:line="480" w:lineRule="auto"/>
        <w:ind w:firstLine="720"/>
      </w:pPr>
      <w:r>
        <w:rPr>
          <w:b/>
        </w:rPr>
        <w:t xml:space="preserve">Decentralized Airline-Dedicated Terminals (e.g., LAX): </w:t>
      </w:r>
      <w:r>
        <w:t>Dispersed multi-terminal airports where distinct physical buildings are allocated exclusively to individual legacy carriers, isolating an airline's passenger wave to specific physical checkpoints.</w:t>
      </w:r>
    </w:p>
    <w:p w14:paraId="6B8DD22B" w14:textId="77777777" w:rsidR="006F42B9" w:rsidRDefault="00000000">
      <w:pPr>
        <w:spacing w:after="0" w:line="480" w:lineRule="auto"/>
        <w:ind w:firstLine="720"/>
      </w:pPr>
      <w:r>
        <w:rPr>
          <w:b/>
        </w:rPr>
        <w:t xml:space="preserve">Single-Carrier Dedicated Mega-Terminals (e.g., DTW): </w:t>
      </w:r>
      <w:r>
        <w:t>Single-carrier 'fortress' environments where a single dominant airline channels its entire domestic and international operation through one massive mega-terminal (e.g., Delta’s exclusive hold on the McNamara Terminal).</w:t>
      </w:r>
    </w:p>
    <w:p w14:paraId="3AC4A0C6" w14:textId="77777777" w:rsidR="006F42B9" w:rsidRDefault="00000000">
      <w:pPr>
        <w:spacing w:after="0" w:line="480" w:lineRule="auto"/>
        <w:ind w:firstLine="720"/>
      </w:pPr>
      <w:r>
        <w:rPr>
          <w:b/>
        </w:rPr>
        <w:t xml:space="preserve">Airports with Multiple Terminals Dedicated Exclusively to One Airline (e.g., DFW): </w:t>
      </w:r>
      <w:r>
        <w:t xml:space="preserve">Large-scale regional hubs requiring a single dominant carrier to distribute hub-and-spoke </w:t>
      </w:r>
      <w:r>
        <w:lastRenderedPageBreak/>
        <w:t>operations across multiple independent terminal buildings (e.g., American Airlines utilizing Terminals A, B, C, and E) to scale its operations.</w:t>
      </w:r>
    </w:p>
    <w:p w14:paraId="2458AE03" w14:textId="77777777" w:rsidR="006F42B9" w:rsidRDefault="00000000">
      <w:pPr>
        <w:spacing w:after="0" w:line="480" w:lineRule="auto"/>
      </w:pPr>
      <w:r>
        <w:rPr>
          <w:b/>
          <w:i/>
        </w:rPr>
        <w:t>Micro-Level Refinement: Checkpoint Co-Location and Isolation</w:t>
      </w:r>
    </w:p>
    <w:p w14:paraId="79187A02" w14:textId="77777777" w:rsidR="006F42B9" w:rsidRDefault="00000000">
      <w:pPr>
        <w:spacing w:after="0" w:line="480" w:lineRule="auto"/>
        <w:ind w:firstLine="720"/>
      </w:pPr>
      <w:r>
        <w:t>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 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To isolate the effects of low-cost carriers and unaligned traffic from legacy airline operations, the following terminal and checkpoint characteristics are defined to account for the impact of extenuating variables:</w:t>
      </w:r>
    </w:p>
    <w:p w14:paraId="3B0DA586" w14:textId="77777777" w:rsidR="006F42B9" w:rsidRDefault="00000000">
      <w:pPr>
        <w:spacing w:after="0" w:line="480" w:lineRule="auto"/>
        <w:ind w:firstLine="720"/>
      </w:pPr>
      <w:r>
        <w:rPr>
          <w:b/>
        </w:rPr>
        <w:t xml:space="preserve">Shared Checkpoints with Limited Carrier-Level Separation (Centralized): </w:t>
      </w:r>
      <w:r>
        <w:t>In centralized hub models like Salt Lake City (SLC), a dominant carrier may hold the majority market share (70%), but a single consolidated terminal channels 100% of passengers through one primary security checkpoint. In these environments, it is not readily possible to isolate carrier-specific passenger flows using the available data structures.</w:t>
      </w:r>
    </w:p>
    <w:p w14:paraId="1593D6D4" w14:textId="77777777" w:rsidR="006F42B9" w:rsidRDefault="00000000">
      <w:pPr>
        <w:spacing w:after="0" w:line="480" w:lineRule="auto"/>
        <w:ind w:firstLine="720"/>
      </w:pPr>
      <w:r>
        <w:rPr>
          <w:b/>
        </w:rPr>
        <w:t xml:space="preserve">Isolated Checkpoints (Decentralized): </w:t>
      </w:r>
      <w:r>
        <w:t>To find checkpoints highly unlikely to see Delta, American, or United traffic, the methodology prioritizes decentralized layouts with extreme carrier polarization, such as the following:</w:t>
      </w:r>
    </w:p>
    <w:p w14:paraId="63A551FD" w14:textId="77777777" w:rsidR="006F42B9" w:rsidRDefault="00000000">
      <w:pPr>
        <w:spacing w:after="0" w:line="480" w:lineRule="auto"/>
        <w:ind w:firstLine="720"/>
      </w:pPr>
      <w:r>
        <w:rPr>
          <w:b/>
        </w:rPr>
        <w:t xml:space="preserve">DCA (Terminal 1): </w:t>
      </w:r>
      <w:r>
        <w:t xml:space="preserve">Consisting of Gates A1–A9, this terminal exclusively serves Air Canada, Frontier, and Southwest. American, Delta, and United are completely segregated into </w:t>
      </w:r>
      <w:r>
        <w:lastRenderedPageBreak/>
        <w:t>Terminal 2, creating a strong comparison setting for low-cost and regional carrier processing behaviors.</w:t>
      </w:r>
    </w:p>
    <w:p w14:paraId="584741FB" w14:textId="77777777" w:rsidR="006F42B9" w:rsidRDefault="00000000">
      <w:pPr>
        <w:spacing w:after="0" w:line="480" w:lineRule="auto"/>
        <w:ind w:firstLine="720"/>
      </w:pPr>
      <w:r>
        <w:rPr>
          <w:b/>
        </w:rPr>
        <w:t xml:space="preserve">SEA (Decentralized Main Terminal): </w:t>
      </w:r>
      <w:r>
        <w:t>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40BB29AD" w14:textId="77777777" w:rsidR="006F42B9" w:rsidRDefault="00000000">
      <w:pPr>
        <w:spacing w:after="0" w:line="480" w:lineRule="auto"/>
        <w:ind w:firstLine="720"/>
      </w:pPr>
      <w:r>
        <w:rPr>
          <w:b/>
        </w:rPr>
        <w:t xml:space="preserve">CLT (Extreme Dominance Isolation): </w:t>
      </w:r>
      <w:r>
        <w:t>Where American Airlines controls 90% of the market share. Because Delta (2.5%) and United (2%) maintain a negligible footprint across the airport's 5 checkpoints, nearly any selected lane acts as a functional monoculture for a single legacy carrier's hub behavior.</w:t>
      </w:r>
    </w:p>
    <w:p w14:paraId="673AB679" w14:textId="77777777" w:rsidR="006F42B9" w:rsidRDefault="00000000">
      <w:pPr>
        <w:spacing w:after="0" w:line="480" w:lineRule="auto"/>
      </w:pPr>
      <w:r>
        <w:rPr>
          <w:b/>
        </w:rPr>
        <w:t>Four-Tiered Purposive Filtering Pipeline</w:t>
      </w:r>
    </w:p>
    <w:p w14:paraId="52773DFC" w14:textId="77777777" w:rsidR="006F42B9" w:rsidRDefault="00000000">
      <w:pPr>
        <w:spacing w:after="0" w:line="480" w:lineRule="auto"/>
        <w:ind w:firstLine="720"/>
      </w:pPr>
      <w:r>
        <w:t>To systematically isolate the direct operational link connecting airside flight schedules to landside security checkpoint demand, candidate airfields were filtered through a four-tiered purposive funnel, with the empirical retention counts and stage-by-stage sample reduction figures detailed in the Results section (Chapter IV):</w:t>
      </w:r>
    </w:p>
    <w:p w14:paraId="4391DA51" w14:textId="77777777" w:rsidR="006F42B9" w:rsidRDefault="00000000">
      <w:pPr>
        <w:spacing w:after="0" w:line="480" w:lineRule="auto"/>
        <w:ind w:firstLine="720"/>
      </w:pPr>
      <w:r>
        <w:rPr>
          <w:b/>
        </w:rPr>
        <w:t xml:space="preserve">Tier 1: Macro Filter (Scale and Congestion Regimes). </w:t>
      </w:r>
      <w:r>
        <w:t>The macro filter restricts the initial sampling universe to high-volume commercial airfields where heavy passenger traffic intensity routinely approaches screening capacity, generating the non-linear queuing delays and buffer depletion necessary to train and validate congestion-aware models.</w:t>
      </w:r>
    </w:p>
    <w:p w14:paraId="4D71333C" w14:textId="77777777" w:rsidR="006F42B9" w:rsidRDefault="00000000">
      <w:pPr>
        <w:spacing w:after="0" w:line="480" w:lineRule="auto"/>
        <w:ind w:firstLine="720"/>
      </w:pPr>
      <w:r>
        <w:rPr>
          <w:b/>
        </w:rPr>
        <w:t xml:space="preserve">Tier 2: Meso Filter (Airspace Shock Invariance). </w:t>
      </w:r>
      <w:r>
        <w:t xml:space="preserve">The meso filter requires candidate environments to operate concurrent domestic mainline services by American Airlines, Delta Air Lines, and United Airlines under identical regional meteorological and air traffic management </w:t>
      </w:r>
      <w:r>
        <w:lastRenderedPageBreak/>
        <w:t>conditions, neutralizing exogenous airspace disruption confounders while excluding low-cost carrier churn.</w:t>
      </w:r>
    </w:p>
    <w:p w14:paraId="0AC76E86" w14:textId="77777777" w:rsidR="006F42B9" w:rsidRDefault="00000000">
      <w:pPr>
        <w:spacing w:after="0" w:line="480" w:lineRule="auto"/>
        <w:ind w:firstLine="720"/>
      </w:pPr>
      <w:r>
        <w:rPr>
          <w:b/>
        </w:rPr>
        <w:t xml:space="preserve">Tier 3: Micro Filter (Carrier Checkpoint Isolation). </w:t>
      </w:r>
      <w:r>
        <w:t>The micro filter restricts analysis to terminal environments where carrier-exclusive gate footprints map directly to dedicated security screening checkpoints, eliminating inter-carrier schedule collinearity and multi-airline passenger crosstalk.</w:t>
      </w:r>
    </w:p>
    <w:p w14:paraId="1FE7C979" w14:textId="77777777" w:rsidR="006F42B9" w:rsidRDefault="00000000">
      <w:pPr>
        <w:spacing w:after="0" w:line="480" w:lineRule="auto"/>
        <w:ind w:firstLine="720"/>
      </w:pPr>
      <w:r>
        <w:rPr>
          <w:b/>
        </w:rPr>
        <w:t xml:space="preserve">Tier 4: Factorial Cohort (Orthogonal Factorial Balance). </w:t>
      </w:r>
      <w:r>
        <w:t>The factorial cohort establishes a balanced experimental matrix across the legacy carriers and terminal structural archetypes, ensuring factorial symmetry and preventing geographic or facility-specific bias in cross-airport model evaluations.</w:t>
      </w:r>
    </w:p>
    <w:p w14:paraId="1A28E2AD" w14:textId="77777777" w:rsidR="006F42B9" w:rsidRDefault="00000000">
      <w:pPr>
        <w:spacing w:after="0" w:line="480" w:lineRule="auto"/>
      </w:pPr>
      <w:r>
        <w:rPr>
          <w:b/>
        </w:rPr>
        <w:t>Temporal Scope and Boundary Definition</w:t>
      </w:r>
    </w:p>
    <w:p w14:paraId="2D8CD7C6" w14:textId="77777777" w:rsidR="006F42B9" w:rsidRDefault="00000000">
      <w:pPr>
        <w:spacing w:after="0" w:line="480" w:lineRule="auto"/>
        <w:ind w:firstLine="720"/>
      </w:pPr>
      <w:r>
        <w:t xml:space="preserve">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 This preprocessing step evaluates pre-pandemic baseline patterns against longitudinal 2019–2025 data to pinpoint the empirical inflection point where system throughput and schedule deviations returned to steady-state normalization. Structural break tests, rolling Welch's t-tests, and CUSUM analyses identified May 1, 2022 as the empirical inflection point, coinciding with the vacatur of the federal transit mask mandate and the rebound of airline load factors to 84.7%, matching pre-pandemic baselines. Restricting the active dataset to this verified window enables </w:t>
      </w:r>
      <w:r>
        <w:lastRenderedPageBreak/>
        <w:t>the forecasting models to capture contemporary queue dynamics and schedule-driven variability without being skewed by transient historic anomalies.</w:t>
      </w:r>
    </w:p>
    <w:p w14:paraId="0F3E8101" w14:textId="77777777" w:rsidR="006F42B9" w:rsidRDefault="00000000">
      <w:pPr>
        <w:spacing w:after="0" w:line="480" w:lineRule="auto"/>
      </w:pPr>
      <w:r>
        <w:rPr>
          <w:b/>
        </w:rPr>
        <w:t>Sources of Data</w:t>
      </w:r>
    </w:p>
    <w:p w14:paraId="6BE7AE12" w14:textId="77777777" w:rsidR="006F42B9" w:rsidRDefault="00000000">
      <w:pPr>
        <w:spacing w:after="0" w:line="480" w:lineRule="auto"/>
        <w:ind w:firstLine="720"/>
      </w:pPr>
      <w:r>
        <w:t>Secondary operational data are compiled from four primary authorized federal repositories covering the longitudinal study period: Transportation Security Administration (TSA) Freedom of Information Act (FOIA) Security Screening Checkpoint Logs, Bureau of Transportation Statistics (BTS) On-Time Flight Performance records, BTS Form 41 Schedule T-100 Domestic Segment Data, and BTS Origin and Destination Ticket Surveys (DB1B). Together, these longitudinal feeds capture hourly physical screening counts across checkpoint lanes, individual domestic flight movements and delay cause decompositions, aircraft seating configurations and route load factors, and quarterly passenger itinerary connection ratios. Complete repository profiles, entity grains, and operational attributes are detailed in Table A.3 and the Appendix.</w:t>
      </w:r>
    </w:p>
    <w:p w14:paraId="320DD6E9" w14:textId="77777777" w:rsidR="006F42B9" w:rsidRDefault="00000000">
      <w:pPr>
        <w:spacing w:after="0" w:line="480" w:lineRule="auto"/>
      </w:pPr>
      <w:r>
        <w:rPr>
          <w:b/>
        </w:rPr>
        <w:t>Validity</w:t>
      </w:r>
    </w:p>
    <w:p w14:paraId="57FA718C" w14:textId="77777777" w:rsidR="006F42B9" w:rsidRDefault="00000000">
      <w:pPr>
        <w:spacing w:after="0" w:line="480" w:lineRule="auto"/>
        <w:ind w:firstLine="720"/>
      </w:pPr>
      <w:r>
        <w:t>A major threat to internal model validity is the presence of connecting passengers who remain airside and do not pass through a public checkpoint in load factor data. Including them in checkpoint demand estimates inflates predicted originating demand (the 'Hub Disconnect'). To reduce this bias, origin-and-destination survey data from the BTS DB1B database is used to estimate and remove connecting traffic from passenger flow calculations, isolating true originating landside checkpoint demand. Additional internal validity controls—including the enforcement of operational purge buffers to eliminate temporal boundary leakage and meso-level filtering to ensure exogenous airspace shock invariance—are detailed in the Appendix.</w:t>
      </w:r>
    </w:p>
    <w:p w14:paraId="3DE2FDF2" w14:textId="77777777" w:rsidR="006F42B9" w:rsidRDefault="00000000">
      <w:pPr>
        <w:spacing w:after="0" w:line="480" w:lineRule="auto"/>
        <w:ind w:firstLine="720"/>
      </w:pPr>
      <w:r>
        <w:lastRenderedPageBreak/>
        <w:t>Construct validity is also affected by checkpoint heterogeneity, as the raw lane counts obtained from TSA throughput data combine different screening modes, such as TSA PreCheck and standard screening lanes, and their corresponding processing rates. To address this threat, the methodology constructs scale-free relative volatility metrics and standardized lane measures rather than unadjusted raw totals, with all mathematical volatility formulations and operational construct definitions detailed in the Appendix.</w:t>
      </w:r>
    </w:p>
    <w:p w14:paraId="483510F1" w14:textId="77777777" w:rsidR="006F42B9" w:rsidRDefault="00000000">
      <w:pPr>
        <w:spacing w:after="0" w:line="480" w:lineRule="auto"/>
      </w:pPr>
      <w:r>
        <w:rPr>
          <w:b/>
        </w:rPr>
        <w:t>Treatment of the Data</w:t>
      </w:r>
    </w:p>
    <w:p w14:paraId="36D7DA33" w14:textId="77777777" w:rsidR="006F42B9" w:rsidRDefault="00000000">
      <w:pPr>
        <w:spacing w:after="0" w:line="480" w:lineRule="auto"/>
        <w:ind w:firstLine="720"/>
      </w:pPr>
      <w:r>
        <w:t>Data processing follows a sequential pipeline. First, raw BTS and TSA files are exported and parsed using Python on the institutional computing environment. Timestamps are standardized to a uniform operational clock matching local airport solar time. Scheduled overnight checkpoint closures are preserved as true operational structural zeros, and advance cancellations are separated from tactical cancellations to preserve information causality. Lastly, flight departure times are aligned with passenger lead-time assumptions from ACRP Report 40 and merged with hourly TSA throughput intervals to create a final modeling dataset, with the exhaustive ETL data engineering protocol detailed in the Appendix.</w:t>
      </w:r>
    </w:p>
    <w:sectPr w:rsidR="006F42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406423">
    <w:abstractNumId w:val="8"/>
  </w:num>
  <w:num w:numId="2" w16cid:durableId="88282812">
    <w:abstractNumId w:val="6"/>
  </w:num>
  <w:num w:numId="3" w16cid:durableId="1793011581">
    <w:abstractNumId w:val="5"/>
  </w:num>
  <w:num w:numId="4" w16cid:durableId="2051345145">
    <w:abstractNumId w:val="4"/>
  </w:num>
  <w:num w:numId="5" w16cid:durableId="1468669619">
    <w:abstractNumId w:val="7"/>
  </w:num>
  <w:num w:numId="6" w16cid:durableId="59642149">
    <w:abstractNumId w:val="3"/>
  </w:num>
  <w:num w:numId="7" w16cid:durableId="1588340879">
    <w:abstractNumId w:val="2"/>
  </w:num>
  <w:num w:numId="8" w16cid:durableId="1047534868">
    <w:abstractNumId w:val="1"/>
  </w:num>
  <w:num w:numId="9" w16cid:durableId="10109854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D63"/>
    <w:rsid w:val="00326F90"/>
    <w:rsid w:val="006F42B9"/>
    <w:rsid w:val="008029F8"/>
    <w:rsid w:val="00AA1D8D"/>
    <w:rsid w:val="00B47730"/>
    <w:rsid w:val="00CB0664"/>
    <w:rsid w:val="00E40DF4"/>
    <w:rsid w:val="00E94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97C58D-7607-AD42-8648-6FFECBE8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3551</Words>
  <Characters>20243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4</cp:revision>
  <dcterms:created xsi:type="dcterms:W3CDTF">2013-12-23T23:15:00Z</dcterms:created>
  <dcterms:modified xsi:type="dcterms:W3CDTF">2026-10-11T23:50:00Z</dcterms:modified>
  <cp:category/>
</cp:coreProperties>
</file>