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3A3774" w14:textId="77777777" w:rsidR="00E0734B" w:rsidRPr="00173BA3" w:rsidRDefault="00E0734B" w:rsidP="00173BA3">
      <w:pPr>
        <w:ind w:firstLine="0"/>
        <w:contextualSpacing w:val="0"/>
        <w:jc w:val="center"/>
        <w:rPr>
          <w:b/>
          <w:bCs/>
          <w:iCs/>
          <w:color w:val="000000" w:themeColor="text1"/>
        </w:rPr>
      </w:pPr>
      <w:bookmarkStart w:id="0" w:name="_Toc242174123"/>
      <w:bookmarkStart w:id="1" w:name="_Toc242174775"/>
      <w:r w:rsidRPr="00173BA3">
        <w:rPr>
          <w:b/>
          <w:bCs/>
          <w:color w:val="000000" w:themeColor="text1"/>
        </w:rPr>
        <w:t>Chapter I</w:t>
      </w:r>
      <w:bookmarkEnd w:id="0"/>
      <w:bookmarkEnd w:id="1"/>
    </w:p>
    <w:p w14:paraId="1D6E4FB5" w14:textId="77777777" w:rsidR="00E0734B" w:rsidRPr="00173BA3" w:rsidRDefault="00E0734B" w:rsidP="00173BA3">
      <w:pPr>
        <w:pStyle w:val="Heading1"/>
      </w:pPr>
      <w:bookmarkStart w:id="2" w:name="_Toc242174124"/>
      <w:bookmarkStart w:id="3" w:name="_Toc242174776"/>
      <w:r w:rsidRPr="00173BA3">
        <w:t>Introduction</w:t>
      </w:r>
      <w:bookmarkEnd w:id="2"/>
      <w:bookmarkEnd w:id="3"/>
    </w:p>
    <w:p w14:paraId="48647F43" w14:textId="77777777" w:rsidR="00AE4DED" w:rsidRDefault="00E0734B" w:rsidP="003353D3">
      <w:pPr>
        <w:rPr>
          <w:color w:val="000000" w:themeColor="text1"/>
        </w:rPr>
      </w:pPr>
      <w:r w:rsidRPr="00173BA3">
        <w:rPr>
          <w:color w:val="000000" w:themeColor="text1"/>
        </w:rPr>
        <w:t>As air travel demand outpaces airport infrastructure growth, inefficient resource allocation has become a critical operational bottleneck (</w:t>
      </w:r>
      <w:proofErr w:type="spellStart"/>
      <w:r w:rsidRPr="00173BA3">
        <w:rPr>
          <w:color w:val="000000" w:themeColor="text1"/>
        </w:rPr>
        <w:t>Adacher</w:t>
      </w:r>
      <w:proofErr w:type="spellEnd"/>
      <w:r w:rsidRPr="00173BA3">
        <w:rPr>
          <w:color w:val="000000" w:themeColor="text1"/>
        </w:rPr>
        <w:t xml:space="preserve">, Flamini, </w:t>
      </w:r>
      <w:proofErr w:type="spellStart"/>
      <w:r w:rsidRPr="00173BA3">
        <w:rPr>
          <w:color w:val="000000" w:themeColor="text1"/>
        </w:rPr>
        <w:t>Guaita</w:t>
      </w:r>
      <w:proofErr w:type="spellEnd"/>
      <w:r w:rsidRPr="00173BA3">
        <w:rPr>
          <w:color w:val="000000" w:themeColor="text1"/>
        </w:rPr>
        <w:t xml:space="preserve"> &amp; Romano, 2017). </w:t>
      </w:r>
      <w:r w:rsidR="00C202E8" w:rsidRPr="00173BA3">
        <w:rPr>
          <w:color w:val="000000" w:themeColor="text1"/>
        </w:rPr>
        <w:t>Barriers such as p</w:t>
      </w:r>
      <w:r w:rsidR="001C0042" w:rsidRPr="00173BA3">
        <w:rPr>
          <w:color w:val="000000" w:themeColor="text1"/>
        </w:rPr>
        <w:t>rohibitive capital costs</w:t>
      </w:r>
      <w:r w:rsidR="00C202E8" w:rsidRPr="00173BA3">
        <w:rPr>
          <w:color w:val="000000" w:themeColor="text1"/>
        </w:rPr>
        <w:t xml:space="preserve"> and</w:t>
      </w:r>
      <w:r w:rsidR="001C0042" w:rsidRPr="00173BA3">
        <w:rPr>
          <w:color w:val="000000" w:themeColor="text1"/>
        </w:rPr>
        <w:t xml:space="preserve"> municipal land constraints</w:t>
      </w:r>
      <w:r w:rsidR="00C202E8" w:rsidRPr="00173BA3">
        <w:rPr>
          <w:color w:val="000000" w:themeColor="text1"/>
        </w:rPr>
        <w:t xml:space="preserve"> </w:t>
      </w:r>
      <w:r w:rsidR="001C0042" w:rsidRPr="00173BA3">
        <w:rPr>
          <w:color w:val="000000" w:themeColor="text1"/>
        </w:rPr>
        <w:t>severely restrict physical terminal expansion (</w:t>
      </w:r>
      <w:proofErr w:type="spellStart"/>
      <w:r w:rsidR="001C0042" w:rsidRPr="00173BA3">
        <w:rPr>
          <w:color w:val="000000" w:themeColor="text1"/>
        </w:rPr>
        <w:t>AlKheder</w:t>
      </w:r>
      <w:proofErr w:type="spellEnd"/>
      <w:r w:rsidR="001C0042" w:rsidRPr="00173BA3">
        <w:rPr>
          <w:color w:val="000000" w:themeColor="text1"/>
        </w:rPr>
        <w:t xml:space="preserve"> et al., 2024; </w:t>
      </w:r>
      <w:proofErr w:type="spellStart"/>
      <w:r w:rsidR="001C0042" w:rsidRPr="00173BA3">
        <w:rPr>
          <w:color w:val="000000" w:themeColor="text1"/>
        </w:rPr>
        <w:t>Balliauw</w:t>
      </w:r>
      <w:proofErr w:type="spellEnd"/>
      <w:r w:rsidR="001C0042" w:rsidRPr="00173BA3">
        <w:rPr>
          <w:color w:val="000000" w:themeColor="text1"/>
        </w:rPr>
        <w:t xml:space="preserve"> &amp; </w:t>
      </w:r>
      <w:proofErr w:type="spellStart"/>
      <w:r w:rsidR="001C0042" w:rsidRPr="00173BA3">
        <w:rPr>
          <w:color w:val="000000" w:themeColor="text1"/>
        </w:rPr>
        <w:t>Onghena</w:t>
      </w:r>
      <w:proofErr w:type="spellEnd"/>
      <w:r w:rsidR="001C0042" w:rsidRPr="00173BA3">
        <w:rPr>
          <w:color w:val="000000" w:themeColor="text1"/>
        </w:rPr>
        <w:t xml:space="preserve">, 2020; De Neufville &amp; </w:t>
      </w:r>
      <w:proofErr w:type="spellStart"/>
      <w:r w:rsidR="001C0042" w:rsidRPr="00173BA3">
        <w:rPr>
          <w:color w:val="000000" w:themeColor="text1"/>
        </w:rPr>
        <w:t>Odoni</w:t>
      </w:r>
      <w:proofErr w:type="spellEnd"/>
      <w:r w:rsidR="001C0042" w:rsidRPr="00173BA3">
        <w:rPr>
          <w:color w:val="000000" w:themeColor="text1"/>
        </w:rPr>
        <w:t>, 2014; Ozores, 2026). Consequently, airport operators and federal security authorities must extract maximum operational throughput from fixed physical assets through software-driven predictive intelligence.</w:t>
      </w:r>
      <w:r w:rsidR="003353D3">
        <w:rPr>
          <w:color w:val="000000" w:themeColor="text1"/>
        </w:rPr>
        <w:t xml:space="preserve"> </w:t>
      </w:r>
    </w:p>
    <w:p w14:paraId="2BF4A22E" w14:textId="4F49418C" w:rsidR="00E0734B" w:rsidRPr="00173BA3" w:rsidRDefault="00A20EC8" w:rsidP="003353D3">
      <w:pPr>
        <w:rPr>
          <w:color w:val="000000" w:themeColor="text1"/>
        </w:rPr>
      </w:pPr>
      <w:r w:rsidRPr="00173BA3">
        <w:rPr>
          <w:color w:val="000000" w:themeColor="text1"/>
        </w:rPr>
        <w:t xml:space="preserve">While predictive models are widely deployed to anticipate terminal demand, the systemic disruptions of the COVID-19 pandemic and subsequent recovery exposed critical vulnerabilities in traditional, accuracy-centric evaluation standards (Sun, </w:t>
      </w:r>
      <w:proofErr w:type="spellStart"/>
      <w:r w:rsidRPr="00173BA3">
        <w:rPr>
          <w:color w:val="000000" w:themeColor="text1"/>
        </w:rPr>
        <w:t>Wandelt</w:t>
      </w:r>
      <w:proofErr w:type="spellEnd"/>
      <w:r w:rsidRPr="00173BA3">
        <w:rPr>
          <w:color w:val="000000" w:themeColor="text1"/>
        </w:rPr>
        <w:t xml:space="preserve">, &amp; Zhang, 2022). </w:t>
      </w:r>
      <w:r w:rsidR="00E0734B" w:rsidRPr="00173BA3">
        <w:rPr>
          <w:color w:val="000000" w:themeColor="text1"/>
        </w:rPr>
        <w:t>These unprecedented operational disruptions demonstrated that conventional accuracy metrics, while necessary, are insufficient as the sole basis for evaluating models intended for volatile airport operating environments. Specifically, the pandemic revealed that a singular evaluation standard is inadequate across highly variable operational contexts, necessitating the assessment of predictive models through a broader, multidimensional set of performance measures. In airport operations, the most useful predictive model is therefore not necessarily the one with the lowest average forecast error but the model that:</w:t>
      </w:r>
    </w:p>
    <w:p w14:paraId="62FE86DD" w14:textId="6A4E1439" w:rsidR="00E0734B" w:rsidRPr="00173BA3" w:rsidRDefault="0017365B" w:rsidP="00173BA3">
      <w:pPr>
        <w:pStyle w:val="ListParagraph"/>
        <w:numPr>
          <w:ilvl w:val="0"/>
          <w:numId w:val="1"/>
        </w:numPr>
        <w:spacing w:after="0" w:line="480" w:lineRule="auto"/>
        <w:rPr>
          <w:rFonts w:ascii="Times New Roman" w:hAnsi="Times New Roman" w:cs="Times New Roman"/>
          <w:color w:val="000000" w:themeColor="text1"/>
        </w:rPr>
      </w:pPr>
      <w:r w:rsidRPr="00173BA3">
        <w:rPr>
          <w:rFonts w:ascii="Times New Roman" w:hAnsi="Times New Roman" w:cs="Times New Roman"/>
          <w:b/>
          <w:bCs/>
          <w:color w:val="000000" w:themeColor="text1"/>
        </w:rPr>
        <w:t>Robustness (</w:t>
      </w:r>
      <w:r w:rsidR="00E0734B" w:rsidRPr="00173BA3">
        <w:rPr>
          <w:rFonts w:ascii="Times New Roman" w:hAnsi="Times New Roman" w:cs="Times New Roman"/>
          <w:b/>
          <w:bCs/>
          <w:color w:val="000000" w:themeColor="text1"/>
        </w:rPr>
        <w:t>Remains reliable during routine operations</w:t>
      </w:r>
      <w:r w:rsidRPr="00173BA3">
        <w:rPr>
          <w:rFonts w:ascii="Times New Roman" w:hAnsi="Times New Roman" w:cs="Times New Roman"/>
          <w:b/>
          <w:bCs/>
          <w:color w:val="000000" w:themeColor="text1"/>
        </w:rPr>
        <w:t>)</w:t>
      </w:r>
      <w:r w:rsidR="00E0734B" w:rsidRPr="00173BA3">
        <w:rPr>
          <w:rFonts w:ascii="Times New Roman" w:hAnsi="Times New Roman" w:cs="Times New Roman"/>
          <w:color w:val="000000" w:themeColor="text1"/>
        </w:rPr>
        <w:t>: Providing consistent, low-error baseline volatility forecasts during undisturbed flight banks.</w:t>
      </w:r>
    </w:p>
    <w:p w14:paraId="5988C96A" w14:textId="795B61A0" w:rsidR="00E0734B" w:rsidRPr="00173BA3" w:rsidRDefault="0017365B" w:rsidP="00173BA3">
      <w:pPr>
        <w:pStyle w:val="ListParagraph"/>
        <w:numPr>
          <w:ilvl w:val="0"/>
          <w:numId w:val="1"/>
        </w:numPr>
        <w:spacing w:after="0" w:line="480" w:lineRule="auto"/>
        <w:rPr>
          <w:rFonts w:ascii="Times New Roman" w:hAnsi="Times New Roman" w:cs="Times New Roman"/>
          <w:color w:val="000000" w:themeColor="text1"/>
        </w:rPr>
      </w:pPr>
      <w:r w:rsidRPr="00173BA3">
        <w:rPr>
          <w:rFonts w:ascii="Times New Roman" w:hAnsi="Times New Roman" w:cs="Times New Roman"/>
          <w:b/>
          <w:bCs/>
          <w:color w:val="000000" w:themeColor="text1"/>
        </w:rPr>
        <w:lastRenderedPageBreak/>
        <w:t>Resilience (</w:t>
      </w:r>
      <w:r w:rsidR="00E0734B" w:rsidRPr="00173BA3">
        <w:rPr>
          <w:rFonts w:ascii="Times New Roman" w:hAnsi="Times New Roman" w:cs="Times New Roman"/>
          <w:b/>
          <w:bCs/>
          <w:color w:val="000000" w:themeColor="text1"/>
        </w:rPr>
        <w:t>Maintains stability and recovers rapidly during disruptions</w:t>
      </w:r>
      <w:r w:rsidRPr="00173BA3">
        <w:rPr>
          <w:rFonts w:ascii="Times New Roman" w:hAnsi="Times New Roman" w:cs="Times New Roman"/>
          <w:b/>
          <w:bCs/>
          <w:color w:val="000000" w:themeColor="text1"/>
        </w:rPr>
        <w:t>)</w:t>
      </w:r>
      <w:r w:rsidR="00E0734B" w:rsidRPr="00173BA3">
        <w:rPr>
          <w:rFonts w:ascii="Times New Roman" w:hAnsi="Times New Roman" w:cs="Times New Roman"/>
          <w:color w:val="000000" w:themeColor="text1"/>
        </w:rPr>
        <w:t>: Absorbing severe exogenous shocks (such as winter freeze events or summer convective ground delay programs) without generating false demand collapses or runaway queue backlogs.</w:t>
      </w:r>
    </w:p>
    <w:p w14:paraId="6FA3CE62" w14:textId="2A0131C6" w:rsidR="00E0734B" w:rsidRPr="00173BA3" w:rsidRDefault="0017365B" w:rsidP="00173BA3">
      <w:pPr>
        <w:pStyle w:val="ListParagraph"/>
        <w:numPr>
          <w:ilvl w:val="0"/>
          <w:numId w:val="1"/>
        </w:numPr>
        <w:spacing w:after="0" w:line="480" w:lineRule="auto"/>
        <w:rPr>
          <w:rFonts w:ascii="Times New Roman" w:hAnsi="Times New Roman" w:cs="Times New Roman"/>
          <w:color w:val="000000" w:themeColor="text1"/>
        </w:rPr>
      </w:pPr>
      <w:r w:rsidRPr="00173BA3">
        <w:rPr>
          <w:rFonts w:ascii="Times New Roman" w:hAnsi="Times New Roman" w:cs="Times New Roman"/>
          <w:b/>
          <w:bCs/>
          <w:color w:val="000000" w:themeColor="text1"/>
        </w:rPr>
        <w:t>Generalizability (</w:t>
      </w:r>
      <w:r w:rsidR="00E0734B" w:rsidRPr="00173BA3">
        <w:rPr>
          <w:rFonts w:ascii="Times New Roman" w:hAnsi="Times New Roman" w:cs="Times New Roman"/>
          <w:b/>
          <w:bCs/>
          <w:color w:val="000000" w:themeColor="text1"/>
        </w:rPr>
        <w:t>Transfers effectively across operational contexts</w:t>
      </w:r>
      <w:r w:rsidRPr="00173BA3">
        <w:rPr>
          <w:rFonts w:ascii="Times New Roman" w:hAnsi="Times New Roman" w:cs="Times New Roman"/>
          <w:b/>
          <w:bCs/>
          <w:color w:val="000000" w:themeColor="text1"/>
        </w:rPr>
        <w:t>)</w:t>
      </w:r>
      <w:r w:rsidR="00E0734B" w:rsidRPr="00173BA3">
        <w:rPr>
          <w:rFonts w:ascii="Times New Roman" w:hAnsi="Times New Roman" w:cs="Times New Roman"/>
          <w:color w:val="000000" w:themeColor="text1"/>
        </w:rPr>
        <w:t>: Porting its structural logic across divergent airport terminal layouts and airline hub network topologies without requiring extensive, site-specific historical retraining.</w:t>
      </w:r>
    </w:p>
    <w:p w14:paraId="7A316E7F" w14:textId="20D7810E" w:rsidR="00E0734B" w:rsidRPr="00173BA3" w:rsidRDefault="00E0734B" w:rsidP="00173BA3">
      <w:pPr>
        <w:rPr>
          <w:color w:val="000000" w:themeColor="text1"/>
        </w:rPr>
      </w:pPr>
      <w:r w:rsidRPr="00173BA3">
        <w:rPr>
          <w:color w:val="000000" w:themeColor="text1"/>
        </w:rPr>
        <w:t>This study examines the suitability of predictive modeling frameworks – spanning deterministic operational baselines (such as persistence and scheduled flight bank dispersion), data-driven decision-tree architectures (automated rule-based machine learning models), and sequential two-stage hybrid models (combining schedule baselines with real-time error correction) – for forecasting Transportation Security Administration (TSA) checkpoint throughput volatility across routine, volatile, and disrupted demand regimes.</w:t>
      </w:r>
    </w:p>
    <w:p w14:paraId="556909BA" w14:textId="77777777" w:rsidR="00E0734B" w:rsidRPr="00173BA3" w:rsidRDefault="00E0734B" w:rsidP="00173BA3">
      <w:pPr>
        <w:pStyle w:val="Heading2"/>
        <w:spacing w:before="0" w:after="0" w:line="480" w:lineRule="auto"/>
        <w:rPr>
          <w:rFonts w:ascii="Times New Roman" w:hAnsi="Times New Roman" w:cs="Times New Roman"/>
          <w:b/>
          <w:bCs/>
          <w:color w:val="000000" w:themeColor="text1"/>
          <w:sz w:val="24"/>
          <w:szCs w:val="24"/>
        </w:rPr>
      </w:pPr>
      <w:bookmarkStart w:id="4" w:name="_Toc242174125"/>
      <w:bookmarkStart w:id="5" w:name="_Toc242174777"/>
      <w:r w:rsidRPr="00173BA3">
        <w:rPr>
          <w:rFonts w:ascii="Times New Roman" w:hAnsi="Times New Roman" w:cs="Times New Roman"/>
          <w:b/>
          <w:bCs/>
          <w:color w:val="000000" w:themeColor="text1"/>
          <w:sz w:val="24"/>
          <w:szCs w:val="24"/>
        </w:rPr>
        <w:t>Significance of the Study</w:t>
      </w:r>
      <w:bookmarkEnd w:id="4"/>
      <w:bookmarkEnd w:id="5"/>
    </w:p>
    <w:p w14:paraId="39A70DB2" w14:textId="50EA01EB" w:rsidR="00E0734B" w:rsidRPr="00173BA3" w:rsidRDefault="00E0734B" w:rsidP="00173BA3">
      <w:pPr>
        <w:rPr>
          <w:color w:val="000000" w:themeColor="text1"/>
        </w:rPr>
      </w:pPr>
      <w:r w:rsidRPr="00173BA3">
        <w:rPr>
          <w:color w:val="000000" w:themeColor="text1"/>
        </w:rPr>
        <w:t xml:space="preserve">This research aims to contribute to </w:t>
      </w:r>
      <w:r w:rsidR="00686FCD">
        <w:rPr>
          <w:color w:val="000000" w:themeColor="text1"/>
        </w:rPr>
        <w:t xml:space="preserve">airport capacity optimization by </w:t>
      </w:r>
      <w:r w:rsidRPr="00173BA3">
        <w:rPr>
          <w:color w:val="000000" w:themeColor="text1"/>
        </w:rPr>
        <w:t xml:space="preserve">shifting the paradigm of how predictive models are evaluated </w:t>
      </w:r>
      <w:r w:rsidR="00686FCD">
        <w:rPr>
          <w:color w:val="000000" w:themeColor="text1"/>
        </w:rPr>
        <w:t>under</w:t>
      </w:r>
      <w:r w:rsidRPr="00173BA3">
        <w:rPr>
          <w:color w:val="000000" w:themeColor="text1"/>
        </w:rPr>
        <w:t xml:space="preserve"> unpredictable airport operations. </w:t>
      </w:r>
      <w:r w:rsidR="00686FCD" w:rsidRPr="00686FCD">
        <w:rPr>
          <w:color w:val="000000" w:themeColor="text1"/>
        </w:rPr>
        <w:t>By analyzing the relationship between flight operations and TSA throughput, it seeks to assess these frameworks across robustness, resilience, and generalizability, aiming to provide airport management with the strategic flexibility to select forecasting tools tailored to their operational priorities</w:t>
      </w:r>
      <w:r w:rsidR="00686FCD">
        <w:rPr>
          <w:color w:val="000000" w:themeColor="text1"/>
        </w:rPr>
        <w:t>.</w:t>
      </w:r>
    </w:p>
    <w:p w14:paraId="58C5396F" w14:textId="77777777" w:rsidR="00E0734B" w:rsidRPr="00173BA3" w:rsidRDefault="00E0734B" w:rsidP="00173BA3">
      <w:pPr>
        <w:pStyle w:val="Heading2"/>
        <w:spacing w:before="0" w:after="0" w:line="480" w:lineRule="auto"/>
        <w:rPr>
          <w:rFonts w:ascii="Times New Roman" w:eastAsia="Times New Roman" w:hAnsi="Times New Roman" w:cs="Times New Roman"/>
          <w:b/>
          <w:bCs/>
          <w:color w:val="000000" w:themeColor="text1"/>
          <w:sz w:val="24"/>
          <w:szCs w:val="24"/>
        </w:rPr>
      </w:pPr>
      <w:bookmarkStart w:id="6" w:name="_Toc242174126"/>
      <w:bookmarkStart w:id="7" w:name="_Toc242174778"/>
      <w:r w:rsidRPr="00173BA3">
        <w:rPr>
          <w:rFonts w:ascii="Times New Roman" w:eastAsia="Times New Roman" w:hAnsi="Times New Roman" w:cs="Times New Roman"/>
          <w:b/>
          <w:bCs/>
          <w:color w:val="000000" w:themeColor="text1"/>
          <w:sz w:val="24"/>
          <w:szCs w:val="24"/>
        </w:rPr>
        <w:t>Statement of the Problem</w:t>
      </w:r>
      <w:bookmarkEnd w:id="6"/>
      <w:bookmarkEnd w:id="7"/>
    </w:p>
    <w:p w14:paraId="21393403" w14:textId="7A0BB1E2" w:rsidR="00E0734B" w:rsidRPr="00173BA3" w:rsidRDefault="00E0734B" w:rsidP="00173BA3">
      <w:pPr>
        <w:rPr>
          <w:color w:val="000000" w:themeColor="text1"/>
        </w:rPr>
      </w:pPr>
      <w:r w:rsidRPr="00173BA3">
        <w:rPr>
          <w:color w:val="000000" w:themeColor="text1"/>
        </w:rPr>
        <w:t xml:space="preserve">Airport passenger arrivals and behaviors are inherently stochastic, varying significantly by time of day, flight schedules, and external factors (Cheng, Zhang, &amp; Guo, 2012; Dönmez, </w:t>
      </w:r>
      <w:proofErr w:type="spellStart"/>
      <w:r w:rsidRPr="00173BA3">
        <w:rPr>
          <w:color w:val="000000" w:themeColor="text1"/>
        </w:rPr>
        <w:t>Tükenmez</w:t>
      </w:r>
      <w:proofErr w:type="spellEnd"/>
      <w:r w:rsidRPr="00173BA3">
        <w:rPr>
          <w:color w:val="000000" w:themeColor="text1"/>
        </w:rPr>
        <w:t xml:space="preserve">, &amp; </w:t>
      </w:r>
      <w:proofErr w:type="spellStart"/>
      <w:r w:rsidRPr="00173BA3">
        <w:rPr>
          <w:color w:val="000000" w:themeColor="text1"/>
        </w:rPr>
        <w:t>Cecen</w:t>
      </w:r>
      <w:proofErr w:type="spellEnd"/>
      <w:r w:rsidRPr="00173BA3">
        <w:rPr>
          <w:color w:val="000000" w:themeColor="text1"/>
        </w:rPr>
        <w:t xml:space="preserve">, 2025). Existing models for managing airport passenger flow tend to rely on static or pre‑pandemic assumptions, </w:t>
      </w:r>
      <w:r w:rsidR="008341E0">
        <w:rPr>
          <w:color w:val="000000" w:themeColor="text1"/>
        </w:rPr>
        <w:t xml:space="preserve">often </w:t>
      </w:r>
      <w:r w:rsidRPr="00173BA3">
        <w:rPr>
          <w:color w:val="000000" w:themeColor="text1"/>
        </w:rPr>
        <w:t xml:space="preserve">failing to account for unpredictable post‑pandemic </w:t>
      </w:r>
      <w:r w:rsidRPr="00173BA3">
        <w:rPr>
          <w:color w:val="000000" w:themeColor="text1"/>
        </w:rPr>
        <w:lastRenderedPageBreak/>
        <w:t xml:space="preserve">travel patterns (Ebert, Dutta, Mengersen, Mira, Ruggeri, &amp; Wu, 2021; Hopfe, Lee &amp; Yu, 2024). This mismatch between capacity planning and fluctuating passenger demand contributes to bottlenecks at check‑in counters, TSA checkpoints, and boarding gates, leading to congestion and inefficient resource allocation. </w:t>
      </w:r>
      <w:r w:rsidR="00B70551" w:rsidRPr="00B70551">
        <w:rPr>
          <w:color w:val="000000" w:themeColor="text1"/>
        </w:rPr>
        <w:t>Ultimately, the pandemic demonstrated that static historical baselines are insufficient for modern operations; without an adaptable and dynamic evaluation methodology, airports risk deploying tools that fail to absorb day-to-day demand fluctuations,</w:t>
      </w:r>
      <w:r w:rsidR="00B70551">
        <w:rPr>
          <w:color w:val="000000" w:themeColor="text1"/>
        </w:rPr>
        <w:t xml:space="preserve"> </w:t>
      </w:r>
      <w:r w:rsidR="00B70551" w:rsidRPr="00B70551">
        <w:rPr>
          <w:color w:val="000000" w:themeColor="text1"/>
        </w:rPr>
        <w:t>respond to sudden operational shocks</w:t>
      </w:r>
      <w:r w:rsidR="00B70551">
        <w:rPr>
          <w:color w:val="000000" w:themeColor="text1"/>
        </w:rPr>
        <w:t>, or account for unique airport characteristics.</w:t>
      </w:r>
    </w:p>
    <w:p w14:paraId="2A8D2504" w14:textId="77777777" w:rsidR="00E0734B" w:rsidRPr="00173BA3" w:rsidRDefault="00E0734B" w:rsidP="00173BA3">
      <w:pPr>
        <w:pStyle w:val="Heading2"/>
        <w:spacing w:before="0" w:after="0" w:line="480" w:lineRule="auto"/>
        <w:rPr>
          <w:rFonts w:ascii="Times New Roman" w:eastAsia="Times New Roman" w:hAnsi="Times New Roman" w:cs="Times New Roman"/>
          <w:b/>
          <w:bCs/>
          <w:color w:val="000000" w:themeColor="text1"/>
          <w:sz w:val="24"/>
          <w:szCs w:val="24"/>
        </w:rPr>
      </w:pPr>
      <w:bookmarkStart w:id="8" w:name="_Toc242174127"/>
      <w:bookmarkStart w:id="9" w:name="_Toc242174779"/>
      <w:r w:rsidRPr="00173BA3">
        <w:rPr>
          <w:rFonts w:ascii="Times New Roman" w:eastAsia="Times New Roman" w:hAnsi="Times New Roman" w:cs="Times New Roman"/>
          <w:b/>
          <w:bCs/>
          <w:color w:val="000000" w:themeColor="text1"/>
          <w:sz w:val="24"/>
          <w:szCs w:val="24"/>
        </w:rPr>
        <w:t>Purpose Statement</w:t>
      </w:r>
      <w:bookmarkEnd w:id="8"/>
      <w:bookmarkEnd w:id="9"/>
    </w:p>
    <w:p w14:paraId="03D1E0B3" w14:textId="432AADF6" w:rsidR="00E0734B" w:rsidRPr="00173BA3" w:rsidRDefault="00E0734B" w:rsidP="00173BA3">
      <w:pPr>
        <w:rPr>
          <w:color w:val="000000" w:themeColor="text1"/>
        </w:rPr>
      </w:pPr>
      <w:r w:rsidRPr="00173BA3">
        <w:rPr>
          <w:color w:val="000000" w:themeColor="text1"/>
        </w:rPr>
        <w:t>The primary objective is to evaluate predictive modeling techniques, such as regression, machine learning, and queuing simulation, to optimize airport capacity via technological rather than physical</w:t>
      </w:r>
      <w:r w:rsidR="00864FC2">
        <w:rPr>
          <w:color w:val="000000" w:themeColor="text1"/>
        </w:rPr>
        <w:t>, more costly</w:t>
      </w:r>
      <w:r w:rsidRPr="00173BA3">
        <w:rPr>
          <w:color w:val="000000" w:themeColor="text1"/>
        </w:rPr>
        <w:t xml:space="preserve"> intervention</w:t>
      </w:r>
      <w:r w:rsidR="00864FC2">
        <w:rPr>
          <w:color w:val="000000" w:themeColor="text1"/>
        </w:rPr>
        <w:t>s</w:t>
      </w:r>
      <w:r w:rsidRPr="00173BA3">
        <w:rPr>
          <w:color w:val="000000" w:themeColor="text1"/>
        </w:rPr>
        <w:t xml:space="preserve">. By analyzing the relationship between flight operations and TSA throughput, this study evaluates various predictive modeling frameworks against the primary criteria of robustness, resilience, and generalizability. Rather than seeking a singular, universally optimal model, this research </w:t>
      </w:r>
      <w:r w:rsidR="00686FCD">
        <w:rPr>
          <w:color w:val="000000" w:themeColor="text1"/>
        </w:rPr>
        <w:t>aims to identify</w:t>
      </w:r>
      <w:r w:rsidRPr="00173BA3">
        <w:rPr>
          <w:color w:val="000000" w:themeColor="text1"/>
        </w:rPr>
        <w:t xml:space="preserve"> which frameworks perform best under each distinct metric.</w:t>
      </w:r>
    </w:p>
    <w:p w14:paraId="25A5E921" w14:textId="5760978C" w:rsidR="00E0734B" w:rsidRPr="00173BA3" w:rsidRDefault="00E0734B" w:rsidP="00173BA3">
      <w:pPr>
        <w:pStyle w:val="Heading2"/>
        <w:spacing w:before="0" w:after="0" w:line="480" w:lineRule="auto"/>
        <w:rPr>
          <w:rFonts w:ascii="Times New Roman" w:eastAsia="Times New Roman" w:hAnsi="Times New Roman" w:cs="Times New Roman"/>
          <w:b/>
          <w:bCs/>
          <w:color w:val="000000" w:themeColor="text1"/>
          <w:sz w:val="24"/>
          <w:szCs w:val="24"/>
        </w:rPr>
      </w:pPr>
      <w:bookmarkStart w:id="10" w:name="_Toc242174128"/>
      <w:bookmarkStart w:id="11" w:name="_Toc242174780"/>
      <w:r w:rsidRPr="00173BA3">
        <w:rPr>
          <w:rFonts w:ascii="Times New Roman" w:eastAsia="Times New Roman" w:hAnsi="Times New Roman" w:cs="Times New Roman"/>
          <w:b/>
          <w:bCs/>
          <w:color w:val="000000" w:themeColor="text1"/>
          <w:sz w:val="24"/>
          <w:szCs w:val="24"/>
        </w:rPr>
        <w:t>Research Question</w:t>
      </w:r>
      <w:bookmarkEnd w:id="10"/>
      <w:bookmarkEnd w:id="11"/>
    </w:p>
    <w:p w14:paraId="16B93E77" w14:textId="3BF1FE7F" w:rsidR="0040131A" w:rsidRPr="00173BA3" w:rsidRDefault="00E0734B" w:rsidP="00173BA3">
      <w:pPr>
        <w:rPr>
          <w:color w:val="000000" w:themeColor="text1"/>
        </w:rPr>
      </w:pPr>
      <w:r w:rsidRPr="00173BA3">
        <w:rPr>
          <w:color w:val="000000" w:themeColor="text1"/>
        </w:rPr>
        <w:t>Which predictive modeling frameworks – spanning deterministic persistence controls, deterministic schedule baselines, machine learning, and sequential two-stage hybrids – are most effective for forecasting airport passenger security screening throughput volatility (</w:t>
      </w:r>
      <m:oMath>
        <m:sSub>
          <m:sSubPr>
            <m:ctrlPr>
              <w:rPr>
                <w:rFonts w:ascii="Cambria Math" w:hAnsi="Cambria Math"/>
                <w:color w:val="000000" w:themeColor="text1"/>
              </w:rPr>
            </m:ctrlPr>
          </m:sSubPr>
          <m:e>
            <m:r>
              <w:rPr>
                <w:rFonts w:ascii="Cambria Math" w:hAnsi="Cambria Math"/>
                <w:color w:val="000000" w:themeColor="text1"/>
              </w:rPr>
              <m:t>σ</m:t>
            </m:r>
          </m:e>
          <m:sub>
            <m:r>
              <m:rPr>
                <m:nor/>
              </m:rPr>
              <w:rPr>
                <w:color w:val="000000" w:themeColor="text1"/>
              </w:rPr>
              <m:t>TSA</m:t>
            </m:r>
          </m:sub>
        </m:sSub>
      </m:oMath>
      <w:r w:rsidRPr="00173BA3">
        <w:rPr>
          <w:color w:val="000000" w:themeColor="text1"/>
        </w:rPr>
        <w:t> and </w:t>
      </w:r>
      <m:oMath>
        <m:r>
          <w:rPr>
            <w:rFonts w:ascii="Cambria Math" w:hAnsi="Cambria Math"/>
            <w:color w:val="000000" w:themeColor="text1"/>
          </w:rPr>
          <m:t>C</m:t>
        </m:r>
        <m:sSub>
          <m:sSubPr>
            <m:ctrlPr>
              <w:rPr>
                <w:rFonts w:ascii="Cambria Math" w:hAnsi="Cambria Math"/>
                <w:color w:val="000000" w:themeColor="text1"/>
              </w:rPr>
            </m:ctrlPr>
          </m:sSubPr>
          <m:e>
            <m:r>
              <w:rPr>
                <w:rFonts w:ascii="Cambria Math" w:hAnsi="Cambria Math"/>
                <w:color w:val="000000" w:themeColor="text1"/>
              </w:rPr>
              <m:t>V</m:t>
            </m:r>
          </m:e>
          <m:sub>
            <m:r>
              <m:rPr>
                <m:nor/>
              </m:rPr>
              <w:rPr>
                <w:color w:val="000000" w:themeColor="text1"/>
              </w:rPr>
              <m:t>TSA</m:t>
            </m:r>
          </m:sub>
        </m:sSub>
      </m:oMath>
      <w:r w:rsidRPr="00173BA3">
        <w:rPr>
          <w:color w:val="000000" w:themeColor="text1"/>
        </w:rPr>
        <w:t>) when prioritizing </w:t>
      </w:r>
      <w:r w:rsidRPr="00173BA3">
        <w:rPr>
          <w:b/>
          <w:bCs/>
          <w:color w:val="000000" w:themeColor="text1"/>
        </w:rPr>
        <w:t>robustness</w:t>
      </w:r>
      <w:r w:rsidRPr="00173BA3">
        <w:rPr>
          <w:color w:val="000000" w:themeColor="text1"/>
        </w:rPr>
        <w:t> (routine operational accuracy), </w:t>
      </w:r>
      <w:r w:rsidRPr="00173BA3">
        <w:rPr>
          <w:b/>
          <w:bCs/>
          <w:color w:val="000000" w:themeColor="text1"/>
        </w:rPr>
        <w:t>resilience</w:t>
      </w:r>
      <w:r w:rsidRPr="00173BA3">
        <w:rPr>
          <w:color w:val="000000" w:themeColor="text1"/>
        </w:rPr>
        <w:t> (stability under convective weather and delay disruptions), or </w:t>
      </w:r>
      <w:r w:rsidRPr="00173BA3">
        <w:rPr>
          <w:b/>
          <w:bCs/>
          <w:color w:val="000000" w:themeColor="text1"/>
        </w:rPr>
        <w:t>generalizability</w:t>
      </w:r>
      <w:r w:rsidRPr="00173BA3">
        <w:rPr>
          <w:color w:val="000000" w:themeColor="text1"/>
        </w:rPr>
        <w:t> (cross-airport portability across terminal layouts) as the primary operational evaluation metric?</w:t>
      </w:r>
    </w:p>
    <w:p w14:paraId="131DD573" w14:textId="5EA1A5EF" w:rsidR="00173BA3" w:rsidRPr="00173BA3" w:rsidRDefault="005259FA" w:rsidP="00173BA3">
      <w:pPr>
        <w:rPr>
          <w:color w:val="000000" w:themeColor="text1"/>
        </w:rPr>
      </w:pPr>
      <w:r w:rsidRPr="00173BA3">
        <w:rPr>
          <w:b/>
          <w:bCs/>
          <w:color w:val="000000" w:themeColor="text1"/>
        </w:rPr>
        <w:lastRenderedPageBreak/>
        <w:t xml:space="preserve">The Asymmetric </w:t>
      </w:r>
      <w:r w:rsidR="0040131A" w:rsidRPr="00173BA3">
        <w:rPr>
          <w:b/>
          <w:bCs/>
          <w:color w:val="000000" w:themeColor="text1"/>
        </w:rPr>
        <w:t xml:space="preserve">Trade-Off </w:t>
      </w:r>
      <m:oMath>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1</m:t>
            </m:r>
          </m:sub>
        </m:sSub>
      </m:oMath>
      <w:r w:rsidR="0040131A" w:rsidRPr="00173BA3">
        <w:rPr>
          <w:b/>
          <w:bCs/>
          <w:color w:val="000000" w:themeColor="text1"/>
        </w:rPr>
        <w:t> </w:t>
      </w:r>
      <w:r w:rsidR="0040131A" w:rsidRPr="00173BA3">
        <w:rPr>
          <w:color w:val="000000" w:themeColor="text1"/>
        </w:rPr>
        <w:t>: Across the candidate modeling paradigms evaluated</w:t>
      </w:r>
      <w:r w:rsidR="002163B9">
        <w:rPr>
          <w:color w:val="000000" w:themeColor="text1"/>
        </w:rPr>
        <w:t xml:space="preserve">, </w:t>
      </w:r>
      <w:r w:rsidR="0040131A" w:rsidRPr="00173BA3">
        <w:rPr>
          <w:color w:val="000000" w:themeColor="text1"/>
        </w:rPr>
        <w:t>no individual approach will prove superior across all three performance measures (robustness, resilience, and generalizability).</w:t>
      </w:r>
    </w:p>
    <w:p w14:paraId="35AD107C" w14:textId="6387726E" w:rsidR="00173BA3" w:rsidRPr="00173BA3" w:rsidRDefault="00000000" w:rsidP="00173BA3">
      <w:pPr>
        <w:pStyle w:val="code-line"/>
        <w:numPr>
          <w:ilvl w:val="0"/>
          <w:numId w:val="5"/>
        </w:numPr>
        <w:spacing w:before="0" w:beforeAutospacing="0" w:after="168" w:afterAutospacing="0" w:line="480" w:lineRule="auto"/>
        <w:rPr>
          <w:color w:val="000000"/>
        </w:rPr>
      </w:pPr>
      <m:oMath>
        <m:sSub>
          <m:sSubPr>
            <m:ctrlPr>
              <w:rPr>
                <w:rFonts w:ascii="Cambria Math" w:hAnsi="Cambria Math"/>
              </w:rPr>
            </m:ctrlPr>
          </m:sSubPr>
          <m:e>
            <m:r>
              <w:rPr>
                <w:rFonts w:ascii="Cambria Math" w:hAnsi="Cambria Math"/>
              </w:rPr>
              <m:t>H</m:t>
            </m:r>
          </m:e>
          <m:sub>
            <m:r>
              <w:rPr>
                <w:rFonts w:ascii="Cambria Math" w:hAnsi="Cambria Math"/>
              </w:rPr>
              <m:t>1</m:t>
            </m:r>
            <m:r>
              <w:rPr>
                <w:rFonts w:ascii="Cambria Math" w:hAnsi="Cambria Math"/>
              </w:rPr>
              <m:t>a</m:t>
            </m:r>
          </m:sub>
        </m:sSub>
      </m:oMath>
      <w:r w:rsidR="00173BA3" w:rsidRPr="00173BA3">
        <w:rPr>
          <w:rStyle w:val="Strong"/>
          <w:color w:val="000000"/>
        </w:rPr>
        <w:t> (Robustness Target: Lowest </w:t>
      </w:r>
      <m:oMath>
        <m:r>
          <w:rPr>
            <w:rFonts w:ascii="Cambria Math" w:hAnsi="Cambria Math"/>
          </w:rPr>
          <m:t>RMS</m:t>
        </m:r>
        <m:sSub>
          <m:sSubPr>
            <m:ctrlPr>
              <w:rPr>
                <w:rFonts w:ascii="Cambria Math" w:hAnsi="Cambria Math"/>
              </w:rPr>
            </m:ctrlPr>
          </m:sSubPr>
          <m:e>
            <m:r>
              <w:rPr>
                <w:rFonts w:ascii="Cambria Math" w:hAnsi="Cambria Math"/>
              </w:rPr>
              <m:t>E</m:t>
            </m:r>
          </m:e>
          <m:sub>
            <m:r>
              <m:rPr>
                <m:nor/>
              </m:rPr>
              <m:t>routine</m:t>
            </m:r>
          </m:sub>
        </m:sSub>
      </m:oMath>
      <w:r w:rsidR="00173BA3" w:rsidRPr="00173BA3">
        <w:rPr>
          <w:rStyle w:val="Strong"/>
          <w:color w:val="000000"/>
        </w:rPr>
        <w:t> and </w:t>
      </w:r>
      <m:oMath>
        <m:r>
          <w:rPr>
            <w:rFonts w:ascii="Cambria Math" w:hAnsi="Cambria Math"/>
          </w:rPr>
          <m:t>MAS</m:t>
        </m:r>
        <m:sSub>
          <m:sSubPr>
            <m:ctrlPr>
              <w:rPr>
                <w:rFonts w:ascii="Cambria Math" w:hAnsi="Cambria Math"/>
              </w:rPr>
            </m:ctrlPr>
          </m:sSubPr>
          <m:e>
            <m:r>
              <w:rPr>
                <w:rFonts w:ascii="Cambria Math" w:hAnsi="Cambria Math"/>
              </w:rPr>
              <m:t>E</m:t>
            </m:r>
          </m:e>
          <m:sub>
            <m:r>
              <m:rPr>
                <m:nor/>
              </m:rPr>
              <m:t>routine</m:t>
            </m:r>
          </m:sub>
        </m:sSub>
        <m:r>
          <w:rPr>
            <w:rFonts w:ascii="Cambria Math" w:hAnsi="Cambria Math"/>
          </w:rPr>
          <m:t>&lt;0.700</m:t>
        </m:r>
      </m:oMath>
      <w:r w:rsidR="00173BA3" w:rsidRPr="00173BA3">
        <w:rPr>
          <w:rStyle w:val="Strong"/>
          <w:color w:val="000000"/>
        </w:rPr>
        <w:t>)</w:t>
      </w:r>
      <w:r w:rsidR="00173BA3" w:rsidRPr="00173BA3">
        <w:rPr>
          <w:color w:val="000000"/>
        </w:rPr>
        <w:t>: Supervised machine learning (Model 2) and two-stage dynamic hybrids (Model 3) will successfully achieve the robustness target (</w:t>
      </w:r>
      <m:oMath>
        <m:r>
          <w:rPr>
            <w:rFonts w:ascii="Cambria Math" w:hAnsi="Cambria Math"/>
          </w:rPr>
          <m:t>MAS</m:t>
        </m:r>
        <m:sSub>
          <m:sSubPr>
            <m:ctrlPr>
              <w:rPr>
                <w:rFonts w:ascii="Cambria Math" w:hAnsi="Cambria Math"/>
              </w:rPr>
            </m:ctrlPr>
          </m:sSubPr>
          <m:e>
            <m:r>
              <w:rPr>
                <w:rFonts w:ascii="Cambria Math" w:hAnsi="Cambria Math"/>
              </w:rPr>
              <m:t>E</m:t>
            </m:r>
          </m:e>
          <m:sub>
            <m:r>
              <m:rPr>
                <m:nor/>
              </m:rPr>
              <m:t>routine</m:t>
            </m:r>
          </m:sub>
        </m:sSub>
        <m:r>
          <w:rPr>
            <w:rFonts w:ascii="Cambria Math" w:hAnsi="Cambria Math"/>
          </w:rPr>
          <m:t>&lt;0.700</m:t>
        </m:r>
      </m:oMath>
      <w:r w:rsidR="00173BA3" w:rsidRPr="00173BA3">
        <w:rPr>
          <w:color w:val="000000"/>
        </w:rPr>
        <w:t>) under nominal operating conditions, whereas naive persistence (Baseline Control) and deterministic flight schedules (Model 1) will fail this threshold (</w:t>
      </w:r>
      <m:oMath>
        <m:r>
          <w:rPr>
            <w:rFonts w:ascii="Cambria Math" w:hAnsi="Cambria Math"/>
          </w:rPr>
          <m:t>MASE</m:t>
        </m:r>
        <m:r>
          <w:rPr>
            <w:rFonts w:ascii="Cambria Math" w:hAnsi="Cambria Math"/>
          </w:rPr>
          <m:t>≥0.94</m:t>
        </m:r>
      </m:oMath>
      <w:r w:rsidR="00173BA3" w:rsidRPr="00173BA3">
        <w:rPr>
          <w:color w:val="000000"/>
        </w:rPr>
        <w:t>).</w:t>
      </w:r>
    </w:p>
    <w:p w14:paraId="4B5E458E" w14:textId="77777777" w:rsidR="00173BA3" w:rsidRPr="00173BA3" w:rsidRDefault="00000000" w:rsidP="00173BA3">
      <w:pPr>
        <w:pStyle w:val="code-line"/>
        <w:numPr>
          <w:ilvl w:val="0"/>
          <w:numId w:val="5"/>
        </w:numPr>
        <w:spacing w:before="0" w:beforeAutospacing="0" w:after="168" w:afterAutospacing="0" w:line="480" w:lineRule="auto"/>
        <w:rPr>
          <w:color w:val="000000"/>
        </w:rPr>
      </w:pPr>
      <m:oMath>
        <m:sSub>
          <m:sSubPr>
            <m:ctrlPr>
              <w:rPr>
                <w:rFonts w:ascii="Cambria Math" w:hAnsi="Cambria Math"/>
              </w:rPr>
            </m:ctrlPr>
          </m:sSubPr>
          <m:e>
            <m:r>
              <w:rPr>
                <w:rFonts w:ascii="Cambria Math" w:hAnsi="Cambria Math"/>
              </w:rPr>
              <m:t>H</m:t>
            </m:r>
          </m:e>
          <m:sub>
            <m:r>
              <w:rPr>
                <w:rFonts w:ascii="Cambria Math" w:hAnsi="Cambria Math"/>
              </w:rPr>
              <m:t>1</m:t>
            </m:r>
            <m:r>
              <w:rPr>
                <w:rFonts w:ascii="Cambria Math" w:hAnsi="Cambria Math"/>
              </w:rPr>
              <m:t>b</m:t>
            </m:r>
          </m:sub>
        </m:sSub>
      </m:oMath>
      <w:r w:rsidR="00173BA3" w:rsidRPr="00173BA3">
        <w:rPr>
          <w:rStyle w:val="Strong"/>
          <w:color w:val="000000"/>
        </w:rPr>
        <w:t> (Resilience Target: </w:t>
      </w:r>
      <m:oMath>
        <m:sSub>
          <m:sSubPr>
            <m:ctrlPr>
              <w:rPr>
                <w:rFonts w:ascii="Cambria Math" w:hAnsi="Cambria Math"/>
              </w:rPr>
            </m:ctrlPr>
          </m:sSubPr>
          <m:e>
            <m:r>
              <w:rPr>
                <w:rFonts w:ascii="Cambria Math" w:hAnsi="Cambria Math"/>
              </w:rPr>
              <m:t>R</m:t>
            </m:r>
          </m:e>
          <m:sub>
            <m:r>
              <m:rPr>
                <m:nor/>
              </m:rPr>
              <m:t>RMSE</m:t>
            </m:r>
          </m:sub>
        </m:sSub>
        <m:r>
          <w:rPr>
            <w:rFonts w:ascii="Cambria Math" w:hAnsi="Cambria Math"/>
          </w:rPr>
          <m:t>≈1.00</m:t>
        </m:r>
        <m:r>
          <m:rPr>
            <m:nor/>
          </m:rPr>
          <m:t> </m:t>
        </m:r>
        <m:d>
          <m:dPr>
            <m:ctrlPr>
              <w:rPr>
                <w:rFonts w:ascii="Cambria Math" w:hAnsi="Cambria Math"/>
              </w:rPr>
            </m:ctrlPr>
          </m:dPr>
          <m:e>
            <m:sSub>
              <m:sSubPr>
                <m:ctrlPr>
                  <w:rPr>
                    <w:rFonts w:ascii="Cambria Math" w:hAnsi="Cambria Math"/>
                  </w:rPr>
                </m:ctrlPr>
              </m:sSubPr>
              <m:e>
                <m:r>
                  <w:rPr>
                    <w:rFonts w:ascii="Cambria Math" w:hAnsi="Cambria Math"/>
                  </w:rPr>
                  <m:t>R</m:t>
                </m:r>
              </m:e>
              <m:sub>
                <m:r>
                  <m:rPr>
                    <m:nor/>
                  </m:rPr>
                  <m:t>MASE</m:t>
                </m:r>
              </m:sub>
            </m:sSub>
            <m:r>
              <w:rPr>
                <w:rFonts w:ascii="Cambria Math" w:hAnsi="Cambria Math"/>
              </w:rPr>
              <m:t>≈1.00</m:t>
            </m:r>
          </m:e>
        </m:d>
      </m:oMath>
      <w:r w:rsidR="00173BA3" w:rsidRPr="00173BA3">
        <w:rPr>
          <w:rStyle w:val="Strong"/>
          <w:color w:val="000000"/>
        </w:rPr>
        <w:t>, Lowest </w:t>
      </w:r>
      <m:oMath>
        <m:r>
          <w:rPr>
            <w:rFonts w:ascii="Cambria Math" w:hAnsi="Cambria Math"/>
          </w:rPr>
          <m:t>MAS</m:t>
        </m:r>
        <m:sSub>
          <m:sSubPr>
            <m:ctrlPr>
              <w:rPr>
                <w:rFonts w:ascii="Cambria Math" w:hAnsi="Cambria Math"/>
              </w:rPr>
            </m:ctrlPr>
          </m:sSubPr>
          <m:e>
            <m:r>
              <w:rPr>
                <w:rFonts w:ascii="Cambria Math" w:hAnsi="Cambria Math"/>
              </w:rPr>
              <m:t>E</m:t>
            </m:r>
          </m:e>
          <m:sub>
            <m:r>
              <m:rPr>
                <m:nor/>
              </m:rPr>
              <m:t>shock</m:t>
            </m:r>
          </m:sub>
        </m:sSub>
      </m:oMath>
      <w:r w:rsidR="00173BA3" w:rsidRPr="00173BA3">
        <w:rPr>
          <w:rStyle w:val="Strong"/>
          <w:color w:val="000000"/>
        </w:rPr>
        <w:t>, and </w:t>
      </w:r>
      <m:oMath>
        <m:r>
          <w:rPr>
            <w:rFonts w:ascii="Cambria Math" w:hAnsi="Cambria Math"/>
          </w:rPr>
          <m:t>TTR</m:t>
        </m:r>
        <m:r>
          <w:rPr>
            <w:rFonts w:ascii="Cambria Math" w:hAnsi="Cambria Math"/>
          </w:rPr>
          <m:t>&lt;4.0</m:t>
        </m:r>
        <m:r>
          <m:rPr>
            <m:nor/>
          </m:rPr>
          <m:t> hours</m:t>
        </m:r>
      </m:oMath>
      <w:r w:rsidR="00173BA3" w:rsidRPr="00173BA3">
        <w:rPr>
          <w:rStyle w:val="Strong"/>
          <w:color w:val="000000"/>
        </w:rPr>
        <w:t>)</w:t>
      </w:r>
      <w:r w:rsidR="00173BA3" w:rsidRPr="00173BA3">
        <w:rPr>
          <w:color w:val="000000"/>
        </w:rPr>
        <w:t>: The Dynamic Two-Stage Hybrid (Model 3) will be the sole architecture to satisfy the resilience target due to recursive 1-step error innovation feedback (</w:t>
      </w:r>
      <m:oMath>
        <m:sSub>
          <m:sSubPr>
            <m:ctrlPr>
              <w:rPr>
                <w:rFonts w:ascii="Cambria Math" w:hAnsi="Cambria Math"/>
              </w:rPr>
            </m:ctrlPr>
          </m:sSubPr>
          <m:e>
            <m:r>
              <w:rPr>
                <w:rFonts w:ascii="Cambria Math" w:hAnsi="Cambria Math"/>
              </w:rPr>
              <m:t>e</m:t>
            </m:r>
          </m:e>
          <m:sub>
            <m:r>
              <w:rPr>
                <w:rFonts w:ascii="Cambria Math" w:hAnsi="Cambria Math"/>
              </w:rPr>
              <m:t>t</m:t>
            </m:r>
            <m:r>
              <w:rPr>
                <w:rFonts w:ascii="Cambria Math" w:hAnsi="Cambria Math"/>
              </w:rPr>
              <m:t>-1</m:t>
            </m:r>
          </m:sub>
        </m:sSub>
      </m:oMath>
      <w:r w:rsidR="00173BA3" w:rsidRPr="00173BA3">
        <w:rPr>
          <w:color w:val="000000"/>
        </w:rPr>
        <w:t>). Static supervised machine learning (Model 2) will experience severe performance degradation (</w:t>
      </w:r>
      <m:oMath>
        <m:r>
          <w:rPr>
            <w:rFonts w:ascii="Cambria Math" w:hAnsi="Cambria Math"/>
          </w:rPr>
          <m:t>R</m:t>
        </m:r>
        <m:r>
          <w:rPr>
            <w:rFonts w:ascii="Cambria Math" w:hAnsi="Cambria Math"/>
          </w:rPr>
          <m:t>≥2.0</m:t>
        </m:r>
      </m:oMath>
      <w:r w:rsidR="00173BA3" w:rsidRPr="00173BA3">
        <w:rPr>
          <w:color w:val="000000"/>
        </w:rPr>
        <w:t>) resulting from the Empty Checkpoint Fallacy during flight ground delays, while deterministic baselines (Model 1) will remain blind to downline delay cascades.</w:t>
      </w:r>
    </w:p>
    <w:p w14:paraId="7A9F47A0" w14:textId="76185D3F" w:rsidR="00173BA3" w:rsidRPr="00173BA3" w:rsidRDefault="00000000" w:rsidP="00173BA3">
      <w:pPr>
        <w:pStyle w:val="code-line"/>
        <w:numPr>
          <w:ilvl w:val="0"/>
          <w:numId w:val="5"/>
        </w:numPr>
        <w:spacing w:before="0" w:beforeAutospacing="0" w:after="168" w:afterAutospacing="0" w:line="480" w:lineRule="auto"/>
        <w:rPr>
          <w:color w:val="000000"/>
        </w:rPr>
      </w:pPr>
      <m:oMath>
        <m:sSub>
          <m:sSubPr>
            <m:ctrlPr>
              <w:rPr>
                <w:rFonts w:ascii="Cambria Math" w:hAnsi="Cambria Math"/>
              </w:rPr>
            </m:ctrlPr>
          </m:sSubPr>
          <m:e>
            <m:r>
              <w:rPr>
                <w:rFonts w:ascii="Cambria Math" w:hAnsi="Cambria Math"/>
              </w:rPr>
              <m:t>H</m:t>
            </m:r>
          </m:e>
          <m:sub>
            <m:r>
              <w:rPr>
                <w:rFonts w:ascii="Cambria Math" w:hAnsi="Cambria Math"/>
              </w:rPr>
              <m:t>1</m:t>
            </m:r>
            <m:r>
              <w:rPr>
                <w:rFonts w:ascii="Cambria Math" w:hAnsi="Cambria Math"/>
              </w:rPr>
              <m:t>c</m:t>
            </m:r>
          </m:sub>
        </m:sSub>
      </m:oMath>
      <w:r w:rsidR="00173BA3" w:rsidRPr="00173BA3">
        <w:rPr>
          <w:rStyle w:val="Strong"/>
          <w:color w:val="000000"/>
        </w:rPr>
        <w:t> (Generalizability Target: </w:t>
      </w:r>
      <m:oMath>
        <m:r>
          <w:rPr>
            <w:rFonts w:ascii="Cambria Math" w:hAnsi="Cambria Math"/>
          </w:rPr>
          <m:t>RTR</m:t>
        </m:r>
        <m:r>
          <w:rPr>
            <w:rFonts w:ascii="Cambria Math" w:hAnsi="Cambria Math"/>
          </w:rPr>
          <m:t>≈1.00</m:t>
        </m:r>
      </m:oMath>
      <w:r w:rsidR="00173BA3" w:rsidRPr="00173BA3">
        <w:rPr>
          <w:rStyle w:val="Strong"/>
          <w:color w:val="000000"/>
        </w:rPr>
        <w:t> and </w:t>
      </w:r>
      <m:oMath>
        <m:r>
          <m:rPr>
            <m:sty m:val="p"/>
          </m:rPr>
          <w:rPr>
            <w:rFonts w:ascii="Cambria Math" w:hAnsi="Cambria Math"/>
          </w:rPr>
          <m:t>Δ</m:t>
        </m:r>
        <m:r>
          <w:rPr>
            <w:rFonts w:ascii="Cambria Math" w:hAnsi="Cambria Math"/>
          </w:rPr>
          <m:t>MAS</m:t>
        </m:r>
        <m:sSub>
          <m:sSubPr>
            <m:ctrlPr>
              <w:rPr>
                <w:rFonts w:ascii="Cambria Math" w:hAnsi="Cambria Math"/>
              </w:rPr>
            </m:ctrlPr>
          </m:sSubPr>
          <m:e>
            <m:r>
              <w:rPr>
                <w:rFonts w:ascii="Cambria Math" w:hAnsi="Cambria Math"/>
              </w:rPr>
              <m:t>E</m:t>
            </m:r>
          </m:e>
          <m:sub>
            <m:r>
              <m:rPr>
                <m:nor/>
              </m:rPr>
              <m:t>transfer</m:t>
            </m:r>
          </m:sub>
        </m:sSub>
        <m:r>
          <w:rPr>
            <w:rFonts w:ascii="Cambria Math" w:hAnsi="Cambria Math"/>
          </w:rPr>
          <m:t>≤10.0%</m:t>
        </m:r>
      </m:oMath>
      <w:r w:rsidR="00173BA3" w:rsidRPr="00173BA3">
        <w:rPr>
          <w:rStyle w:val="Strong"/>
          <w:color w:val="000000"/>
        </w:rPr>
        <w:t>)</w:t>
      </w:r>
      <w:r w:rsidR="00173BA3" w:rsidRPr="00173BA3">
        <w:rPr>
          <w:color w:val="000000"/>
        </w:rPr>
        <w:t>: The Deterministic Flight Schedule Model (Model 1) will satisfy the generalizability target (</w:t>
      </w:r>
      <m:oMath>
        <m:r>
          <w:rPr>
            <w:rFonts w:ascii="Cambria Math" w:hAnsi="Cambria Math"/>
          </w:rPr>
          <m:t>RTR</m:t>
        </m:r>
        <m:r>
          <w:rPr>
            <w:rFonts w:ascii="Cambria Math" w:hAnsi="Cambria Math"/>
          </w:rPr>
          <m:t>≈1.00,</m:t>
        </m:r>
        <m:r>
          <m:rPr>
            <m:sty m:val="p"/>
          </m:rPr>
          <w:rPr>
            <w:rFonts w:ascii="Cambria Math" w:hAnsi="Cambria Math"/>
          </w:rPr>
          <m:t>Δ</m:t>
        </m:r>
        <m:r>
          <w:rPr>
            <w:rFonts w:ascii="Cambria Math" w:hAnsi="Cambria Math"/>
          </w:rPr>
          <m:t>MASE</m:t>
        </m:r>
        <m:r>
          <w:rPr>
            <w:rFonts w:ascii="Cambria Math" w:hAnsi="Cambria Math"/>
          </w:rPr>
          <m:t>≤10.0%</m:t>
        </m:r>
      </m:oMath>
      <w:r w:rsidR="00173BA3" w:rsidRPr="00173BA3">
        <w:rPr>
          <w:color w:val="000000"/>
        </w:rPr>
        <w:t>) without local retraining because flight schedule convolution is invariant to local terminal geometry. Conversely, the Dynamic Hybrid (Model 3) will fail the generalizability target (</w:t>
      </w:r>
      <m:oMath>
        <m:r>
          <w:rPr>
            <w:rFonts w:ascii="Cambria Math" w:hAnsi="Cambria Math"/>
          </w:rPr>
          <m:t>RTR</m:t>
        </m:r>
        <m:r>
          <w:rPr>
            <w:rFonts w:ascii="Cambria Math" w:hAnsi="Cambria Math"/>
          </w:rPr>
          <m:t>≫1.00,</m:t>
        </m:r>
        <m:r>
          <m:rPr>
            <m:sty m:val="p"/>
          </m:rPr>
          <w:rPr>
            <w:rFonts w:ascii="Cambria Math" w:hAnsi="Cambria Math"/>
          </w:rPr>
          <m:t>Δ</m:t>
        </m:r>
        <m:r>
          <w:rPr>
            <w:rFonts w:ascii="Cambria Math" w:hAnsi="Cambria Math"/>
          </w:rPr>
          <m:t>MASE</m:t>
        </m:r>
        <m:r>
          <w:rPr>
            <w:rFonts w:ascii="Cambria Math" w:hAnsi="Cambria Math"/>
          </w:rPr>
          <m:t>&gt;10.0%</m:t>
        </m:r>
      </m:oMath>
      <w:r w:rsidR="00173BA3" w:rsidRPr="00173BA3">
        <w:rPr>
          <w:color w:val="000000"/>
        </w:rPr>
        <w:t>) due to decision tree terminal geometry overfitting.</w:t>
      </w:r>
    </w:p>
    <w:p w14:paraId="2D20D701" w14:textId="77777777" w:rsidR="00E0734B" w:rsidRPr="00173BA3" w:rsidRDefault="00E0734B" w:rsidP="00173BA3">
      <w:pPr>
        <w:pStyle w:val="Heading2"/>
        <w:spacing w:before="0" w:after="0" w:line="480" w:lineRule="auto"/>
        <w:rPr>
          <w:rFonts w:ascii="Times New Roman" w:eastAsia="Times New Roman" w:hAnsi="Times New Roman" w:cs="Times New Roman"/>
          <w:b/>
          <w:bCs/>
          <w:color w:val="000000" w:themeColor="text1"/>
          <w:sz w:val="24"/>
          <w:szCs w:val="24"/>
        </w:rPr>
      </w:pPr>
      <w:bookmarkStart w:id="12" w:name="_Toc242174129"/>
      <w:bookmarkStart w:id="13" w:name="_Toc242174781"/>
      <w:r w:rsidRPr="00173BA3">
        <w:rPr>
          <w:rFonts w:ascii="Times New Roman" w:eastAsia="Times New Roman" w:hAnsi="Times New Roman" w:cs="Times New Roman"/>
          <w:b/>
          <w:bCs/>
          <w:color w:val="000000" w:themeColor="text1"/>
          <w:sz w:val="24"/>
          <w:szCs w:val="24"/>
        </w:rPr>
        <w:lastRenderedPageBreak/>
        <w:t>Delimitations</w:t>
      </w:r>
      <w:bookmarkEnd w:id="12"/>
      <w:bookmarkEnd w:id="13"/>
    </w:p>
    <w:p w14:paraId="5FE51C06" w14:textId="340CE222" w:rsidR="00E0734B" w:rsidRPr="00173BA3" w:rsidRDefault="00E0734B" w:rsidP="00173BA3">
      <w:pPr>
        <w:rPr>
          <w:color w:val="000000" w:themeColor="text1"/>
        </w:rPr>
      </w:pPr>
      <w:r w:rsidRPr="00173BA3">
        <w:rPr>
          <w:color w:val="000000" w:themeColor="text1"/>
        </w:rPr>
        <w:t>This study focuses on U.S. airports and uses post-pandemic TSA throughput and flight performance data from 2019 to 2025. It excludes pre-pandemic and pandemic-period activity except where needed to define the post-pandemic baseline. Dynamic queuing models and simulation</w:t>
      </w:r>
      <w:r w:rsidRPr="00173BA3">
        <w:rPr>
          <w:color w:val="000000" w:themeColor="text1"/>
        </w:rPr>
        <w:noBreakHyphen/>
        <w:t>based methods are assessed using standard statistical measures, including p</w:t>
      </w:r>
      <w:r w:rsidRPr="00173BA3">
        <w:rPr>
          <w:color w:val="000000" w:themeColor="text1"/>
        </w:rPr>
        <w:noBreakHyphen/>
        <w:t>value, R</w:t>
      </w:r>
      <w:r w:rsidRPr="00173BA3">
        <w:rPr>
          <w:color w:val="000000" w:themeColor="text1"/>
          <w:vertAlign w:val="superscript"/>
        </w:rPr>
        <w:t>2</w:t>
      </w:r>
      <w:r w:rsidRPr="00173BA3">
        <w:rPr>
          <w:color w:val="000000" w:themeColor="text1"/>
        </w:rPr>
        <w:t xml:space="preserve"> squared, mean squared error (MSE), root mean squared error (RMSE), and mean absolute percentage error (MAPE). </w:t>
      </w:r>
      <w:r w:rsidRPr="00173BA3">
        <w:rPr>
          <w:color w:val="000000" w:themeColor="text1"/>
          <w:highlight w:val="yellow"/>
        </w:rPr>
        <w:t xml:space="preserve">These delimitations are detailed </w:t>
      </w:r>
      <w:r w:rsidR="000B5264" w:rsidRPr="00173BA3">
        <w:rPr>
          <w:color w:val="000000" w:themeColor="text1"/>
          <w:highlight w:val="yellow"/>
        </w:rPr>
        <w:t>in the appendix.</w:t>
      </w:r>
    </w:p>
    <w:p w14:paraId="322D341E" w14:textId="77777777" w:rsidR="00E0734B" w:rsidRPr="00173BA3" w:rsidRDefault="00E0734B" w:rsidP="00173BA3">
      <w:pPr>
        <w:pStyle w:val="Heading2"/>
        <w:spacing w:before="0" w:after="0" w:line="480" w:lineRule="auto"/>
        <w:rPr>
          <w:rFonts w:ascii="Times New Roman" w:eastAsia="Times New Roman" w:hAnsi="Times New Roman" w:cs="Times New Roman"/>
          <w:b/>
          <w:bCs/>
          <w:color w:val="000000" w:themeColor="text1"/>
          <w:sz w:val="24"/>
          <w:szCs w:val="24"/>
        </w:rPr>
      </w:pPr>
      <w:bookmarkStart w:id="14" w:name="_Toc242174130"/>
      <w:bookmarkStart w:id="15" w:name="_Toc242174782"/>
      <w:r w:rsidRPr="00173BA3">
        <w:rPr>
          <w:rFonts w:ascii="Times New Roman" w:eastAsia="Times New Roman" w:hAnsi="Times New Roman" w:cs="Times New Roman"/>
          <w:b/>
          <w:bCs/>
          <w:color w:val="000000" w:themeColor="text1"/>
          <w:sz w:val="24"/>
          <w:szCs w:val="24"/>
        </w:rPr>
        <w:t>Limitations and Assumptions</w:t>
      </w:r>
      <w:bookmarkEnd w:id="14"/>
      <w:bookmarkEnd w:id="15"/>
    </w:p>
    <w:p w14:paraId="231EE3D0" w14:textId="336C5932" w:rsidR="00295729" w:rsidRPr="00173BA3" w:rsidRDefault="00E0734B" w:rsidP="00FC11B7">
      <w:pPr>
        <w:rPr>
          <w:color w:val="000000" w:themeColor="text1"/>
        </w:rPr>
      </w:pPr>
      <w:r w:rsidRPr="00173BA3">
        <w:rPr>
          <w:color w:val="000000" w:themeColor="text1"/>
        </w:rPr>
        <w:t xml:space="preserve">Due to reliance on public data, confidential variables like staffing and manual queue management fall outside the scope of this analysis. While external factors such as weather, regulatory impacts, or IT outages may not be fully accounted for, the framework assumes that utilized data is consistent and findings from the selected airports are generalizable across similar facilities and circumstances. Additionally, the methodology relies on the ability to apply monthly data on load factor to the prediction of TSA throughput on an hourly and seasonal level. </w:t>
      </w:r>
      <w:r w:rsidRPr="00173BA3">
        <w:rPr>
          <w:color w:val="000000" w:themeColor="text1"/>
          <w:highlight w:val="yellow"/>
        </w:rPr>
        <w:t xml:space="preserve">These limitations are detailed </w:t>
      </w:r>
      <w:r w:rsidR="000B5264" w:rsidRPr="00173BA3">
        <w:rPr>
          <w:color w:val="000000" w:themeColor="text1"/>
          <w:highlight w:val="yellow"/>
        </w:rPr>
        <w:t>in the appendix.</w:t>
      </w:r>
    </w:p>
    <w:sectPr w:rsidR="00295729" w:rsidRPr="00173B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5B4D79"/>
    <w:multiLevelType w:val="multilevel"/>
    <w:tmpl w:val="CC9A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B3B03"/>
    <w:multiLevelType w:val="multilevel"/>
    <w:tmpl w:val="456C9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926675"/>
    <w:multiLevelType w:val="multilevel"/>
    <w:tmpl w:val="CBB2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2C4807"/>
    <w:multiLevelType w:val="multilevel"/>
    <w:tmpl w:val="0C906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E57EA7"/>
    <w:multiLevelType w:val="multilevel"/>
    <w:tmpl w:val="55483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365699">
    <w:abstractNumId w:val="1"/>
  </w:num>
  <w:num w:numId="2" w16cid:durableId="29886223">
    <w:abstractNumId w:val="4"/>
  </w:num>
  <w:num w:numId="3" w16cid:durableId="546767236">
    <w:abstractNumId w:val="3"/>
  </w:num>
  <w:num w:numId="4" w16cid:durableId="1835487668">
    <w:abstractNumId w:val="2"/>
  </w:num>
  <w:num w:numId="5" w16cid:durableId="17114161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87B"/>
    <w:rsid w:val="00021C93"/>
    <w:rsid w:val="000305EC"/>
    <w:rsid w:val="00066D70"/>
    <w:rsid w:val="00066E96"/>
    <w:rsid w:val="000B1B1E"/>
    <w:rsid w:val="000B5264"/>
    <w:rsid w:val="0017365B"/>
    <w:rsid w:val="00173BA3"/>
    <w:rsid w:val="001C0042"/>
    <w:rsid w:val="002163B9"/>
    <w:rsid w:val="00254E82"/>
    <w:rsid w:val="00295729"/>
    <w:rsid w:val="0032387B"/>
    <w:rsid w:val="003353D3"/>
    <w:rsid w:val="00366380"/>
    <w:rsid w:val="0040131A"/>
    <w:rsid w:val="005259FA"/>
    <w:rsid w:val="005A23B4"/>
    <w:rsid w:val="006126A5"/>
    <w:rsid w:val="00686FCD"/>
    <w:rsid w:val="006E1A18"/>
    <w:rsid w:val="0073651B"/>
    <w:rsid w:val="0074327F"/>
    <w:rsid w:val="007C2B63"/>
    <w:rsid w:val="007F07CF"/>
    <w:rsid w:val="00815222"/>
    <w:rsid w:val="008341E0"/>
    <w:rsid w:val="00864FC2"/>
    <w:rsid w:val="00942180"/>
    <w:rsid w:val="009A52F7"/>
    <w:rsid w:val="009C20BE"/>
    <w:rsid w:val="00A20EC8"/>
    <w:rsid w:val="00A76F04"/>
    <w:rsid w:val="00AE4DED"/>
    <w:rsid w:val="00B70551"/>
    <w:rsid w:val="00B919B2"/>
    <w:rsid w:val="00C202E8"/>
    <w:rsid w:val="00C32893"/>
    <w:rsid w:val="00D02787"/>
    <w:rsid w:val="00D0483B"/>
    <w:rsid w:val="00D45BDB"/>
    <w:rsid w:val="00D857FE"/>
    <w:rsid w:val="00D95C0E"/>
    <w:rsid w:val="00DE497E"/>
    <w:rsid w:val="00E0734B"/>
    <w:rsid w:val="00E769F8"/>
    <w:rsid w:val="00EB5CF8"/>
    <w:rsid w:val="00ED039D"/>
    <w:rsid w:val="00F465A9"/>
    <w:rsid w:val="00F61197"/>
    <w:rsid w:val="00FC1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EDC15"/>
  <w15:chartTrackingRefBased/>
  <w15:docId w15:val="{B4297283-9D37-B647-9B52-3A96DA5D3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34B"/>
    <w:pPr>
      <w:spacing w:after="0" w:line="480" w:lineRule="auto"/>
      <w:ind w:firstLine="720"/>
      <w:contextualSpacing/>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D857FE"/>
    <w:pPr>
      <w:keepNext/>
      <w:keepLines/>
      <w:ind w:firstLine="0"/>
      <w:contextualSpacing w:val="0"/>
      <w:jc w:val="center"/>
      <w:outlineLvl w:val="0"/>
    </w:pPr>
    <w:rPr>
      <w:rFonts w:eastAsiaTheme="majorEastAsia"/>
      <w:b/>
      <w:bCs/>
      <w:color w:val="000000" w:themeColor="text1"/>
      <w:kern w:val="2"/>
      <w14:ligatures w14:val="standardContextual"/>
    </w:rPr>
  </w:style>
  <w:style w:type="paragraph" w:styleId="Heading2">
    <w:name w:val="heading 2"/>
    <w:basedOn w:val="Normal"/>
    <w:next w:val="Normal"/>
    <w:link w:val="Heading2Char"/>
    <w:uiPriority w:val="9"/>
    <w:unhideWhenUsed/>
    <w:qFormat/>
    <w:rsid w:val="0032387B"/>
    <w:pPr>
      <w:keepNext/>
      <w:keepLines/>
      <w:spacing w:before="160" w:after="80" w:line="278" w:lineRule="auto"/>
      <w:ind w:firstLine="0"/>
      <w:contextualSpacing w:val="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2387B"/>
    <w:pPr>
      <w:keepNext/>
      <w:keepLines/>
      <w:spacing w:before="160" w:after="80" w:line="278" w:lineRule="auto"/>
      <w:ind w:firstLine="0"/>
      <w:contextualSpacing w:val="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2387B"/>
    <w:pPr>
      <w:keepNext/>
      <w:keepLines/>
      <w:spacing w:before="80" w:after="40" w:line="278" w:lineRule="auto"/>
      <w:ind w:firstLine="0"/>
      <w:contextualSpacing w:val="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2387B"/>
    <w:pPr>
      <w:keepNext/>
      <w:keepLines/>
      <w:spacing w:before="80" w:after="40" w:line="278" w:lineRule="auto"/>
      <w:ind w:firstLine="0"/>
      <w:contextualSpacing w:val="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2387B"/>
    <w:pPr>
      <w:keepNext/>
      <w:keepLines/>
      <w:spacing w:before="40" w:line="278" w:lineRule="auto"/>
      <w:ind w:firstLine="0"/>
      <w:contextualSpacing w:val="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2387B"/>
    <w:pPr>
      <w:keepNext/>
      <w:keepLines/>
      <w:spacing w:before="40" w:line="278" w:lineRule="auto"/>
      <w:ind w:firstLine="0"/>
      <w:contextualSpacing w:val="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2387B"/>
    <w:pPr>
      <w:keepNext/>
      <w:keepLines/>
      <w:spacing w:line="278" w:lineRule="auto"/>
      <w:ind w:firstLine="0"/>
      <w:contextualSpacing w:val="0"/>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2387B"/>
    <w:pPr>
      <w:keepNext/>
      <w:keepLines/>
      <w:spacing w:line="278" w:lineRule="auto"/>
      <w:ind w:firstLine="0"/>
      <w:contextualSpacing w:val="0"/>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character" w:customStyle="1" w:styleId="Heading1Char">
    <w:name w:val="Heading 1 Char"/>
    <w:basedOn w:val="DefaultParagraphFont"/>
    <w:link w:val="Heading1"/>
    <w:uiPriority w:val="9"/>
    <w:rsid w:val="00D857FE"/>
    <w:rPr>
      <w:rFonts w:ascii="Times New Roman" w:eastAsiaTheme="majorEastAsia" w:hAnsi="Times New Roman" w:cs="Times New Roman"/>
      <w:b/>
      <w:bCs/>
      <w:color w:val="000000" w:themeColor="text1"/>
    </w:rPr>
  </w:style>
  <w:style w:type="character" w:customStyle="1" w:styleId="Heading2Char">
    <w:name w:val="Heading 2 Char"/>
    <w:basedOn w:val="DefaultParagraphFont"/>
    <w:link w:val="Heading2"/>
    <w:uiPriority w:val="9"/>
    <w:rsid w:val="003238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8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8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8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87B"/>
    <w:rPr>
      <w:rFonts w:eastAsiaTheme="majorEastAsia" w:cstheme="majorBidi"/>
      <w:color w:val="272727" w:themeColor="text1" w:themeTint="D8"/>
    </w:rPr>
  </w:style>
  <w:style w:type="paragraph" w:styleId="Title">
    <w:name w:val="Title"/>
    <w:basedOn w:val="Normal"/>
    <w:next w:val="Normal"/>
    <w:link w:val="TitleChar"/>
    <w:uiPriority w:val="10"/>
    <w:qFormat/>
    <w:rsid w:val="0032387B"/>
    <w:pPr>
      <w:spacing w:after="80" w:line="240" w:lineRule="auto"/>
      <w:ind w:firstLine="0"/>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323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87B"/>
    <w:pPr>
      <w:numPr>
        <w:ilvl w:val="1"/>
      </w:numPr>
      <w:spacing w:after="160" w:line="278" w:lineRule="auto"/>
      <w:ind w:firstLine="720"/>
      <w:contextualSpacing w:val="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23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87B"/>
    <w:pPr>
      <w:spacing w:before="160" w:after="160" w:line="278" w:lineRule="auto"/>
      <w:ind w:firstLine="0"/>
      <w:contextualSpacing w:val="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2387B"/>
    <w:rPr>
      <w:i/>
      <w:iCs/>
      <w:color w:val="404040" w:themeColor="text1" w:themeTint="BF"/>
    </w:rPr>
  </w:style>
  <w:style w:type="paragraph" w:styleId="ListParagraph">
    <w:name w:val="List Paragraph"/>
    <w:basedOn w:val="Normal"/>
    <w:uiPriority w:val="34"/>
    <w:qFormat/>
    <w:rsid w:val="0032387B"/>
    <w:pPr>
      <w:spacing w:after="160" w:line="278" w:lineRule="auto"/>
      <w:ind w:left="720" w:firstLine="0"/>
    </w:pPr>
    <w:rPr>
      <w:rFonts w:asciiTheme="minorHAnsi" w:eastAsiaTheme="minorHAnsi" w:hAnsiTheme="minorHAnsi" w:cstheme="minorBidi"/>
      <w:color w:val="auto"/>
      <w:kern w:val="2"/>
      <w14:ligatures w14:val="standardContextual"/>
    </w:rPr>
  </w:style>
  <w:style w:type="character" w:styleId="IntenseEmphasis">
    <w:name w:val="Intense Emphasis"/>
    <w:basedOn w:val="DefaultParagraphFont"/>
    <w:uiPriority w:val="21"/>
    <w:qFormat/>
    <w:rsid w:val="0032387B"/>
    <w:rPr>
      <w:i/>
      <w:iCs/>
      <w:color w:val="0F4761" w:themeColor="accent1" w:themeShade="BF"/>
    </w:rPr>
  </w:style>
  <w:style w:type="paragraph" w:styleId="IntenseQuote">
    <w:name w:val="Intense Quote"/>
    <w:basedOn w:val="Normal"/>
    <w:next w:val="Normal"/>
    <w:link w:val="IntenseQuoteChar"/>
    <w:uiPriority w:val="30"/>
    <w:qFormat/>
    <w:rsid w:val="0032387B"/>
    <w:pPr>
      <w:pBdr>
        <w:top w:val="single" w:sz="4" w:space="10" w:color="0F4761" w:themeColor="accent1" w:themeShade="BF"/>
        <w:bottom w:val="single" w:sz="4" w:space="10" w:color="0F4761" w:themeColor="accent1" w:themeShade="BF"/>
      </w:pBdr>
      <w:spacing w:before="360" w:after="360" w:line="278" w:lineRule="auto"/>
      <w:ind w:left="864" w:right="864" w:firstLine="0"/>
      <w:contextualSpacing w:val="0"/>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2387B"/>
    <w:rPr>
      <w:i/>
      <w:iCs/>
      <w:color w:val="0F4761" w:themeColor="accent1" w:themeShade="BF"/>
    </w:rPr>
  </w:style>
  <w:style w:type="character" w:styleId="IntenseReference">
    <w:name w:val="Intense Reference"/>
    <w:basedOn w:val="DefaultParagraphFont"/>
    <w:uiPriority w:val="32"/>
    <w:qFormat/>
    <w:rsid w:val="0032387B"/>
    <w:rPr>
      <w:b/>
      <w:bCs/>
      <w:smallCaps/>
      <w:color w:val="0F4761" w:themeColor="accent1" w:themeShade="BF"/>
      <w:spacing w:val="5"/>
    </w:rPr>
  </w:style>
  <w:style w:type="paragraph" w:customStyle="1" w:styleId="code-line">
    <w:name w:val="code-line"/>
    <w:basedOn w:val="Normal"/>
    <w:rsid w:val="00173BA3"/>
    <w:pPr>
      <w:spacing w:before="100" w:beforeAutospacing="1" w:after="100" w:afterAutospacing="1" w:line="240" w:lineRule="auto"/>
      <w:ind w:firstLine="0"/>
      <w:contextualSpacing w:val="0"/>
    </w:pPr>
    <w:rPr>
      <w:color w:val="auto"/>
    </w:rPr>
  </w:style>
  <w:style w:type="character" w:styleId="Strong">
    <w:name w:val="Strong"/>
    <w:basedOn w:val="DefaultParagraphFont"/>
    <w:uiPriority w:val="22"/>
    <w:qFormat/>
    <w:rsid w:val="00173BA3"/>
    <w:rPr>
      <w:b/>
      <w:bCs/>
    </w:rPr>
  </w:style>
  <w:style w:type="character" w:styleId="CommentReference">
    <w:name w:val="annotation reference"/>
    <w:basedOn w:val="DefaultParagraphFont"/>
    <w:uiPriority w:val="99"/>
    <w:semiHidden/>
    <w:unhideWhenUsed/>
    <w:rsid w:val="006126A5"/>
    <w:rPr>
      <w:sz w:val="16"/>
      <w:szCs w:val="16"/>
    </w:rPr>
  </w:style>
  <w:style w:type="paragraph" w:styleId="CommentText">
    <w:name w:val="annotation text"/>
    <w:basedOn w:val="Normal"/>
    <w:link w:val="CommentTextChar"/>
    <w:uiPriority w:val="99"/>
    <w:semiHidden/>
    <w:unhideWhenUsed/>
    <w:rsid w:val="006126A5"/>
    <w:pPr>
      <w:spacing w:line="240" w:lineRule="auto"/>
    </w:pPr>
    <w:rPr>
      <w:sz w:val="20"/>
      <w:szCs w:val="20"/>
    </w:rPr>
  </w:style>
  <w:style w:type="character" w:customStyle="1" w:styleId="CommentTextChar">
    <w:name w:val="Comment Text Char"/>
    <w:basedOn w:val="DefaultParagraphFont"/>
    <w:link w:val="CommentText"/>
    <w:uiPriority w:val="99"/>
    <w:semiHidden/>
    <w:rsid w:val="006126A5"/>
    <w:rPr>
      <w:rFonts w:ascii="Times New Roman" w:eastAsia="Times New Roman" w:hAnsi="Times New Roman" w:cs="Times New Roman"/>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126A5"/>
    <w:rPr>
      <w:b/>
      <w:bCs/>
    </w:rPr>
  </w:style>
  <w:style w:type="character" w:customStyle="1" w:styleId="CommentSubjectChar">
    <w:name w:val="Comment Subject Char"/>
    <w:basedOn w:val="CommentTextChar"/>
    <w:link w:val="CommentSubject"/>
    <w:uiPriority w:val="99"/>
    <w:semiHidden/>
    <w:rsid w:val="006126A5"/>
    <w:rPr>
      <w:rFonts w:ascii="Times New Roman" w:eastAsia="Times New Roman" w:hAnsi="Times New Roman" w:cs="Times New Roman"/>
      <w:b/>
      <w:bCs/>
      <w:color w:val="00000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1215</Words>
  <Characters>6929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15</cp:revision>
  <dcterms:created xsi:type="dcterms:W3CDTF">2026-10-10T17:06:00Z</dcterms:created>
  <dcterms:modified xsi:type="dcterms:W3CDTF">2026-10-10T17:30:00Z</dcterms:modified>
</cp:coreProperties>
</file>