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76" w:lineRule="auto"/>
        <w:jc w:val="left"/>
      </w:pPr>
      <w:r>
        <w:rPr>
          <w:rFonts w:ascii="Times New Roman" w:hAnsi="Times New Roman"/>
          <w:b/>
          <w:i w:val="0"/>
          <w:color w:val="000000"/>
          <w:sz w:val="24"/>
          <w:rFonts w:ascii="Times New Roman" w:hAnsi="Times New Roman" w:cs="Times New Roman"/>
        </w:rPr>
        <w:t>Doctoral Dissertation Revision Recommendations &amp; Tables Master Guide</w:t>
      </w:r>
    </w:p>
    <w:p>
      <w:pPr>
        <w:spacing w:before="0" w:after="320" w:line="276" w:lineRule="auto"/>
        <w:jc w:val="left"/>
      </w:pPr>
      <w:r>
        <w:rPr>
          <w:rFonts w:ascii="Times New Roman" w:hAnsi="Times New Roman"/>
          <w:b w:val="0"/>
          <w:i/>
          <w:color w:val="000000"/>
          <w:sz w:val="24"/>
          <w:rFonts w:ascii="Times New Roman" w:hAnsi="Times New Roman" w:cs="Times New Roman"/>
        </w:rPr>
        <w:t>Comprehensive Compilation of All Recommended Tables, Architectural Figures, and Academic Text Revisions</w:t>
      </w:r>
    </w:p>
    <w:p>
      <w:pPr>
        <w:spacing w:before="280" w:after="120" w:line="276" w:lineRule="auto"/>
        <w:jc w:val="left"/>
      </w:pPr>
      <w:r>
        <w:rPr>
          <w:rFonts w:ascii="Times New Roman" w:hAnsi="Times New Roman"/>
          <w:b/>
          <w:i w:val="0"/>
          <w:color w:val="000000"/>
          <w:sz w:val="24"/>
          <w:rFonts w:ascii="Times New Roman" w:hAnsi="Times New Roman" w:cs="Times New Roman"/>
        </w:rPr>
        <w:t>PART I: CHAPTER II REVISIONS (LITERATURE REVIEW)</w:t>
      </w:r>
    </w:p>
    <w:p>
      <w:pPr>
        <w:spacing w:before="0" w:after="120" w:line="276" w:lineRule="auto"/>
        <w:jc w:val="left"/>
      </w:pPr>
      <w:r>
        <w:rPr>
          <w:rFonts w:ascii="Times New Roman" w:hAnsi="Times New Roman"/>
          <w:b/>
          <w:i/>
          <w:color w:val="000000"/>
          <w:sz w:val="24"/>
          <w:rFonts w:ascii="Times New Roman" w:hAnsi="Times New Roman" w:cs="Times New Roman"/>
        </w:rPr>
        <w:t>1.1 Reworded Heading &amp; Micro-Simulation Definition</w:t>
      </w:r>
    </w:p>
    <w:p>
      <w:pPr>
        <w:spacing w:before="0" w:after="40" w:line="276" w:lineRule="auto"/>
        <w:jc w:val="left"/>
      </w:pPr>
      <w:r>
        <w:rPr>
          <w:rFonts w:ascii="Times New Roman" w:hAnsi="Times New Roman"/>
          <w:b w:val="0"/>
          <w:i w:val="0"/>
          <w:color w:val="000000"/>
          <w:sz w:val="24"/>
          <w:rFonts w:ascii="Times New Roman" w:hAnsi="Times New Roman" w:cs="Times New Roman"/>
        </w:rPr>
        <w:t>Recommended Section Heading: Three Operational Limitations of Micro-Simulation</w:t>
      </w:r>
    </w:p>
    <w:p>
      <w:pPr>
        <w:spacing w:before="0" w:after="40" w:line="276" w:lineRule="auto"/>
        <w:jc w:val="left"/>
      </w:pPr>
      <w:r>
        <w:rPr>
          <w:rFonts w:ascii="Times New Roman" w:hAnsi="Times New Roman"/>
          <w:b w:val="0"/>
          <w:i/>
          <w:color w:val="000000"/>
          <w:sz w:val="24"/>
          <w:rFonts w:ascii="Times New Roman" w:hAnsi="Times New Roman" w:cs="Times New Roman"/>
        </w:rPr>
        <w:t>Drop-in Definition of Micro-Simulation (for Paragraph 20):</w:t>
      </w:r>
    </w:p>
    <w:p>
      <w:pPr>
        <w:spacing w:before="0" w:after="160" w:line="276" w:lineRule="auto"/>
        <w:jc w:val="left"/>
      </w:pPr>
      <w:r>
        <w:rPr>
          <w:rFonts w:ascii="Times New Roman" w:hAnsi="Times New Roman"/>
          <w:b w:val="0"/>
          <w:i w:val="0"/>
          <w:color w:val="000000"/>
          <w:sz w:val="24"/>
          <w:rFonts w:ascii="Times New Roman" w:hAnsi="Times New Roman" w:cs="Times New Roman"/>
        </w:rPr>
        <w:t>Broadly defined, micro-simulation is a modeling paradigm that simulates the trajectories, attributes, and interactions of individual entities—such as distinct passengers—rather than evaluating aggregate traffic flows; within airport operational research, Discrete Event Simulation (DES) serves as the predominant computational framework used to implement these entity-level models.</w:t>
      </w:r>
    </w:p>
    <w:p>
      <w:pPr>
        <w:spacing w:before="0" w:after="120" w:line="276" w:lineRule="auto"/>
        <w:jc w:val="left"/>
      </w:pPr>
      <w:r>
        <w:rPr>
          <w:rFonts w:ascii="Times New Roman" w:hAnsi="Times New Roman"/>
          <w:b/>
          <w:i/>
          <w:color w:val="000000"/>
          <w:sz w:val="24"/>
          <w:rFonts w:ascii="Times New Roman" w:hAnsi="Times New Roman" w:cs="Times New Roman"/>
        </w:rPr>
        <w:t>1.2 Consolidated Paragraph: Operational Barriers to Deep Neural Architectures</w:t>
      </w:r>
    </w:p>
    <w:p>
      <w:pPr>
        <w:spacing w:before="0" w:after="160" w:line="276" w:lineRule="auto"/>
        <w:jc w:val="left"/>
      </w:pPr>
      <w:r>
        <w:rPr>
          <w:rFonts w:ascii="Times New Roman" w:hAnsi="Times New Roman"/>
          <w:b w:val="0"/>
          <w:i w:val="0"/>
          <w:color w:val="000000"/>
          <w:sz w:val="24"/>
          <w:rFonts w:ascii="Times New Roman" w:hAnsi="Times New Roman" w:cs="Times New Roman"/>
        </w:rPr>
        <w:t>Despite their theoretical expressiveness, end-to-end deep neural networks face severe operational and administrative barriers that impede their deployment in commercial airport security environments. First, highly parameterized architectures suffer from facility-specific over-specialization, memorizing terminal-specific spatial configurations, local carrier flight bank timings, and idiosyncratic walking distances. In a comprehensive spatial transferability study, Wang et al. (2025) demonstrated that deep neural models suffer acute performance collapse—with prediction error inflating by over 40%—when evaluated zero-shot on unfamiliar facilities, precluding multi-airport deployment without costly, site-specific retraining. Even more critically, these models present a profound "black-box" interpretability hurdle: airport security authorities and terminal operations planners operate under stringent administrative, regulatory, and budgetary constraints that preclude committing substantial labor allocations or authorizing high-cost staffing adjustments based on opaque, uninterpretable model weights (Adadi &amp; Berrada, 2018; Viaña et al., 2024). When an algorithm forecasts an unexpected passenger surge, operational leadership requires defensible, rule-based explanations grounded in published flight schedules and upstream airside delays before reallocating critical screening personnel. This operational necessity—demanding both empirical predictive flexibility and auditable, schedule-grounded transparency—reveals the fundamental inadequacy of unconstrained deep learning and establishes the imperative for hybrid architectures that anchor machine-learned adjustments to first-principles physical baselines.</w:t>
      </w:r>
    </w:p>
    <w:p>
      <w:pPr>
        <w:spacing w:before="0" w:after="120" w:line="276" w:lineRule="auto"/>
        <w:jc w:val="left"/>
      </w:pPr>
      <w:r>
        <w:rPr>
          <w:rFonts w:ascii="Times New Roman" w:hAnsi="Times New Roman"/>
          <w:b/>
          <w:i/>
          <w:color w:val="000000"/>
          <w:sz w:val="24"/>
          <w:rFonts w:ascii="Times New Roman" w:hAnsi="Times New Roman" w:cs="Times New Roman"/>
        </w:rPr>
        <w:t>1.3 Queuing and ACRP Report 40 Technical Rewording</w:t>
      </w:r>
    </w:p>
    <w:p>
      <w:pPr>
        <w:spacing w:before="0" w:after="40" w:line="276" w:lineRule="auto"/>
        <w:jc w:val="left"/>
      </w:pPr>
      <w:r>
        <w:rPr>
          <w:rFonts w:ascii="Times New Roman" w:hAnsi="Times New Roman"/>
          <w:b w:val="0"/>
          <w:i w:val="0"/>
          <w:color w:val="000000"/>
          <w:sz w:val="24"/>
          <w:rFonts w:ascii="Times New Roman" w:hAnsi="Times New Roman" w:cs="Times New Roman"/>
        </w:rPr>
        <w:t>• Replaced 'first-principles queuing models' with: analytical queuing models (Paragraph 40).</w:t>
      </w:r>
    </w:p>
    <w:p>
      <w:pPr>
        <w:spacing w:before="0" w:after="200" w:line="276" w:lineRule="auto"/>
        <w:jc w:val="left"/>
      </w:pPr>
      <w:r>
        <w:rPr>
          <w:rFonts w:ascii="Times New Roman" w:hAnsi="Times New Roman"/>
          <w:b w:val="0"/>
          <w:i w:val="0"/>
          <w:color w:val="000000"/>
          <w:sz w:val="24"/>
          <w:rFonts w:ascii="Times New Roman" w:hAnsi="Times New Roman" w:cs="Times New Roman"/>
        </w:rPr>
        <w:t>• Replaced 'empirical lognormal curve' with: empirically fitted lognormal distribution (Paragraph 42).</w:t>
      </w:r>
    </w:p>
    <w:p>
      <w:pPr>
        <w:spacing w:before="240" w:after="40" w:line="276" w:lineRule="auto"/>
        <w:jc w:val="left"/>
      </w:pPr>
      <w:r>
        <w:rPr>
          <w:rFonts w:ascii="Times New Roman" w:hAnsi="Times New Roman"/>
          <w:b/>
          <w:i w:val="0"/>
          <w:color w:val="000000"/>
          <w:sz w:val="24"/>
          <w:rFonts w:ascii="Times New Roman" w:hAnsi="Times New Roman" w:cs="Times New Roman"/>
        </w:rPr>
        <w:t>Table 2.1</w:t>
      </w:r>
    </w:p>
    <w:p>
      <w:pPr>
        <w:spacing w:before="0" w:after="120" w:line="276" w:lineRule="auto"/>
        <w:jc w:val="left"/>
      </w:pPr>
      <w:r>
        <w:rPr>
          <w:rFonts w:ascii="Times New Roman" w:hAnsi="Times New Roman"/>
          <w:b w:val="0"/>
          <w:i/>
          <w:color w:val="000000"/>
          <w:sz w:val="24"/>
          <w:rFonts w:ascii="Times New Roman" w:hAnsi="Times New Roman" w:cs="Times New Roman"/>
        </w:rPr>
        <w:t>Comparative Architectural Taxonomy of Candidate Passenger Flow Models</w:t>
      </w:r>
    </w:p>
    <w:tbl>
      <w:tblPr>
        <w:tblW w:type="auto" w:w="0"/>
        <w:jc w:val="center"/>
        <w:tblLook w:firstColumn="1" w:firstRow="1" w:lastColumn="0" w:lastRow="0" w:noHBand="0" w:noVBand="1" w:val="04A0"/>
        <w:tblBorders>
          <w:top w:val="single" w:sz="8" w:space="0" w:color="000000"/>
          <w:left w:val="none"/>
          <w:bottom w:val="single" w:sz="8" w:space="0" w:color="000000"/>
          <w:right w:val="none"/>
          <w:insideH w:val="none"/>
          <w:insideV w:val="none"/>
        </w:tblBorders>
      </w:tblPr>
      <w:tblGrid>
        <w:gridCol w:w="1872"/>
        <w:gridCol w:w="1872"/>
        <w:gridCol w:w="1872"/>
        <w:gridCol w:w="1872"/>
        <w:gridCol w:w="1872"/>
      </w:tblGrid>
      <w:tr>
        <w:tc>
          <w:tcPr>
            <w:tcW w:type="dxa" w:w="1728"/>
            <w:tcMar>
              <w:top w:w="100" w:type="dxa"/>
              <w:bottom w:w="100" w:type="dxa"/>
              <w:left w:w="130" w:type="dxa"/>
              <w:right w:w="130" w:type="dxa"/>
            </w:tcMar>
            <w:tcBorders>
              <w:bottom w:val="single" w:sz="6" w:space="0" w:color="000000"/>
            </w:tcBorders>
          </w:tcPr>
          <w:p>
            <w:pPr>
              <w:spacing w:before="40" w:after="40" w:line="252" w:lineRule="auto"/>
              <w:jc w:val="left"/>
            </w:pPr>
            <w:r/>
            <w:r>
              <w:rPr>
                <w:rFonts w:ascii="Times New Roman" w:hAnsi="Times New Roman"/>
                <w:b/>
                <w:i w:val="0"/>
                <w:color w:val="000000"/>
                <w:sz w:val="24"/>
                <w:rFonts w:ascii="Times New Roman" w:hAnsi="Times New Roman" w:cs="Times New Roman"/>
              </w:rPr>
              <w:t>Model Designation</w:t>
            </w:r>
          </w:p>
        </w:tc>
        <w:tc>
          <w:tcPr>
            <w:tcW w:type="dxa" w:w="2016"/>
            <w:tcMar>
              <w:top w:w="100" w:type="dxa"/>
              <w:bottom w:w="100" w:type="dxa"/>
              <w:left w:w="130" w:type="dxa"/>
              <w:right w:w="130" w:type="dxa"/>
            </w:tcMar>
            <w:tcBorders>
              <w:bottom w:val="single" w:sz="6" w:space="0" w:color="000000"/>
            </w:tcBorders>
          </w:tcPr>
          <w:p>
            <w:pPr>
              <w:spacing w:before="40" w:after="40" w:line="252" w:lineRule="auto"/>
              <w:jc w:val="left"/>
            </w:pPr>
            <w:r/>
            <w:r>
              <w:rPr>
                <w:rFonts w:ascii="Times New Roman" w:hAnsi="Times New Roman"/>
                <w:b/>
                <w:i w:val="0"/>
                <w:color w:val="000000"/>
                <w:sz w:val="24"/>
                <w:rFonts w:ascii="Times New Roman" w:hAnsi="Times New Roman" w:cs="Times New Roman"/>
              </w:rPr>
              <w:t>Architectural Class</w:t>
            </w:r>
          </w:p>
        </w:tc>
        <w:tc>
          <w:tcPr>
            <w:tcW w:type="dxa" w:w="2592"/>
            <w:tcMar>
              <w:top w:w="100" w:type="dxa"/>
              <w:bottom w:w="100" w:type="dxa"/>
              <w:left w:w="130" w:type="dxa"/>
              <w:right w:w="130" w:type="dxa"/>
            </w:tcMar>
            <w:tcBorders>
              <w:bottom w:val="single" w:sz="6" w:space="0" w:color="000000"/>
            </w:tcBorders>
          </w:tcPr>
          <w:p>
            <w:pPr>
              <w:spacing w:before="40" w:after="40" w:line="252" w:lineRule="auto"/>
              <w:jc w:val="left"/>
            </w:pPr>
            <w:r/>
            <w:r>
              <w:rPr>
                <w:rFonts w:ascii="Times New Roman" w:hAnsi="Times New Roman"/>
                <w:b/>
                <w:i w:val="0"/>
                <w:color w:val="000000"/>
                <w:sz w:val="24"/>
                <w:rFonts w:ascii="Times New Roman" w:hAnsi="Times New Roman" w:cs="Times New Roman"/>
              </w:rPr>
              <w:t>Theoretical &amp; Mathematical Basis</w:t>
            </w:r>
          </w:p>
        </w:tc>
        <w:tc>
          <w:tcPr>
            <w:tcW w:type="dxa" w:w="2304"/>
            <w:tcMar>
              <w:top w:w="100" w:type="dxa"/>
              <w:bottom w:w="100" w:type="dxa"/>
              <w:left w:w="130" w:type="dxa"/>
              <w:right w:w="130" w:type="dxa"/>
            </w:tcMar>
            <w:tcBorders>
              <w:bottom w:val="single" w:sz="6" w:space="0" w:color="000000"/>
            </w:tcBorders>
          </w:tcPr>
          <w:p>
            <w:pPr>
              <w:spacing w:before="40" w:after="40" w:line="252" w:lineRule="auto"/>
              <w:jc w:val="left"/>
            </w:pPr>
            <w:r/>
            <w:r>
              <w:rPr>
                <w:rFonts w:ascii="Times New Roman" w:hAnsi="Times New Roman"/>
                <w:b/>
                <w:i w:val="0"/>
                <w:color w:val="000000"/>
                <w:sz w:val="24"/>
                <w:rFonts w:ascii="Times New Roman" w:hAnsi="Times New Roman" w:cs="Times New Roman"/>
              </w:rPr>
              <w:t>Operational Strengths</w:t>
            </w:r>
          </w:p>
        </w:tc>
        <w:tc>
          <w:tcPr>
            <w:tcW w:type="dxa" w:w="2016"/>
            <w:tcMar>
              <w:top w:w="100" w:type="dxa"/>
              <w:bottom w:w="100" w:type="dxa"/>
              <w:left w:w="130" w:type="dxa"/>
              <w:right w:w="130" w:type="dxa"/>
            </w:tcMar>
            <w:tcBorders>
              <w:bottom w:val="single" w:sz="6" w:space="0" w:color="000000"/>
            </w:tcBorders>
          </w:tcPr>
          <w:p>
            <w:pPr>
              <w:spacing w:before="40" w:after="40" w:line="252" w:lineRule="auto"/>
              <w:jc w:val="left"/>
            </w:pPr>
            <w:r/>
            <w:r>
              <w:rPr>
                <w:rFonts w:ascii="Times New Roman" w:hAnsi="Times New Roman"/>
                <w:b/>
                <w:i w:val="0"/>
                <w:color w:val="000000"/>
                <w:sz w:val="24"/>
                <w:rFonts w:ascii="Times New Roman" w:hAnsi="Times New Roman" w:cs="Times New Roman"/>
              </w:rPr>
              <w:t>Primary Failure Modes</w:t>
            </w:r>
          </w:p>
        </w:tc>
      </w:tr>
      <w:tr>
        <w:tc>
          <w:tcPr>
            <w:tcW w:type="dxa" w:w="1728"/>
            <w:tcMar>
              <w:top w:w="100" w:type="dxa"/>
              <w:bottom w:w="100" w:type="dxa"/>
              <w:left w:w="130" w:type="dxa"/>
              <w:right w:w="130" w:type="dxa"/>
            </w:tcMar>
          </w:tcPr>
          <w:p>
            <w:pPr>
              <w:spacing w:before="40" w:after="40" w:line="252" w:lineRule="auto"/>
              <w:jc w:val="left"/>
            </w:pPr>
            <w:r/>
            <w:r>
              <w:rPr>
                <w:rFonts w:ascii="Times New Roman" w:hAnsi="Times New Roman"/>
                <w:b w:val="0"/>
                <w:i w:val="0"/>
                <w:color w:val="000000"/>
                <w:sz w:val="24"/>
                <w:rFonts w:ascii="Times New Roman" w:hAnsi="Times New Roman" w:cs="Times New Roman"/>
              </w:rPr>
              <w:t>Baseline Control (M0)</w:t>
            </w:r>
          </w:p>
        </w:tc>
        <w:tc>
          <w:tcPr>
            <w:tcW w:type="dxa" w:w="2016"/>
            <w:tcMar>
              <w:top w:w="100" w:type="dxa"/>
              <w:bottom w:w="100" w:type="dxa"/>
              <w:left w:w="130" w:type="dxa"/>
              <w:right w:w="130" w:type="dxa"/>
            </w:tcMar>
          </w:tcPr>
          <w:p>
            <w:pPr>
              <w:spacing w:before="40" w:after="40" w:line="252" w:lineRule="auto"/>
              <w:jc w:val="left"/>
            </w:pPr>
            <w:r/>
            <w:r>
              <w:rPr>
                <w:rFonts w:ascii="Times New Roman" w:hAnsi="Times New Roman"/>
                <w:b w:val="0"/>
                <w:i w:val="0"/>
                <w:color w:val="000000"/>
                <w:sz w:val="24"/>
                <w:rFonts w:ascii="Times New Roman" w:hAnsi="Times New Roman" w:cs="Times New Roman"/>
              </w:rPr>
              <w:t>Persistence Benchmark</w:t>
            </w:r>
          </w:p>
        </w:tc>
        <w:tc>
          <w:tcPr>
            <w:tcW w:type="dxa" w:w="2592"/>
            <w:tcMar>
              <w:top w:w="100" w:type="dxa"/>
              <w:bottom w:w="100" w:type="dxa"/>
              <w:left w:w="130" w:type="dxa"/>
              <w:right w:w="130" w:type="dxa"/>
            </w:tcMar>
          </w:tcPr>
          <w:p>
            <w:pPr>
              <w:spacing w:before="40" w:after="40" w:line="252" w:lineRule="auto"/>
              <w:jc w:val="left"/>
            </w:pPr>
            <w:r/>
            <w:r>
              <w:rPr>
                <w:rFonts w:ascii="Times New Roman" w:hAnsi="Times New Roman"/>
                <w:b w:val="0"/>
                <w:i w:val="0"/>
                <w:color w:val="000000"/>
                <w:sz w:val="24"/>
                <w:rFonts w:ascii="Times New Roman" w:hAnsi="Times New Roman" w:cs="Times New Roman"/>
              </w:rPr>
              <w:t>Y_hat(t) = Y(t - 168 hr); assumes weekly cycle repetition.</w:t>
            </w:r>
          </w:p>
        </w:tc>
        <w:tc>
          <w:tcPr>
            <w:tcW w:type="dxa" w:w="2304"/>
            <w:tcMar>
              <w:top w:w="100" w:type="dxa"/>
              <w:bottom w:w="100" w:type="dxa"/>
              <w:left w:w="130" w:type="dxa"/>
              <w:right w:w="130" w:type="dxa"/>
            </w:tcMar>
          </w:tcPr>
          <w:p>
            <w:pPr>
              <w:spacing w:before="40" w:after="40" w:line="252" w:lineRule="auto"/>
              <w:jc w:val="left"/>
            </w:pPr>
            <w:r/>
            <w:r>
              <w:rPr>
                <w:rFonts w:ascii="Times New Roman" w:hAnsi="Times New Roman"/>
                <w:b w:val="0"/>
                <w:i w:val="0"/>
                <w:color w:val="000000"/>
                <w:sz w:val="24"/>
                <w:rFonts w:ascii="Times New Roman" w:hAnsi="Times New Roman" w:cs="Times New Roman"/>
              </w:rPr>
              <w:t>Zero training overhead; standard benchmark for MASE.</w:t>
            </w:r>
          </w:p>
        </w:tc>
        <w:tc>
          <w:tcPr>
            <w:tcW w:type="dxa" w:w="2016"/>
            <w:tcMar>
              <w:top w:w="100" w:type="dxa"/>
              <w:bottom w:w="100" w:type="dxa"/>
              <w:left w:w="130" w:type="dxa"/>
              <w:right w:w="130" w:type="dxa"/>
            </w:tcMar>
          </w:tcPr>
          <w:p>
            <w:pPr>
              <w:spacing w:before="40" w:after="40" w:line="252" w:lineRule="auto"/>
              <w:jc w:val="left"/>
            </w:pPr>
            <w:r/>
            <w:r>
              <w:rPr>
                <w:rFonts w:ascii="Times New Roman" w:hAnsi="Times New Roman"/>
                <w:b w:val="0"/>
                <w:i w:val="0"/>
                <w:color w:val="000000"/>
                <w:sz w:val="24"/>
                <w:rFonts w:ascii="Times New Roman" w:hAnsi="Times New Roman" w:cs="Times New Roman"/>
              </w:rPr>
              <w:t>Cannot adapt to schedule breaks or weather delays.</w:t>
            </w:r>
          </w:p>
        </w:tc>
      </w:tr>
      <w:tr>
        <w:tc>
          <w:tcPr>
            <w:tcW w:type="dxa" w:w="1728"/>
            <w:tcMar>
              <w:top w:w="100" w:type="dxa"/>
              <w:bottom w:w="100" w:type="dxa"/>
              <w:left w:w="130" w:type="dxa"/>
              <w:right w:w="130" w:type="dxa"/>
            </w:tcMar>
          </w:tcPr>
          <w:p>
            <w:pPr>
              <w:spacing w:before="40" w:after="40" w:line="252" w:lineRule="auto"/>
              <w:jc w:val="left"/>
            </w:pPr>
            <w:r/>
            <w:r>
              <w:rPr>
                <w:rFonts w:ascii="Times New Roman" w:hAnsi="Times New Roman"/>
                <w:b w:val="0"/>
                <w:i w:val="0"/>
                <w:color w:val="000000"/>
                <w:sz w:val="24"/>
                <w:rFonts w:ascii="Times New Roman" w:hAnsi="Times New Roman" w:cs="Times New Roman"/>
              </w:rPr>
              <w:t>Model 1 (M1)</w:t>
            </w:r>
          </w:p>
        </w:tc>
        <w:tc>
          <w:tcPr>
            <w:tcW w:type="dxa" w:w="2016"/>
            <w:tcMar>
              <w:top w:w="100" w:type="dxa"/>
              <w:bottom w:w="100" w:type="dxa"/>
              <w:left w:w="130" w:type="dxa"/>
              <w:right w:w="130" w:type="dxa"/>
            </w:tcMar>
          </w:tcPr>
          <w:p>
            <w:pPr>
              <w:spacing w:before="40" w:after="40" w:line="252" w:lineRule="auto"/>
              <w:jc w:val="left"/>
            </w:pPr>
            <w:r/>
            <w:r>
              <w:rPr>
                <w:rFonts w:ascii="Times New Roman" w:hAnsi="Times New Roman"/>
                <w:b w:val="0"/>
                <w:i w:val="0"/>
                <w:color w:val="000000"/>
                <w:sz w:val="24"/>
                <w:rFonts w:ascii="Times New Roman" w:hAnsi="Times New Roman" w:cs="Times New Roman"/>
              </w:rPr>
              <w:t>Deterministic Schedule Baseline</w:t>
            </w:r>
          </w:p>
        </w:tc>
        <w:tc>
          <w:tcPr>
            <w:tcW w:type="dxa" w:w="2592"/>
            <w:tcMar>
              <w:top w:w="100" w:type="dxa"/>
              <w:bottom w:w="100" w:type="dxa"/>
              <w:left w:w="130" w:type="dxa"/>
              <w:right w:w="130" w:type="dxa"/>
            </w:tcMar>
          </w:tcPr>
          <w:p>
            <w:pPr>
              <w:spacing w:before="40" w:after="40" w:line="252" w:lineRule="auto"/>
              <w:jc w:val="left"/>
            </w:pPr>
            <w:r/>
            <w:r>
              <w:rPr>
                <w:rFonts w:ascii="Times New Roman" w:hAnsi="Times New Roman"/>
                <w:b w:val="0"/>
                <w:i w:val="0"/>
                <w:color w:val="000000"/>
                <w:sz w:val="24"/>
                <w:rFonts w:ascii="Times New Roman" w:hAnsi="Times New Roman" w:cs="Times New Roman"/>
              </w:rPr>
              <w:t>Convolves published seat capacity with ACRP 40 lognormal curves; deflated by DB1B transfers.</w:t>
            </w:r>
          </w:p>
        </w:tc>
        <w:tc>
          <w:tcPr>
            <w:tcW w:type="dxa" w:w="2304"/>
            <w:tcMar>
              <w:top w:w="100" w:type="dxa"/>
              <w:bottom w:w="100" w:type="dxa"/>
              <w:left w:w="130" w:type="dxa"/>
              <w:right w:w="130" w:type="dxa"/>
            </w:tcMar>
          </w:tcPr>
          <w:p>
            <w:pPr>
              <w:spacing w:before="40" w:after="40" w:line="252" w:lineRule="auto"/>
              <w:jc w:val="left"/>
            </w:pPr>
            <w:r/>
            <w:r>
              <w:rPr>
                <w:rFonts w:ascii="Times New Roman" w:hAnsi="Times New Roman"/>
                <w:b w:val="0"/>
                <w:i w:val="0"/>
                <w:color w:val="000000"/>
                <w:sz w:val="24"/>
                <w:rFonts w:ascii="Times New Roman" w:hAnsi="Times New Roman" w:cs="Times New Roman"/>
              </w:rPr>
              <w:t>Domain transparency; zero training required; fully portable across airports.</w:t>
            </w:r>
          </w:p>
        </w:tc>
        <w:tc>
          <w:tcPr>
            <w:tcW w:type="dxa" w:w="2016"/>
            <w:tcMar>
              <w:top w:w="100" w:type="dxa"/>
              <w:bottom w:w="100" w:type="dxa"/>
              <w:left w:w="130" w:type="dxa"/>
              <w:right w:w="130" w:type="dxa"/>
            </w:tcMar>
          </w:tcPr>
          <w:p>
            <w:pPr>
              <w:spacing w:before="40" w:after="40" w:line="252" w:lineRule="auto"/>
              <w:jc w:val="left"/>
            </w:pPr>
            <w:r/>
            <w:r>
              <w:rPr>
                <w:rFonts w:ascii="Times New Roman" w:hAnsi="Times New Roman"/>
                <w:b w:val="0"/>
                <w:i w:val="0"/>
                <w:color w:val="000000"/>
                <w:sz w:val="24"/>
                <w:rFonts w:ascii="Times New Roman" w:hAnsi="Times New Roman" w:cs="Times New Roman"/>
              </w:rPr>
              <w:t>Cannot adapt dynamically to upstream flight delays or ground stops.</w:t>
            </w:r>
          </w:p>
        </w:tc>
      </w:tr>
      <w:tr>
        <w:tc>
          <w:tcPr>
            <w:tcW w:type="dxa" w:w="1728"/>
            <w:tcMar>
              <w:top w:w="100" w:type="dxa"/>
              <w:bottom w:w="100" w:type="dxa"/>
              <w:left w:w="130" w:type="dxa"/>
              <w:right w:w="130" w:type="dxa"/>
            </w:tcMar>
          </w:tcPr>
          <w:p>
            <w:pPr>
              <w:spacing w:before="40" w:after="40" w:line="252" w:lineRule="auto"/>
              <w:jc w:val="left"/>
            </w:pPr>
            <w:r/>
            <w:r>
              <w:rPr>
                <w:rFonts w:ascii="Times New Roman" w:hAnsi="Times New Roman"/>
                <w:b w:val="0"/>
                <w:i w:val="0"/>
                <w:color w:val="000000"/>
                <w:sz w:val="24"/>
                <w:rFonts w:ascii="Times New Roman" w:hAnsi="Times New Roman" w:cs="Times New Roman"/>
              </w:rPr>
              <w:t>Model 2 (M2)</w:t>
            </w:r>
          </w:p>
        </w:tc>
        <w:tc>
          <w:tcPr>
            <w:tcW w:type="dxa" w:w="2016"/>
            <w:tcMar>
              <w:top w:w="100" w:type="dxa"/>
              <w:bottom w:w="100" w:type="dxa"/>
              <w:left w:w="130" w:type="dxa"/>
              <w:right w:w="130" w:type="dxa"/>
            </w:tcMar>
          </w:tcPr>
          <w:p>
            <w:pPr>
              <w:spacing w:before="40" w:after="40" w:line="252" w:lineRule="auto"/>
              <w:jc w:val="left"/>
            </w:pPr>
            <w:r/>
            <w:r>
              <w:rPr>
                <w:rFonts w:ascii="Times New Roman" w:hAnsi="Times New Roman"/>
                <w:b w:val="0"/>
                <w:i w:val="0"/>
                <w:color w:val="000000"/>
                <w:sz w:val="24"/>
                <w:rFonts w:ascii="Times New Roman" w:hAnsi="Times New Roman" w:cs="Times New Roman"/>
              </w:rPr>
              <w:t>Supervised Machine Learning</w:t>
            </w:r>
          </w:p>
        </w:tc>
        <w:tc>
          <w:tcPr>
            <w:tcW w:type="dxa" w:w="2592"/>
            <w:tcMar>
              <w:top w:w="100" w:type="dxa"/>
              <w:bottom w:w="100" w:type="dxa"/>
              <w:left w:w="130" w:type="dxa"/>
              <w:right w:w="130" w:type="dxa"/>
            </w:tcMar>
          </w:tcPr>
          <w:p>
            <w:pPr>
              <w:spacing w:before="40" w:after="40" w:line="252" w:lineRule="auto"/>
              <w:jc w:val="left"/>
            </w:pPr>
            <w:r/>
            <w:r>
              <w:rPr>
                <w:rFonts w:ascii="Times New Roman" w:hAnsi="Times New Roman"/>
                <w:b w:val="0"/>
                <w:i w:val="0"/>
                <w:color w:val="000000"/>
                <w:sz w:val="24"/>
                <w:rFonts w:ascii="Times New Roman" w:hAnsi="Times New Roman" w:cs="Times New Roman"/>
              </w:rPr>
              <w:t>LightGBM / GBDT trained on operational lags, weather, and bank indicators.</w:t>
            </w:r>
          </w:p>
        </w:tc>
        <w:tc>
          <w:tcPr>
            <w:tcW w:type="dxa" w:w="2304"/>
            <w:tcMar>
              <w:top w:w="100" w:type="dxa"/>
              <w:bottom w:w="100" w:type="dxa"/>
              <w:left w:w="130" w:type="dxa"/>
              <w:right w:w="130" w:type="dxa"/>
            </w:tcMar>
          </w:tcPr>
          <w:p>
            <w:pPr>
              <w:spacing w:before="40" w:after="40" w:line="252" w:lineRule="auto"/>
              <w:jc w:val="left"/>
            </w:pPr>
            <w:r/>
            <w:r>
              <w:rPr>
                <w:rFonts w:ascii="Times New Roman" w:hAnsi="Times New Roman"/>
                <w:b w:val="0"/>
                <w:i w:val="0"/>
                <w:color w:val="000000"/>
                <w:sz w:val="24"/>
                <w:rFonts w:ascii="Times New Roman" w:hAnsi="Times New Roman" w:cs="Times New Roman"/>
              </w:rPr>
              <w:t>Captures complex non-linear feature interactions.</w:t>
            </w:r>
          </w:p>
        </w:tc>
        <w:tc>
          <w:tcPr>
            <w:tcW w:type="dxa" w:w="2016"/>
            <w:tcMar>
              <w:top w:w="100" w:type="dxa"/>
              <w:bottom w:w="100" w:type="dxa"/>
              <w:left w:w="130" w:type="dxa"/>
              <w:right w:w="130" w:type="dxa"/>
            </w:tcMar>
          </w:tcPr>
          <w:p>
            <w:pPr>
              <w:spacing w:before="40" w:after="40" w:line="252" w:lineRule="auto"/>
              <w:jc w:val="left"/>
            </w:pPr>
            <w:r/>
            <w:r>
              <w:rPr>
                <w:rFonts w:ascii="Times New Roman" w:hAnsi="Times New Roman"/>
                <w:b w:val="0"/>
                <w:i w:val="0"/>
                <w:color w:val="000000"/>
                <w:sz w:val="24"/>
                <w:rFonts w:ascii="Times New Roman" w:hAnsi="Times New Roman" w:cs="Times New Roman"/>
              </w:rPr>
              <w:t>'Black-box' opacity; severe spatial transfer collapse (&gt;40% error inflation).</w:t>
            </w:r>
          </w:p>
        </w:tc>
      </w:tr>
      <w:tr>
        <w:tc>
          <w:tcPr>
            <w:tcW w:type="dxa" w:w="1728"/>
            <w:tcMar>
              <w:top w:w="100" w:type="dxa"/>
              <w:bottom w:w="100" w:type="dxa"/>
              <w:left w:w="130" w:type="dxa"/>
              <w:right w:w="130" w:type="dxa"/>
            </w:tcMar>
          </w:tcPr>
          <w:p>
            <w:pPr>
              <w:spacing w:before="40" w:after="40" w:line="252" w:lineRule="auto"/>
              <w:jc w:val="left"/>
            </w:pPr>
            <w:r/>
            <w:r>
              <w:rPr>
                <w:rFonts w:ascii="Times New Roman" w:hAnsi="Times New Roman"/>
                <w:b w:val="0"/>
                <w:i w:val="0"/>
                <w:color w:val="000000"/>
                <w:sz w:val="24"/>
                <w:rFonts w:ascii="Times New Roman" w:hAnsi="Times New Roman" w:cs="Times New Roman"/>
              </w:rPr>
              <w:t>Model 3 (M3)</w:t>
            </w:r>
          </w:p>
        </w:tc>
        <w:tc>
          <w:tcPr>
            <w:tcW w:type="dxa" w:w="2016"/>
            <w:tcMar>
              <w:top w:w="100" w:type="dxa"/>
              <w:bottom w:w="100" w:type="dxa"/>
              <w:left w:w="130" w:type="dxa"/>
              <w:right w:w="130" w:type="dxa"/>
            </w:tcMar>
          </w:tcPr>
          <w:p>
            <w:pPr>
              <w:spacing w:before="40" w:after="40" w:line="252" w:lineRule="auto"/>
              <w:jc w:val="left"/>
            </w:pPr>
            <w:r/>
            <w:r>
              <w:rPr>
                <w:rFonts w:ascii="Times New Roman" w:hAnsi="Times New Roman"/>
                <w:b w:val="0"/>
                <w:i w:val="0"/>
                <w:color w:val="000000"/>
                <w:sz w:val="24"/>
                <w:rFonts w:ascii="Times New Roman" w:hAnsi="Times New Roman" w:cs="Times New Roman"/>
              </w:rPr>
              <w:t>Dynamic Two-Stage Hybrid</w:t>
            </w:r>
          </w:p>
        </w:tc>
        <w:tc>
          <w:tcPr>
            <w:tcW w:type="dxa" w:w="2592"/>
            <w:tcMar>
              <w:top w:w="100" w:type="dxa"/>
              <w:bottom w:w="100" w:type="dxa"/>
              <w:left w:w="130" w:type="dxa"/>
              <w:right w:w="130" w:type="dxa"/>
            </w:tcMar>
          </w:tcPr>
          <w:p>
            <w:pPr>
              <w:spacing w:before="40" w:after="40" w:line="252" w:lineRule="auto"/>
              <w:jc w:val="left"/>
            </w:pPr>
            <w:r/>
            <w:r>
              <w:rPr>
                <w:rFonts w:ascii="Times New Roman" w:hAnsi="Times New Roman"/>
                <w:b w:val="0"/>
                <w:i w:val="0"/>
                <w:color w:val="000000"/>
                <w:sz w:val="24"/>
                <w:rFonts w:ascii="Times New Roman" w:hAnsi="Times New Roman" w:cs="Times New Roman"/>
              </w:rPr>
              <w:t>Decoupled pipeline: Stage 1 Deterministic Base + Stage 2 ML Residual with feedback.</w:t>
            </w:r>
          </w:p>
        </w:tc>
        <w:tc>
          <w:tcPr>
            <w:tcW w:type="dxa" w:w="2304"/>
            <w:tcMar>
              <w:top w:w="100" w:type="dxa"/>
              <w:bottom w:w="100" w:type="dxa"/>
              <w:left w:w="130" w:type="dxa"/>
              <w:right w:w="130" w:type="dxa"/>
            </w:tcMar>
          </w:tcPr>
          <w:p>
            <w:pPr>
              <w:spacing w:before="40" w:after="40" w:line="252" w:lineRule="auto"/>
              <w:jc w:val="left"/>
            </w:pPr>
            <w:r/>
            <w:r>
              <w:rPr>
                <w:rFonts w:ascii="Times New Roman" w:hAnsi="Times New Roman"/>
                <w:b w:val="0"/>
                <w:i w:val="0"/>
                <w:color w:val="000000"/>
                <w:sz w:val="24"/>
                <w:rFonts w:ascii="Times New Roman" w:hAnsi="Times New Roman" w:cs="Times New Roman"/>
              </w:rPr>
              <w:t>Resolves 'black-box' hurdle by anchoring ML to physical schedule; disruption resilient.</w:t>
            </w:r>
          </w:p>
        </w:tc>
        <w:tc>
          <w:tcPr>
            <w:tcW w:type="dxa" w:w="2016"/>
            <w:tcMar>
              <w:top w:w="100" w:type="dxa"/>
              <w:bottom w:w="100" w:type="dxa"/>
              <w:left w:w="130" w:type="dxa"/>
              <w:right w:w="130" w:type="dxa"/>
            </w:tcMar>
          </w:tcPr>
          <w:p>
            <w:pPr>
              <w:spacing w:before="40" w:after="40" w:line="252" w:lineRule="auto"/>
              <w:jc w:val="left"/>
            </w:pPr>
            <w:r/>
            <w:r>
              <w:rPr>
                <w:rFonts w:ascii="Times New Roman" w:hAnsi="Times New Roman"/>
                <w:b w:val="0"/>
                <w:i w:val="0"/>
                <w:color w:val="000000"/>
                <w:sz w:val="24"/>
                <w:rFonts w:ascii="Times New Roman" w:hAnsi="Times New Roman" w:cs="Times New Roman"/>
              </w:rPr>
              <w:t>Requires synchronized live feeds between schedule and residual models.</w:t>
            </w:r>
          </w:p>
        </w:tc>
      </w:tr>
    </w:tbl>
    <w:p>
      <w:pPr>
        <w:spacing w:before="80" w:after="240" w:line="276" w:lineRule="auto"/>
      </w:pPr>
      <w:r>
        <w:rPr>
          <w:rFonts w:ascii="Times New Roman" w:hAnsi="Times New Roman"/>
          <w:i/>
          <w:color w:val="000000"/>
          <w:sz w:val="24"/>
        </w:rPr>
        <w:t xml:space="preserve">Note. </w:t>
      </w:r>
      <w:r>
        <w:rPr>
          <w:rFonts w:ascii="Times New Roman" w:hAnsi="Times New Roman"/>
          <w:color w:val="000000"/>
          <w:sz w:val="24"/>
        </w:rPr>
        <w:t>Compares the candidate modeling suite evaluated in Chapter IV.</w:t>
      </w:r>
    </w:p>
    <w:p>
      <w:pPr>
        <w:spacing w:before="320" w:after="120" w:line="276" w:lineRule="auto"/>
        <w:jc w:val="left"/>
      </w:pPr>
      <w:r>
        <w:rPr>
          <w:rFonts w:ascii="Times New Roman" w:hAnsi="Times New Roman"/>
          <w:b/>
          <w:i w:val="0"/>
          <w:color w:val="000000"/>
          <w:sz w:val="24"/>
          <w:rFonts w:ascii="Times New Roman" w:hAnsi="Times New Roman" w:cs="Times New Roman"/>
        </w:rPr>
        <w:t>PART II: CHAPTER III REVISIONS (METHODOLOGY)</w:t>
      </w:r>
    </w:p>
    <w:p>
      <w:pPr>
        <w:spacing w:before="0" w:after="120" w:line="276" w:lineRule="auto"/>
        <w:jc w:val="left"/>
      </w:pPr>
      <w:r>
        <w:rPr>
          <w:rFonts w:ascii="Times New Roman" w:hAnsi="Times New Roman"/>
          <w:b/>
          <w:i/>
          <w:color w:val="000000"/>
          <w:sz w:val="24"/>
          <w:rFonts w:ascii="Times New Roman" w:hAnsi="Times New Roman" w:cs="Times New Roman"/>
        </w:rPr>
        <w:t>2.1 Phase 4 Heading Standardization</w:t>
      </w:r>
    </w:p>
    <w:p>
      <w:pPr>
        <w:spacing w:before="0" w:after="160" w:line="276" w:lineRule="auto"/>
        <w:jc w:val="left"/>
      </w:pPr>
      <w:r>
        <w:rPr>
          <w:rFonts w:ascii="Times New Roman" w:hAnsi="Times New Roman"/>
          <w:b w:val="0"/>
          <w:i w:val="0"/>
          <w:color w:val="000000"/>
          <w:sz w:val="24"/>
          <w:rFonts w:ascii="Times New Roman" w:hAnsi="Times New Roman" w:cs="Times New Roman"/>
        </w:rPr>
        <w:t>Recommended Heading: Phase 4: Factorial Cohort (Carrier-Archetype Matrix Balance):</w:t>
      </w:r>
    </w:p>
    <w:p>
      <w:pPr>
        <w:spacing w:before="240" w:after="40" w:line="276" w:lineRule="auto"/>
        <w:jc w:val="left"/>
      </w:pPr>
      <w:r>
        <w:rPr>
          <w:rFonts w:ascii="Times New Roman" w:hAnsi="Times New Roman"/>
          <w:b/>
          <w:i w:val="0"/>
          <w:color w:val="000000"/>
          <w:sz w:val="24"/>
          <w:rFonts w:ascii="Times New Roman" w:hAnsi="Times New Roman" w:cs="Times New Roman"/>
        </w:rPr>
        <w:t>Table 3.1</w:t>
      </w:r>
    </w:p>
    <w:p>
      <w:pPr>
        <w:spacing w:before="0" w:after="120" w:line="276" w:lineRule="auto"/>
        <w:jc w:val="left"/>
      </w:pPr>
      <w:r>
        <w:rPr>
          <w:rFonts w:ascii="Times New Roman" w:hAnsi="Times New Roman"/>
          <w:b w:val="0"/>
          <w:i/>
          <w:color w:val="000000"/>
          <w:sz w:val="24"/>
          <w:rFonts w:ascii="Times New Roman" w:hAnsi="Times New Roman" w:cs="Times New Roman"/>
        </w:rPr>
        <w:t>Sequential Four-Phase Methodology and Results Operational Architecture</w:t>
      </w:r>
    </w:p>
    <w:tbl>
      <w:tblPr>
        <w:tblW w:type="auto" w:w="0"/>
        <w:jc w:val="center"/>
        <w:tblLook w:firstColumn="1" w:firstRow="1" w:lastColumn="0" w:lastRow="0" w:noHBand="0" w:noVBand="1" w:val="04A0"/>
        <w:tblBorders>
          <w:top w:val="single" w:sz="8" w:space="0" w:color="000000"/>
          <w:left w:val="none"/>
          <w:bottom w:val="single" w:sz="8" w:space="0" w:color="000000"/>
          <w:right w:val="none"/>
          <w:insideH w:val="none"/>
          <w:insideV w:val="none"/>
        </w:tblBorders>
      </w:tblPr>
      <w:tblGrid>
        <w:gridCol w:w="2340"/>
        <w:gridCol w:w="2340"/>
        <w:gridCol w:w="2340"/>
        <w:gridCol w:w="2340"/>
      </w:tblGrid>
      <w:tr>
        <w:tc>
          <w:tcPr>
            <w:tcW w:type="dxa" w:w="2160"/>
            <w:tcMar>
              <w:top w:w="100" w:type="dxa"/>
              <w:bottom w:w="100" w:type="dxa"/>
              <w:left w:w="130" w:type="dxa"/>
              <w:right w:w="130" w:type="dxa"/>
            </w:tcMar>
            <w:tcBorders>
              <w:bottom w:val="single" w:sz="6" w:space="0" w:color="000000"/>
            </w:tcBorders>
          </w:tcPr>
          <w:p>
            <w:pPr>
              <w:spacing w:before="40" w:after="40" w:line="252" w:lineRule="auto"/>
              <w:jc w:val="left"/>
            </w:pPr>
            <w:r/>
            <w:r>
              <w:rPr>
                <w:rFonts w:ascii="Times New Roman" w:hAnsi="Times New Roman"/>
                <w:b/>
                <w:i w:val="0"/>
                <w:color w:val="000000"/>
                <w:sz w:val="24"/>
                <w:rFonts w:ascii="Times New Roman" w:hAnsi="Times New Roman" w:cs="Times New Roman"/>
              </w:rPr>
              <w:t>Phase &amp; Title</w:t>
            </w:r>
          </w:p>
        </w:tc>
        <w:tc>
          <w:tcPr>
            <w:tcW w:type="dxa" w:w="2592"/>
            <w:tcMar>
              <w:top w:w="100" w:type="dxa"/>
              <w:bottom w:w="100" w:type="dxa"/>
              <w:left w:w="130" w:type="dxa"/>
              <w:right w:w="130" w:type="dxa"/>
            </w:tcMar>
            <w:tcBorders>
              <w:bottom w:val="single" w:sz="6" w:space="0" w:color="000000"/>
            </w:tcBorders>
          </w:tcPr>
          <w:p>
            <w:pPr>
              <w:spacing w:before="40" w:after="40" w:line="252" w:lineRule="auto"/>
              <w:jc w:val="left"/>
            </w:pPr>
            <w:r/>
            <w:r>
              <w:rPr>
                <w:rFonts w:ascii="Times New Roman" w:hAnsi="Times New Roman"/>
                <w:b/>
                <w:i w:val="0"/>
                <w:color w:val="000000"/>
                <w:sz w:val="24"/>
                <w:rFonts w:ascii="Times New Roman" w:hAnsi="Times New Roman" w:cs="Times New Roman"/>
              </w:rPr>
              <w:t>Operational Inputs &amp; Sources</w:t>
            </w:r>
          </w:p>
        </w:tc>
        <w:tc>
          <w:tcPr>
            <w:tcW w:type="dxa" w:w="2880"/>
            <w:tcMar>
              <w:top w:w="100" w:type="dxa"/>
              <w:bottom w:w="100" w:type="dxa"/>
              <w:left w:w="130" w:type="dxa"/>
              <w:right w:w="130" w:type="dxa"/>
            </w:tcMar>
            <w:tcBorders>
              <w:bottom w:val="single" w:sz="6" w:space="0" w:color="000000"/>
            </w:tcBorders>
          </w:tcPr>
          <w:p>
            <w:pPr>
              <w:spacing w:before="40" w:after="40" w:line="252" w:lineRule="auto"/>
              <w:jc w:val="left"/>
            </w:pPr>
            <w:r/>
            <w:r>
              <w:rPr>
                <w:rFonts w:ascii="Times New Roman" w:hAnsi="Times New Roman"/>
                <w:b/>
                <w:i w:val="0"/>
                <w:color w:val="000000"/>
                <w:sz w:val="24"/>
                <w:rFonts w:ascii="Times New Roman" w:hAnsi="Times New Roman" w:cs="Times New Roman"/>
              </w:rPr>
              <w:t>Core Methodological Specifications</w:t>
            </w:r>
          </w:p>
        </w:tc>
        <w:tc>
          <w:tcPr>
            <w:tcW w:type="dxa" w:w="2448"/>
            <w:tcMar>
              <w:top w:w="100" w:type="dxa"/>
              <w:bottom w:w="100" w:type="dxa"/>
              <w:left w:w="130" w:type="dxa"/>
              <w:right w:w="130" w:type="dxa"/>
            </w:tcMar>
            <w:tcBorders>
              <w:bottom w:val="single" w:sz="6" w:space="0" w:color="000000"/>
            </w:tcBorders>
          </w:tcPr>
          <w:p>
            <w:pPr>
              <w:spacing w:before="40" w:after="40" w:line="252" w:lineRule="auto"/>
              <w:jc w:val="left"/>
            </w:pPr>
            <w:r/>
            <w:r>
              <w:rPr>
                <w:rFonts w:ascii="Times New Roman" w:hAnsi="Times New Roman"/>
                <w:b/>
                <w:i w:val="0"/>
                <w:color w:val="000000"/>
                <w:sz w:val="24"/>
                <w:rFonts w:ascii="Times New Roman" w:hAnsi="Times New Roman" w:cs="Times New Roman"/>
              </w:rPr>
              <w:t>Empirical Outputs &amp; Findings</w:t>
            </w:r>
          </w:p>
        </w:tc>
      </w:tr>
      <w:tr>
        <w:tc>
          <w:tcPr>
            <w:tcW w:type="dxa" w:w="2160"/>
            <w:tcMar>
              <w:top w:w="100" w:type="dxa"/>
              <w:bottom w:w="100" w:type="dxa"/>
              <w:left w:w="130" w:type="dxa"/>
              <w:right w:w="130" w:type="dxa"/>
            </w:tcMar>
          </w:tcPr>
          <w:p>
            <w:pPr>
              <w:spacing w:before="40" w:after="40" w:line="252" w:lineRule="auto"/>
              <w:jc w:val="left"/>
            </w:pPr>
            <w:r/>
            <w:r>
              <w:rPr>
                <w:rFonts w:ascii="Times New Roman" w:hAnsi="Times New Roman"/>
                <w:b w:val="0"/>
                <w:i w:val="0"/>
                <w:color w:val="000000"/>
                <w:sz w:val="24"/>
                <w:rFonts w:ascii="Times New Roman" w:hAnsi="Times New Roman" w:cs="Times New Roman"/>
              </w:rPr>
              <w:t>Phase 1: Ingestion &amp; Harmonization (ETL)</w:t>
            </w:r>
          </w:p>
        </w:tc>
        <w:tc>
          <w:tcPr>
            <w:tcW w:type="dxa" w:w="2592"/>
            <w:tcMar>
              <w:top w:w="100" w:type="dxa"/>
              <w:bottom w:w="100" w:type="dxa"/>
              <w:left w:w="130" w:type="dxa"/>
              <w:right w:w="130" w:type="dxa"/>
            </w:tcMar>
          </w:tcPr>
          <w:p>
            <w:pPr>
              <w:spacing w:before="40" w:after="40" w:line="252" w:lineRule="auto"/>
              <w:jc w:val="left"/>
            </w:pPr>
            <w:r/>
            <w:r>
              <w:rPr>
                <w:rFonts w:ascii="Times New Roman" w:hAnsi="Times New Roman"/>
                <w:b w:val="0"/>
                <w:i w:val="0"/>
                <w:color w:val="000000"/>
                <w:sz w:val="24"/>
                <w:rFonts w:ascii="Times New Roman" w:hAnsi="Times New Roman" w:cs="Times New Roman"/>
              </w:rPr>
              <w:t>TSA Checkpoints (2019-2025), BTS Form 234 OTP (13.15M flights), BTS DB1B 10% Survey, FAA ASPM.</w:t>
            </w:r>
          </w:p>
        </w:tc>
        <w:tc>
          <w:tcPr>
            <w:tcW w:type="dxa" w:w="2880"/>
            <w:tcMar>
              <w:top w:w="100" w:type="dxa"/>
              <w:bottom w:w="100" w:type="dxa"/>
              <w:left w:w="130" w:type="dxa"/>
              <w:right w:w="130" w:type="dxa"/>
            </w:tcMar>
          </w:tcPr>
          <w:p>
            <w:pPr>
              <w:spacing w:before="40" w:after="40" w:line="252" w:lineRule="auto"/>
              <w:jc w:val="left"/>
            </w:pPr>
            <w:r/>
            <w:r>
              <w:rPr>
                <w:rFonts w:ascii="Times New Roman" w:hAnsi="Times New Roman"/>
                <w:b w:val="0"/>
                <w:i w:val="0"/>
                <w:color w:val="000000"/>
                <w:sz w:val="24"/>
                <w:rFonts w:ascii="Times New Roman" w:hAnsi="Times New Roman" w:cs="Times New Roman"/>
              </w:rPr>
              <w:t>Multi-source relational joins across 15/60 min bins; DB1B airside deflation; Four-Tier filtering; ACRP 40 curve fitting.</w:t>
            </w:r>
          </w:p>
        </w:tc>
        <w:tc>
          <w:tcPr>
            <w:tcW w:type="dxa" w:w="2448"/>
            <w:tcMar>
              <w:top w:w="100" w:type="dxa"/>
              <w:bottom w:w="100" w:type="dxa"/>
              <w:left w:w="130" w:type="dxa"/>
              <w:right w:w="130" w:type="dxa"/>
            </w:tcMar>
          </w:tcPr>
          <w:p>
            <w:pPr>
              <w:spacing w:before="40" w:after="40" w:line="252" w:lineRule="auto"/>
              <w:jc w:val="left"/>
            </w:pPr>
            <w:r/>
            <w:r>
              <w:rPr>
                <w:rFonts w:ascii="Times New Roman" w:hAnsi="Times New Roman"/>
                <w:b w:val="0"/>
                <w:i w:val="0"/>
                <w:color w:val="000000"/>
                <w:sz w:val="24"/>
                <w:rFonts w:ascii="Times New Roman" w:hAnsi="Times New Roman" w:cs="Times New Roman"/>
              </w:rPr>
              <w:t>Harmonized multi-year panel; 9-Airport Factorial Cohort; transfer deflator weights.</w:t>
            </w:r>
          </w:p>
        </w:tc>
      </w:tr>
      <w:tr>
        <w:tc>
          <w:tcPr>
            <w:tcW w:type="dxa" w:w="2160"/>
            <w:tcMar>
              <w:top w:w="100" w:type="dxa"/>
              <w:bottom w:w="100" w:type="dxa"/>
              <w:left w:w="130" w:type="dxa"/>
              <w:right w:w="130" w:type="dxa"/>
            </w:tcMar>
          </w:tcPr>
          <w:p>
            <w:pPr>
              <w:spacing w:before="40" w:after="40" w:line="252" w:lineRule="auto"/>
              <w:jc w:val="left"/>
            </w:pPr>
            <w:r/>
            <w:r>
              <w:rPr>
                <w:rFonts w:ascii="Times New Roman" w:hAnsi="Times New Roman"/>
                <w:b w:val="0"/>
                <w:i w:val="0"/>
                <w:color w:val="000000"/>
                <w:sz w:val="24"/>
                <w:rFonts w:ascii="Times New Roman" w:hAnsi="Times New Roman" w:cs="Times New Roman"/>
              </w:rPr>
              <w:t>Phase 2: Model Calibration</w:t>
            </w:r>
          </w:p>
        </w:tc>
        <w:tc>
          <w:tcPr>
            <w:tcW w:type="dxa" w:w="2592"/>
            <w:tcMar>
              <w:top w:w="100" w:type="dxa"/>
              <w:bottom w:w="100" w:type="dxa"/>
              <w:left w:w="130" w:type="dxa"/>
              <w:right w:w="130" w:type="dxa"/>
            </w:tcMar>
          </w:tcPr>
          <w:p>
            <w:pPr>
              <w:spacing w:before="40" w:after="40" w:line="252" w:lineRule="auto"/>
              <w:jc w:val="left"/>
            </w:pPr>
            <w:r/>
            <w:r>
              <w:rPr>
                <w:rFonts w:ascii="Times New Roman" w:hAnsi="Times New Roman"/>
                <w:b w:val="0"/>
                <w:i w:val="0"/>
                <w:color w:val="000000"/>
                <w:sz w:val="24"/>
                <w:rFonts w:ascii="Times New Roman" w:hAnsi="Times New Roman" w:cs="Times New Roman"/>
              </w:rPr>
              <w:t>Development partition (2021-2024); published schedules; diurnal/seasonal cyclical indices; delay indicators.</w:t>
            </w:r>
          </w:p>
        </w:tc>
        <w:tc>
          <w:tcPr>
            <w:tcW w:type="dxa" w:w="2880"/>
            <w:tcMar>
              <w:top w:w="100" w:type="dxa"/>
              <w:bottom w:w="100" w:type="dxa"/>
              <w:left w:w="130" w:type="dxa"/>
              <w:right w:w="130" w:type="dxa"/>
            </w:tcMar>
          </w:tcPr>
          <w:p>
            <w:pPr>
              <w:spacing w:before="40" w:after="40" w:line="252" w:lineRule="auto"/>
              <w:jc w:val="left"/>
            </w:pPr>
            <w:r/>
            <w:r>
              <w:rPr>
                <w:rFonts w:ascii="Times New Roman" w:hAnsi="Times New Roman"/>
                <w:b w:val="0"/>
                <w:i w:val="0"/>
                <w:color w:val="000000"/>
                <w:sz w:val="24"/>
                <w:rFonts w:ascii="Times New Roman" w:hAnsi="Times New Roman" w:cs="Times New Roman"/>
              </w:rPr>
              <w:t>Calibrates M0 (Persistence), M1 (Schedule), M2 (LightGBM), M3 (Hybrid); 15,976 train &amp; 3,293 val complex-days; 7-Day Purge Buffer.</w:t>
            </w:r>
          </w:p>
        </w:tc>
        <w:tc>
          <w:tcPr>
            <w:tcW w:type="dxa" w:w="2448"/>
            <w:tcMar>
              <w:top w:w="100" w:type="dxa"/>
              <w:bottom w:w="100" w:type="dxa"/>
              <w:left w:w="130" w:type="dxa"/>
              <w:right w:w="130" w:type="dxa"/>
            </w:tcMar>
          </w:tcPr>
          <w:p>
            <w:pPr>
              <w:spacing w:before="40" w:after="40" w:line="252" w:lineRule="auto"/>
              <w:jc w:val="left"/>
            </w:pPr>
            <w:r/>
            <w:r>
              <w:rPr>
                <w:rFonts w:ascii="Times New Roman" w:hAnsi="Times New Roman"/>
                <w:b w:val="0"/>
                <w:i w:val="0"/>
                <w:color w:val="000000"/>
                <w:sz w:val="24"/>
                <w:rFonts w:ascii="Times New Roman" w:hAnsi="Times New Roman" w:cs="Times New Roman"/>
              </w:rPr>
              <w:t>Optimized hyperparameter weights; feature importance rankings; in-sample residual profiles.</w:t>
            </w:r>
          </w:p>
        </w:tc>
      </w:tr>
      <w:tr>
        <w:tc>
          <w:tcPr>
            <w:tcW w:type="dxa" w:w="2160"/>
            <w:tcMar>
              <w:top w:w="100" w:type="dxa"/>
              <w:bottom w:w="100" w:type="dxa"/>
              <w:left w:w="130" w:type="dxa"/>
              <w:right w:w="130" w:type="dxa"/>
            </w:tcMar>
          </w:tcPr>
          <w:p>
            <w:pPr>
              <w:spacing w:before="40" w:after="40" w:line="252" w:lineRule="auto"/>
              <w:jc w:val="left"/>
            </w:pPr>
            <w:r/>
            <w:r>
              <w:rPr>
                <w:rFonts w:ascii="Times New Roman" w:hAnsi="Times New Roman"/>
                <w:b w:val="0"/>
                <w:i w:val="0"/>
                <w:color w:val="000000"/>
                <w:sz w:val="24"/>
                <w:rFonts w:ascii="Times New Roman" w:hAnsi="Times New Roman" w:cs="Times New Roman"/>
              </w:rPr>
              <w:t>Phase 3: Holdout Evaluation</w:t>
            </w:r>
          </w:p>
        </w:tc>
        <w:tc>
          <w:tcPr>
            <w:tcW w:type="dxa" w:w="2592"/>
            <w:tcMar>
              <w:top w:w="100" w:type="dxa"/>
              <w:bottom w:w="100" w:type="dxa"/>
              <w:left w:w="130" w:type="dxa"/>
              <w:right w:w="130" w:type="dxa"/>
            </w:tcMar>
          </w:tcPr>
          <w:p>
            <w:pPr>
              <w:spacing w:before="40" w:after="40" w:line="252" w:lineRule="auto"/>
              <w:jc w:val="left"/>
            </w:pPr>
            <w:r/>
            <w:r>
              <w:rPr>
                <w:rFonts w:ascii="Times New Roman" w:hAnsi="Times New Roman"/>
                <w:b w:val="0"/>
                <w:i w:val="0"/>
                <w:color w:val="000000"/>
                <w:sz w:val="24"/>
                <w:rFonts w:ascii="Times New Roman" w:hAnsi="Times New Roman" w:cs="Times New Roman"/>
              </w:rPr>
              <w:t>Untouched 2025 Holdout (3,285 complex-days); convective weather stops; flight bank clustering surges.</w:t>
            </w:r>
          </w:p>
        </w:tc>
        <w:tc>
          <w:tcPr>
            <w:tcW w:type="dxa" w:w="2880"/>
            <w:tcMar>
              <w:top w:w="100" w:type="dxa"/>
              <w:bottom w:w="100" w:type="dxa"/>
              <w:left w:w="130" w:type="dxa"/>
              <w:right w:w="130" w:type="dxa"/>
            </w:tcMar>
          </w:tcPr>
          <w:p>
            <w:pPr>
              <w:spacing w:before="40" w:after="40" w:line="252" w:lineRule="auto"/>
              <w:jc w:val="left"/>
            </w:pPr>
            <w:r/>
            <w:r>
              <w:rPr>
                <w:rFonts w:ascii="Times New Roman" w:hAnsi="Times New Roman"/>
                <w:b w:val="0"/>
                <w:i w:val="0"/>
                <w:color w:val="000000"/>
                <w:sz w:val="24"/>
                <w:rFonts w:ascii="Times New Roman" w:hAnsi="Times New Roman" w:cs="Times New Roman"/>
              </w:rPr>
              <w:t>Prospective execution across nominal, peak, and disruption regimes; benchmarks Evaluation Triad (Accuracy, Resilience, Portability).</w:t>
            </w:r>
          </w:p>
        </w:tc>
        <w:tc>
          <w:tcPr>
            <w:tcW w:type="dxa" w:w="2448"/>
            <w:tcMar>
              <w:top w:w="100" w:type="dxa"/>
              <w:bottom w:w="100" w:type="dxa"/>
              <w:left w:w="130" w:type="dxa"/>
              <w:right w:w="130" w:type="dxa"/>
            </w:tcMar>
          </w:tcPr>
          <w:p>
            <w:pPr>
              <w:spacing w:before="40" w:after="40" w:line="252" w:lineRule="auto"/>
              <w:jc w:val="left"/>
            </w:pPr>
            <w:r/>
            <w:r>
              <w:rPr>
                <w:rFonts w:ascii="Times New Roman" w:hAnsi="Times New Roman"/>
                <w:b w:val="0"/>
                <w:i w:val="0"/>
                <w:color w:val="000000"/>
                <w:sz w:val="24"/>
                <w:rFonts w:ascii="Times New Roman" w:hAnsi="Times New Roman" w:cs="Times New Roman"/>
              </w:rPr>
              <w:t>Prospective volatility forecasts (σTSA, hr; CVTSA, hr); benchmark metrics (R2, RMSE, MASE, Bias).</w:t>
            </w:r>
          </w:p>
        </w:tc>
      </w:tr>
      <w:tr>
        <w:tc>
          <w:tcPr>
            <w:tcW w:type="dxa" w:w="2160"/>
            <w:tcMar>
              <w:top w:w="100" w:type="dxa"/>
              <w:bottom w:w="100" w:type="dxa"/>
              <w:left w:w="130" w:type="dxa"/>
              <w:right w:w="130" w:type="dxa"/>
            </w:tcMar>
          </w:tcPr>
          <w:p>
            <w:pPr>
              <w:spacing w:before="40" w:after="40" w:line="252" w:lineRule="auto"/>
              <w:jc w:val="left"/>
            </w:pPr>
            <w:r/>
            <w:r>
              <w:rPr>
                <w:rFonts w:ascii="Times New Roman" w:hAnsi="Times New Roman"/>
                <w:b w:val="0"/>
                <w:i w:val="0"/>
                <w:color w:val="000000"/>
                <w:sz w:val="24"/>
                <w:rFonts w:ascii="Times New Roman" w:hAnsi="Times New Roman" w:cs="Times New Roman"/>
              </w:rPr>
              <w:t>Phase 4: Synthesis &amp; Results</w:t>
            </w:r>
          </w:p>
        </w:tc>
        <w:tc>
          <w:tcPr>
            <w:tcW w:type="dxa" w:w="2592"/>
            <w:tcMar>
              <w:top w:w="100" w:type="dxa"/>
              <w:bottom w:w="100" w:type="dxa"/>
              <w:left w:w="130" w:type="dxa"/>
              <w:right w:w="130" w:type="dxa"/>
            </w:tcMar>
          </w:tcPr>
          <w:p>
            <w:pPr>
              <w:spacing w:before="40" w:after="40" w:line="252" w:lineRule="auto"/>
              <w:jc w:val="left"/>
            </w:pPr>
            <w:r/>
            <w:r>
              <w:rPr>
                <w:rFonts w:ascii="Times New Roman" w:hAnsi="Times New Roman"/>
                <w:b w:val="0"/>
                <w:i w:val="0"/>
                <w:color w:val="000000"/>
                <w:sz w:val="24"/>
                <w:rFonts w:ascii="Times New Roman" w:hAnsi="Times New Roman" w:cs="Times New Roman"/>
              </w:rPr>
              <w:t>Holdout error residuals; checkpoint physical lane bounds; staffing cost matrices.</w:t>
            </w:r>
          </w:p>
        </w:tc>
        <w:tc>
          <w:tcPr>
            <w:tcW w:type="dxa" w:w="2880"/>
            <w:tcMar>
              <w:top w:w="100" w:type="dxa"/>
              <w:bottom w:w="100" w:type="dxa"/>
              <w:left w:w="130" w:type="dxa"/>
              <w:right w:w="130" w:type="dxa"/>
            </w:tcMar>
          </w:tcPr>
          <w:p>
            <w:pPr>
              <w:spacing w:before="40" w:after="40" w:line="252" w:lineRule="auto"/>
              <w:jc w:val="left"/>
            </w:pPr>
            <w:r/>
            <w:r>
              <w:rPr>
                <w:rFonts w:ascii="Times New Roman" w:hAnsi="Times New Roman"/>
                <w:b w:val="0"/>
                <w:i w:val="0"/>
                <w:color w:val="000000"/>
                <w:sz w:val="24"/>
                <w:rFonts w:ascii="Times New Roman" w:hAnsi="Times New Roman" w:cs="Times New Roman"/>
              </w:rPr>
              <w:t>Pairwise Diebold-Mariano superiority tests; Values vs. Volatility evaluation; dynamic risk-adjusted staffing buffers.</w:t>
            </w:r>
          </w:p>
        </w:tc>
        <w:tc>
          <w:tcPr>
            <w:tcW w:type="dxa" w:w="2448"/>
            <w:tcMar>
              <w:top w:w="100" w:type="dxa"/>
              <w:bottom w:w="100" w:type="dxa"/>
              <w:left w:w="130" w:type="dxa"/>
              <w:right w:w="130" w:type="dxa"/>
            </w:tcMar>
          </w:tcPr>
          <w:p>
            <w:pPr>
              <w:spacing w:before="40" w:after="40" w:line="252" w:lineRule="auto"/>
              <w:jc w:val="left"/>
            </w:pPr>
            <w:r/>
            <w:r>
              <w:rPr>
                <w:rFonts w:ascii="Times New Roman" w:hAnsi="Times New Roman"/>
                <w:b w:val="0"/>
                <w:i w:val="0"/>
                <w:color w:val="000000"/>
                <w:sz w:val="24"/>
                <w:rFonts w:ascii="Times New Roman" w:hAnsi="Times New Roman" w:cs="Times New Roman"/>
              </w:rPr>
              <w:t>Empirical findings for Chapter IV; cross-cohort portability matrix; Tactical Staffing Playbook.</w:t>
            </w:r>
          </w:p>
        </w:tc>
      </w:tr>
    </w:tbl>
    <w:p>
      <w:pPr>
        <w:spacing w:before="80" w:after="240" w:line="276" w:lineRule="auto"/>
      </w:pPr>
      <w:r>
        <w:rPr>
          <w:rFonts w:ascii="Times New Roman" w:hAnsi="Times New Roman"/>
          <w:i/>
          <w:color w:val="000000"/>
          <w:sz w:val="24"/>
        </w:rPr>
        <w:t xml:space="preserve">Note. </w:t>
      </w:r>
      <w:r>
        <w:rPr>
          <w:rFonts w:ascii="Times New Roman" w:hAnsi="Times New Roman"/>
          <w:color w:val="000000"/>
          <w:sz w:val="24"/>
        </w:rPr>
        <w:t>Formalizes the operational progression from data ingestion to Chapter IV synthesis, replacing generic flowchart boxes with reproducible specifications.</w:t>
      </w:r>
    </w:p>
    <w:p>
      <w:pPr>
        <w:spacing w:before="240" w:after="40" w:line="276" w:lineRule="auto"/>
        <w:jc w:val="left"/>
      </w:pPr>
      <w:r>
        <w:rPr>
          <w:rFonts w:ascii="Times New Roman" w:hAnsi="Times New Roman"/>
          <w:b/>
          <w:i w:val="0"/>
          <w:color w:val="000000"/>
          <w:sz w:val="24"/>
          <w:rFonts w:ascii="Times New Roman" w:hAnsi="Times New Roman" w:cs="Times New Roman"/>
        </w:rPr>
        <w:t>Table 3.2</w:t>
      </w:r>
    </w:p>
    <w:p>
      <w:pPr>
        <w:spacing w:before="0" w:after="120" w:line="276" w:lineRule="auto"/>
        <w:jc w:val="left"/>
      </w:pPr>
      <w:r>
        <w:rPr>
          <w:rFonts w:ascii="Times New Roman" w:hAnsi="Times New Roman"/>
          <w:b w:val="0"/>
          <w:i/>
          <w:color w:val="000000"/>
          <w:sz w:val="24"/>
          <w:rFonts w:ascii="Times New Roman" w:hAnsi="Times New Roman" w:cs="Times New Roman"/>
        </w:rPr>
        <w:t>Four-Tier Airport Cohort Filtering Hierarchy and Factorial Matrix Balance</w:t>
      </w:r>
    </w:p>
    <w:tbl>
      <w:tblPr>
        <w:tblW w:type="auto" w:w="0"/>
        <w:jc w:val="center"/>
        <w:tblLook w:firstColumn="1" w:firstRow="1" w:lastColumn="0" w:lastRow="0" w:noHBand="0" w:noVBand="1" w:val="04A0"/>
        <w:tblBorders>
          <w:top w:val="single" w:sz="8" w:space="0" w:color="000000"/>
          <w:left w:val="none"/>
          <w:bottom w:val="single" w:sz="8" w:space="0" w:color="000000"/>
          <w:right w:val="none"/>
          <w:insideH w:val="none"/>
          <w:insideV w:val="none"/>
        </w:tblBorders>
      </w:tblPr>
      <w:tblGrid>
        <w:gridCol w:w="1872"/>
        <w:gridCol w:w="1872"/>
        <w:gridCol w:w="1872"/>
        <w:gridCol w:w="1872"/>
        <w:gridCol w:w="1872"/>
      </w:tblGrid>
      <w:tr>
        <w:tc>
          <w:tcPr>
            <w:tcW w:type="dxa" w:w="1728"/>
            <w:tcMar>
              <w:top w:w="100" w:type="dxa"/>
              <w:bottom w:w="100" w:type="dxa"/>
              <w:left w:w="130" w:type="dxa"/>
              <w:right w:w="130" w:type="dxa"/>
            </w:tcMar>
            <w:tcBorders>
              <w:bottom w:val="single" w:sz="6" w:space="0" w:color="000000"/>
            </w:tcBorders>
          </w:tcPr>
          <w:p>
            <w:pPr>
              <w:spacing w:before="40" w:after="40" w:line="252" w:lineRule="auto"/>
              <w:jc w:val="left"/>
            </w:pPr>
            <w:r/>
            <w:r>
              <w:rPr>
                <w:rFonts w:ascii="Times New Roman" w:hAnsi="Times New Roman"/>
                <w:b/>
                <w:i w:val="0"/>
                <w:color w:val="000000"/>
                <w:sz w:val="24"/>
                <w:rFonts w:ascii="Times New Roman" w:hAnsi="Times New Roman" w:cs="Times New Roman"/>
              </w:rPr>
              <w:t>Selection Tier</w:t>
            </w:r>
          </w:p>
        </w:tc>
        <w:tc>
          <w:tcPr>
            <w:tcW w:type="dxa" w:w="2016"/>
            <w:tcMar>
              <w:top w:w="100" w:type="dxa"/>
              <w:bottom w:w="100" w:type="dxa"/>
              <w:left w:w="130" w:type="dxa"/>
              <w:right w:w="130" w:type="dxa"/>
            </w:tcMar>
            <w:tcBorders>
              <w:bottom w:val="single" w:sz="6" w:space="0" w:color="000000"/>
            </w:tcBorders>
          </w:tcPr>
          <w:p>
            <w:pPr>
              <w:spacing w:before="40" w:after="40" w:line="252" w:lineRule="auto"/>
              <w:jc w:val="left"/>
            </w:pPr>
            <w:r/>
            <w:r>
              <w:rPr>
                <w:rFonts w:ascii="Times New Roman" w:hAnsi="Times New Roman"/>
                <w:b/>
                <w:i w:val="0"/>
                <w:color w:val="000000"/>
                <w:sz w:val="24"/>
                <w:rFonts w:ascii="Times New Roman" w:hAnsi="Times New Roman" w:cs="Times New Roman"/>
              </w:rPr>
              <w:t>Category &amp; Objective</w:t>
            </w:r>
          </w:p>
        </w:tc>
        <w:tc>
          <w:tcPr>
            <w:tcW w:type="dxa" w:w="2880"/>
            <w:tcMar>
              <w:top w:w="100" w:type="dxa"/>
              <w:bottom w:w="100" w:type="dxa"/>
              <w:left w:w="130" w:type="dxa"/>
              <w:right w:w="130" w:type="dxa"/>
            </w:tcMar>
            <w:tcBorders>
              <w:bottom w:val="single" w:sz="6" w:space="0" w:color="000000"/>
            </w:tcBorders>
          </w:tcPr>
          <w:p>
            <w:pPr>
              <w:spacing w:before="40" w:after="40" w:line="252" w:lineRule="auto"/>
              <w:jc w:val="left"/>
            </w:pPr>
            <w:r/>
            <w:r>
              <w:rPr>
                <w:rFonts w:ascii="Times New Roman" w:hAnsi="Times New Roman"/>
                <w:b/>
                <w:i w:val="0"/>
                <w:color w:val="000000"/>
                <w:sz w:val="24"/>
                <w:rFonts w:ascii="Times New Roman" w:hAnsi="Times New Roman" w:cs="Times New Roman"/>
              </w:rPr>
              <w:t>Methodological Criteria</w:t>
            </w:r>
          </w:p>
        </w:tc>
        <w:tc>
          <w:tcPr>
            <w:tcW w:type="dxa" w:w="2160"/>
            <w:tcMar>
              <w:top w:w="100" w:type="dxa"/>
              <w:bottom w:w="100" w:type="dxa"/>
              <w:left w:w="130" w:type="dxa"/>
              <w:right w:w="130" w:type="dxa"/>
            </w:tcMar>
            <w:tcBorders>
              <w:bottom w:val="single" w:sz="6" w:space="0" w:color="000000"/>
            </w:tcBorders>
          </w:tcPr>
          <w:p>
            <w:pPr>
              <w:spacing w:before="40" w:after="40" w:line="252" w:lineRule="auto"/>
              <w:jc w:val="left"/>
            </w:pPr>
            <w:r/>
            <w:r>
              <w:rPr>
                <w:rFonts w:ascii="Times New Roman" w:hAnsi="Times New Roman"/>
                <w:b/>
                <w:i w:val="0"/>
                <w:color w:val="000000"/>
                <w:sz w:val="24"/>
                <w:rFonts w:ascii="Times New Roman" w:hAnsi="Times New Roman" w:cs="Times New Roman"/>
              </w:rPr>
              <w:t>Excluded Facilities &amp; Rationale</w:t>
            </w:r>
          </w:p>
        </w:tc>
        <w:tc>
          <w:tcPr>
            <w:tcW w:type="dxa" w:w="1584"/>
            <w:tcMar>
              <w:top w:w="100" w:type="dxa"/>
              <w:bottom w:w="100" w:type="dxa"/>
              <w:left w:w="130" w:type="dxa"/>
              <w:right w:w="130" w:type="dxa"/>
            </w:tcMar>
            <w:tcBorders>
              <w:bottom w:val="single" w:sz="6" w:space="0" w:color="000000"/>
            </w:tcBorders>
          </w:tcPr>
          <w:p>
            <w:pPr>
              <w:spacing w:before="40" w:after="40" w:line="252" w:lineRule="auto"/>
              <w:jc w:val="left"/>
            </w:pPr>
            <w:r/>
            <w:r>
              <w:rPr>
                <w:rFonts w:ascii="Times New Roman" w:hAnsi="Times New Roman"/>
                <w:b/>
                <w:i w:val="0"/>
                <w:color w:val="000000"/>
                <w:sz w:val="24"/>
                <w:rFonts w:ascii="Times New Roman" w:hAnsi="Times New Roman" w:cs="Times New Roman"/>
              </w:rPr>
              <w:t>Retained Scale</w:t>
            </w:r>
          </w:p>
        </w:tc>
      </w:tr>
      <w:tr>
        <w:tc>
          <w:tcPr>
            <w:tcW w:type="dxa" w:w="1728"/>
            <w:tcMar>
              <w:top w:w="100" w:type="dxa"/>
              <w:bottom w:w="100" w:type="dxa"/>
              <w:left w:w="130" w:type="dxa"/>
              <w:right w:w="130" w:type="dxa"/>
            </w:tcMar>
          </w:tcPr>
          <w:p>
            <w:pPr>
              <w:spacing w:before="40" w:after="40" w:line="252" w:lineRule="auto"/>
              <w:jc w:val="left"/>
            </w:pPr>
            <w:r/>
            <w:r>
              <w:rPr>
                <w:rFonts w:ascii="Times New Roman" w:hAnsi="Times New Roman"/>
                <w:b w:val="0"/>
                <w:i w:val="0"/>
                <w:color w:val="000000"/>
                <w:sz w:val="24"/>
                <w:rFonts w:ascii="Times New Roman" w:hAnsi="Times New Roman" w:cs="Times New Roman"/>
              </w:rPr>
              <w:t>Phase 1: Macro Filter</w:t>
            </w:r>
          </w:p>
        </w:tc>
        <w:tc>
          <w:tcPr>
            <w:tcW w:type="dxa" w:w="2016"/>
            <w:tcMar>
              <w:top w:w="100" w:type="dxa"/>
              <w:bottom w:w="100" w:type="dxa"/>
              <w:left w:w="130" w:type="dxa"/>
              <w:right w:w="130" w:type="dxa"/>
            </w:tcMar>
          </w:tcPr>
          <w:p>
            <w:pPr>
              <w:spacing w:before="40" w:after="40" w:line="252" w:lineRule="auto"/>
              <w:jc w:val="left"/>
            </w:pPr>
            <w:r/>
            <w:r>
              <w:rPr>
                <w:rFonts w:ascii="Times New Roman" w:hAnsi="Times New Roman"/>
                <w:b w:val="0"/>
                <w:i w:val="0"/>
                <w:color w:val="000000"/>
                <w:sz w:val="24"/>
                <w:rFonts w:ascii="Times New Roman" w:hAnsi="Times New Roman" w:cs="Times New Roman"/>
              </w:rPr>
              <w:t>Heavy-Traffic Scale &amp; Congestion</w:t>
            </w:r>
          </w:p>
        </w:tc>
        <w:tc>
          <w:tcPr>
            <w:tcW w:type="dxa" w:w="2880"/>
            <w:tcMar>
              <w:top w:w="100" w:type="dxa"/>
              <w:bottom w:w="100" w:type="dxa"/>
              <w:left w:w="130" w:type="dxa"/>
              <w:right w:w="130" w:type="dxa"/>
            </w:tcMar>
          </w:tcPr>
          <w:p>
            <w:pPr>
              <w:spacing w:before="40" w:after="40" w:line="252" w:lineRule="auto"/>
              <w:jc w:val="left"/>
            </w:pPr>
            <w:r/>
            <w:r>
              <w:rPr>
                <w:rFonts w:ascii="Times New Roman" w:hAnsi="Times New Roman"/>
                <w:b w:val="0"/>
                <w:i w:val="0"/>
                <w:color w:val="000000"/>
                <w:sz w:val="24"/>
                <w:rFonts w:ascii="Times New Roman" w:hAnsi="Times New Roman" w:cs="Times New Roman"/>
              </w:rPr>
              <w:t>Restricted to top commercial airports by annual seat capacity and enplanements.</w:t>
            </w:r>
          </w:p>
        </w:tc>
        <w:tc>
          <w:tcPr>
            <w:tcW w:type="dxa" w:w="2160"/>
            <w:tcMar>
              <w:top w:w="100" w:type="dxa"/>
              <w:bottom w:w="100" w:type="dxa"/>
              <w:left w:w="130" w:type="dxa"/>
              <w:right w:w="130" w:type="dxa"/>
            </w:tcMar>
          </w:tcPr>
          <w:p>
            <w:pPr>
              <w:spacing w:before="40" w:after="40" w:line="252" w:lineRule="auto"/>
              <w:jc w:val="left"/>
            </w:pPr>
            <w:r/>
            <w:r>
              <w:rPr>
                <w:rFonts w:ascii="Times New Roman" w:hAnsi="Times New Roman"/>
                <w:b w:val="0"/>
                <w:i w:val="0"/>
                <w:color w:val="000000"/>
                <w:sz w:val="24"/>
                <w:rFonts w:ascii="Times New Roman" w:hAnsi="Times New Roman" w:cs="Times New Roman"/>
              </w:rPr>
              <w:t>Excluded 425+ non-hub/small-hub airports lacking persistent terminal queuing.</w:t>
            </w:r>
          </w:p>
        </w:tc>
        <w:tc>
          <w:tcPr>
            <w:tcW w:type="dxa" w:w="1584"/>
            <w:tcMar>
              <w:top w:w="100" w:type="dxa"/>
              <w:bottom w:w="100" w:type="dxa"/>
              <w:left w:w="130" w:type="dxa"/>
              <w:right w:w="130" w:type="dxa"/>
            </w:tcMar>
          </w:tcPr>
          <w:p>
            <w:pPr>
              <w:spacing w:before="40" w:after="40" w:line="252" w:lineRule="auto"/>
              <w:jc w:val="left"/>
            </w:pPr>
            <w:r/>
            <w:r>
              <w:rPr>
                <w:rFonts w:ascii="Times New Roman" w:hAnsi="Times New Roman"/>
                <w:b w:val="0"/>
                <w:i w:val="0"/>
                <w:color w:val="000000"/>
                <w:sz w:val="24"/>
                <w:rFonts w:ascii="Times New Roman" w:hAnsi="Times New Roman" w:cs="Times New Roman"/>
              </w:rPr>
              <w:t>Top 25 U.S. Airports</w:t>
            </w:r>
          </w:p>
        </w:tc>
      </w:tr>
      <w:tr>
        <w:tc>
          <w:tcPr>
            <w:tcW w:type="dxa" w:w="1728"/>
            <w:tcMar>
              <w:top w:w="100" w:type="dxa"/>
              <w:bottom w:w="100" w:type="dxa"/>
              <w:left w:w="130" w:type="dxa"/>
              <w:right w:w="130" w:type="dxa"/>
            </w:tcMar>
          </w:tcPr>
          <w:p>
            <w:pPr>
              <w:spacing w:before="40" w:after="40" w:line="252" w:lineRule="auto"/>
              <w:jc w:val="left"/>
            </w:pPr>
            <w:r/>
            <w:r>
              <w:rPr>
                <w:rFonts w:ascii="Times New Roman" w:hAnsi="Times New Roman"/>
                <w:b w:val="0"/>
                <w:i w:val="0"/>
                <w:color w:val="000000"/>
                <w:sz w:val="24"/>
                <w:rFonts w:ascii="Times New Roman" w:hAnsi="Times New Roman" w:cs="Times New Roman"/>
              </w:rPr>
              <w:t>Phase 2: Meso Filter</w:t>
            </w:r>
          </w:p>
        </w:tc>
        <w:tc>
          <w:tcPr>
            <w:tcW w:type="dxa" w:w="2016"/>
            <w:tcMar>
              <w:top w:w="100" w:type="dxa"/>
              <w:bottom w:w="100" w:type="dxa"/>
              <w:left w:w="130" w:type="dxa"/>
              <w:right w:w="130" w:type="dxa"/>
            </w:tcMar>
          </w:tcPr>
          <w:p>
            <w:pPr>
              <w:spacing w:before="40" w:after="40" w:line="252" w:lineRule="auto"/>
              <w:jc w:val="left"/>
            </w:pPr>
            <w:r/>
            <w:r>
              <w:rPr>
                <w:rFonts w:ascii="Times New Roman" w:hAnsi="Times New Roman"/>
                <w:b w:val="0"/>
                <w:i w:val="0"/>
                <w:color w:val="000000"/>
                <w:sz w:val="24"/>
                <w:rFonts w:ascii="Times New Roman" w:hAnsi="Times New Roman" w:cs="Times New Roman"/>
              </w:rPr>
              <w:t>Operational Homogeneity</w:t>
            </w:r>
          </w:p>
        </w:tc>
        <w:tc>
          <w:tcPr>
            <w:tcW w:type="dxa" w:w="2880"/>
            <w:tcMar>
              <w:top w:w="100" w:type="dxa"/>
              <w:bottom w:w="100" w:type="dxa"/>
              <w:left w:w="130" w:type="dxa"/>
              <w:right w:w="130" w:type="dxa"/>
            </w:tcMar>
          </w:tcPr>
          <w:p>
            <w:pPr>
              <w:spacing w:before="40" w:after="40" w:line="252" w:lineRule="auto"/>
              <w:jc w:val="left"/>
            </w:pPr>
            <w:r/>
            <w:r>
              <w:rPr>
                <w:rFonts w:ascii="Times New Roman" w:hAnsi="Times New Roman"/>
                <w:b w:val="0"/>
                <w:i w:val="0"/>
                <w:color w:val="000000"/>
                <w:sz w:val="24"/>
                <w:rFonts w:ascii="Times New Roman" w:hAnsi="Times New Roman" w:cs="Times New Roman"/>
              </w:rPr>
              <w:t>Required legacy hub operations, BTS Form 234 reporting, and stable terminal infrastructure.</w:t>
            </w:r>
          </w:p>
        </w:tc>
        <w:tc>
          <w:tcPr>
            <w:tcW w:type="dxa" w:w="2160"/>
            <w:tcMar>
              <w:top w:w="100" w:type="dxa"/>
              <w:bottom w:w="100" w:type="dxa"/>
              <w:left w:w="130" w:type="dxa"/>
              <w:right w:w="130" w:type="dxa"/>
            </w:tcMar>
          </w:tcPr>
          <w:p>
            <w:pPr>
              <w:spacing w:before="40" w:after="40" w:line="252" w:lineRule="auto"/>
              <w:jc w:val="left"/>
            </w:pPr>
            <w:r/>
            <w:r>
              <w:rPr>
                <w:rFonts w:ascii="Times New Roman" w:hAnsi="Times New Roman"/>
                <w:b w:val="0"/>
                <w:i w:val="0"/>
                <w:color w:val="000000"/>
                <w:sz w:val="24"/>
                <w:rFonts w:ascii="Times New Roman" w:hAnsi="Times New Roman" w:cs="Times New Roman"/>
              </w:rPr>
              <w:t>Excluded Southwest airfields (MDW, DAL) due to point-to-point routing and non-reporting; excluded SLC and SEA due to major construction.</w:t>
            </w:r>
          </w:p>
        </w:tc>
        <w:tc>
          <w:tcPr>
            <w:tcW w:type="dxa" w:w="1584"/>
            <w:tcMar>
              <w:top w:w="100" w:type="dxa"/>
              <w:bottom w:w="100" w:type="dxa"/>
              <w:left w:w="130" w:type="dxa"/>
              <w:right w:w="130" w:type="dxa"/>
            </w:tcMar>
          </w:tcPr>
          <w:p>
            <w:pPr>
              <w:spacing w:before="40" w:after="40" w:line="252" w:lineRule="auto"/>
              <w:jc w:val="left"/>
            </w:pPr>
            <w:r/>
            <w:r>
              <w:rPr>
                <w:rFonts w:ascii="Times New Roman" w:hAnsi="Times New Roman"/>
                <w:b w:val="0"/>
                <w:i w:val="0"/>
                <w:color w:val="000000"/>
                <w:sz w:val="24"/>
                <w:rFonts w:ascii="Times New Roman" w:hAnsi="Times New Roman" w:cs="Times New Roman"/>
              </w:rPr>
              <w:t>14 Candidate Hubs</w:t>
            </w:r>
          </w:p>
        </w:tc>
      </w:tr>
      <w:tr>
        <w:tc>
          <w:tcPr>
            <w:tcW w:type="dxa" w:w="1728"/>
            <w:tcMar>
              <w:top w:w="100" w:type="dxa"/>
              <w:bottom w:w="100" w:type="dxa"/>
              <w:left w:w="130" w:type="dxa"/>
              <w:right w:w="130" w:type="dxa"/>
            </w:tcMar>
          </w:tcPr>
          <w:p>
            <w:pPr>
              <w:spacing w:before="40" w:after="40" w:line="252" w:lineRule="auto"/>
              <w:jc w:val="left"/>
            </w:pPr>
            <w:r/>
            <w:r>
              <w:rPr>
                <w:rFonts w:ascii="Times New Roman" w:hAnsi="Times New Roman"/>
                <w:b w:val="0"/>
                <w:i w:val="0"/>
                <w:color w:val="000000"/>
                <w:sz w:val="24"/>
                <w:rFonts w:ascii="Times New Roman" w:hAnsi="Times New Roman" w:cs="Times New Roman"/>
              </w:rPr>
              <w:t>Phase 3: Micro Filter</w:t>
            </w:r>
          </w:p>
        </w:tc>
        <w:tc>
          <w:tcPr>
            <w:tcW w:type="dxa" w:w="2016"/>
            <w:tcMar>
              <w:top w:w="100" w:type="dxa"/>
              <w:bottom w:w="100" w:type="dxa"/>
              <w:left w:w="130" w:type="dxa"/>
              <w:right w:w="130" w:type="dxa"/>
            </w:tcMar>
          </w:tcPr>
          <w:p>
            <w:pPr>
              <w:spacing w:before="40" w:after="40" w:line="252" w:lineRule="auto"/>
              <w:jc w:val="left"/>
            </w:pPr>
            <w:r/>
            <w:r>
              <w:rPr>
                <w:rFonts w:ascii="Times New Roman" w:hAnsi="Times New Roman"/>
                <w:b w:val="0"/>
                <w:i w:val="0"/>
                <w:color w:val="000000"/>
                <w:sz w:val="24"/>
                <w:rFonts w:ascii="Times New Roman" w:hAnsi="Times New Roman" w:cs="Times New Roman"/>
              </w:rPr>
              <w:t>Carrier Exclusivity</w:t>
            </w:r>
          </w:p>
        </w:tc>
        <w:tc>
          <w:tcPr>
            <w:tcW w:type="dxa" w:w="2880"/>
            <w:tcMar>
              <w:top w:w="100" w:type="dxa"/>
              <w:bottom w:w="100" w:type="dxa"/>
              <w:left w:w="130" w:type="dxa"/>
              <w:right w:w="130" w:type="dxa"/>
            </w:tcMar>
          </w:tcPr>
          <w:p>
            <w:pPr>
              <w:spacing w:before="40" w:after="40" w:line="252" w:lineRule="auto"/>
              <w:jc w:val="left"/>
            </w:pPr>
            <w:r/>
            <w:r>
              <w:rPr>
                <w:rFonts w:ascii="Times New Roman" w:hAnsi="Times New Roman"/>
                <w:b w:val="0"/>
                <w:i w:val="0"/>
                <w:color w:val="000000"/>
                <w:sz w:val="24"/>
                <w:rFonts w:ascii="Times New Roman" w:hAnsi="Times New Roman" w:cs="Times New Roman"/>
              </w:rPr>
              <w:t>Isolated checkpoints with ≥90% dominance by a single legacy network carrier.</w:t>
            </w:r>
          </w:p>
        </w:tc>
        <w:tc>
          <w:tcPr>
            <w:tcW w:type="dxa" w:w="2160"/>
            <w:tcMar>
              <w:top w:w="100" w:type="dxa"/>
              <w:bottom w:w="100" w:type="dxa"/>
              <w:left w:w="130" w:type="dxa"/>
              <w:right w:w="130" w:type="dxa"/>
            </w:tcMar>
          </w:tcPr>
          <w:p>
            <w:pPr>
              <w:spacing w:before="40" w:after="40" w:line="252" w:lineRule="auto"/>
              <w:jc w:val="left"/>
            </w:pPr>
            <w:r/>
            <w:r>
              <w:rPr>
                <w:rFonts w:ascii="Times New Roman" w:hAnsi="Times New Roman"/>
                <w:b w:val="0"/>
                <w:i w:val="0"/>
                <w:color w:val="000000"/>
                <w:sz w:val="24"/>
                <w:rFonts w:ascii="Times New Roman" w:hAnsi="Times New Roman" w:cs="Times New Roman"/>
              </w:rPr>
              <w:t>Excluded shared multi-carrier security checkpoints with blended queuing.</w:t>
            </w:r>
          </w:p>
        </w:tc>
        <w:tc>
          <w:tcPr>
            <w:tcW w:type="dxa" w:w="1584"/>
            <w:tcMar>
              <w:top w:w="100" w:type="dxa"/>
              <w:bottom w:w="100" w:type="dxa"/>
              <w:left w:w="130" w:type="dxa"/>
              <w:right w:w="130" w:type="dxa"/>
            </w:tcMar>
          </w:tcPr>
          <w:p>
            <w:pPr>
              <w:spacing w:before="40" w:after="40" w:line="252" w:lineRule="auto"/>
              <w:jc w:val="left"/>
            </w:pPr>
            <w:r/>
            <w:r>
              <w:rPr>
                <w:rFonts w:ascii="Times New Roman" w:hAnsi="Times New Roman"/>
                <w:b w:val="0"/>
                <w:i w:val="0"/>
                <w:color w:val="000000"/>
                <w:sz w:val="24"/>
                <w:rFonts w:ascii="Times New Roman" w:hAnsi="Times New Roman" w:cs="Times New Roman"/>
              </w:rPr>
              <w:t>10 Candidate Complexes</w:t>
            </w:r>
          </w:p>
        </w:tc>
      </w:tr>
      <w:tr>
        <w:tc>
          <w:tcPr>
            <w:tcW w:type="dxa" w:w="1728"/>
            <w:tcMar>
              <w:top w:w="100" w:type="dxa"/>
              <w:bottom w:w="100" w:type="dxa"/>
              <w:left w:w="130" w:type="dxa"/>
              <w:right w:w="130" w:type="dxa"/>
            </w:tcMar>
          </w:tcPr>
          <w:p>
            <w:pPr>
              <w:spacing w:before="40" w:after="40" w:line="252" w:lineRule="auto"/>
              <w:jc w:val="left"/>
            </w:pPr>
            <w:r/>
            <w:r>
              <w:rPr>
                <w:rFonts w:ascii="Times New Roman" w:hAnsi="Times New Roman"/>
                <w:b w:val="0"/>
                <w:i w:val="0"/>
                <w:color w:val="000000"/>
                <w:sz w:val="24"/>
                <w:rFonts w:ascii="Times New Roman" w:hAnsi="Times New Roman" w:cs="Times New Roman"/>
              </w:rPr>
              <w:t>Phase 4: Factorial Cohort</w:t>
            </w:r>
          </w:p>
        </w:tc>
        <w:tc>
          <w:tcPr>
            <w:tcW w:type="dxa" w:w="2016"/>
            <w:tcMar>
              <w:top w:w="100" w:type="dxa"/>
              <w:bottom w:w="100" w:type="dxa"/>
              <w:left w:w="130" w:type="dxa"/>
              <w:right w:w="130" w:type="dxa"/>
            </w:tcMar>
          </w:tcPr>
          <w:p>
            <w:pPr>
              <w:spacing w:before="40" w:after="40" w:line="252" w:lineRule="auto"/>
              <w:jc w:val="left"/>
            </w:pPr>
            <w:r/>
            <w:r>
              <w:rPr>
                <w:rFonts w:ascii="Times New Roman" w:hAnsi="Times New Roman"/>
                <w:b w:val="0"/>
                <w:i w:val="0"/>
                <w:color w:val="000000"/>
                <w:sz w:val="24"/>
                <w:rFonts w:ascii="Times New Roman" w:hAnsi="Times New Roman" w:cs="Times New Roman"/>
              </w:rPr>
              <w:t>Carrier-Archetype Balance</w:t>
            </w:r>
          </w:p>
        </w:tc>
        <w:tc>
          <w:tcPr>
            <w:tcW w:type="dxa" w:w="2880"/>
            <w:tcMar>
              <w:top w:w="100" w:type="dxa"/>
              <w:bottom w:w="100" w:type="dxa"/>
              <w:left w:w="130" w:type="dxa"/>
              <w:right w:w="130" w:type="dxa"/>
            </w:tcMar>
          </w:tcPr>
          <w:p>
            <w:pPr>
              <w:spacing w:before="40" w:after="40" w:line="252" w:lineRule="auto"/>
              <w:jc w:val="left"/>
            </w:pPr>
            <w:r/>
            <w:r>
              <w:rPr>
                <w:rFonts w:ascii="Times New Roman" w:hAnsi="Times New Roman"/>
                <w:b w:val="0"/>
                <w:i w:val="0"/>
                <w:color w:val="000000"/>
                <w:sz w:val="24"/>
                <w:rFonts w:ascii="Times New Roman" w:hAnsi="Times New Roman" w:cs="Times New Roman"/>
              </w:rPr>
              <w:t>Balanced 3 legacy carriers (AA, DL, UA) across 4 terminal layout archetypes.</w:t>
            </w:r>
          </w:p>
        </w:tc>
        <w:tc>
          <w:tcPr>
            <w:tcW w:type="dxa" w:w="2160"/>
            <w:tcMar>
              <w:top w:w="100" w:type="dxa"/>
              <w:bottom w:w="100" w:type="dxa"/>
              <w:left w:w="130" w:type="dxa"/>
              <w:right w:w="130" w:type="dxa"/>
            </w:tcMar>
          </w:tcPr>
          <w:p>
            <w:pPr>
              <w:spacing w:before="40" w:after="40" w:line="252" w:lineRule="auto"/>
              <w:jc w:val="left"/>
            </w:pPr>
            <w:r/>
            <w:r>
              <w:rPr>
                <w:rFonts w:ascii="Times New Roman" w:hAnsi="Times New Roman"/>
                <w:b w:val="0"/>
                <w:i w:val="0"/>
                <w:color w:val="000000"/>
                <w:sz w:val="24"/>
                <w:rFonts w:ascii="Times New Roman" w:hAnsi="Times New Roman" w:cs="Times New Roman"/>
              </w:rPr>
              <w:t>Eliminated redundant matrix cells to ensure orthogonal experimental balance.</w:t>
            </w:r>
          </w:p>
        </w:tc>
        <w:tc>
          <w:tcPr>
            <w:tcW w:type="dxa" w:w="1584"/>
            <w:tcMar>
              <w:top w:w="100" w:type="dxa"/>
              <w:bottom w:w="100" w:type="dxa"/>
              <w:left w:w="130" w:type="dxa"/>
              <w:right w:w="130" w:type="dxa"/>
            </w:tcMar>
          </w:tcPr>
          <w:p>
            <w:pPr>
              <w:spacing w:before="40" w:after="40" w:line="252" w:lineRule="auto"/>
              <w:jc w:val="left"/>
            </w:pPr>
            <w:r/>
            <w:r>
              <w:rPr>
                <w:rFonts w:ascii="Times New Roman" w:hAnsi="Times New Roman"/>
                <w:b w:val="0"/>
                <w:i w:val="0"/>
                <w:color w:val="000000"/>
                <w:sz w:val="24"/>
                <w:rFonts w:ascii="Times New Roman" w:hAnsi="Times New Roman" w:cs="Times New Roman"/>
              </w:rPr>
              <w:t>Final 9-Airport Cohort</w:t>
            </w:r>
          </w:p>
        </w:tc>
      </w:tr>
    </w:tbl>
    <w:p>
      <w:pPr>
        <w:spacing w:before="80" w:after="240" w:line="276" w:lineRule="auto"/>
      </w:pPr>
      <w:r>
        <w:rPr>
          <w:rFonts w:ascii="Times New Roman" w:hAnsi="Times New Roman"/>
          <w:i/>
          <w:color w:val="000000"/>
          <w:sz w:val="24"/>
        </w:rPr>
        <w:t xml:space="preserve">Note. </w:t>
      </w:r>
      <w:r>
        <w:rPr>
          <w:rFonts w:ascii="Times New Roman" w:hAnsi="Times New Roman"/>
          <w:color w:val="000000"/>
          <w:sz w:val="24"/>
        </w:rPr>
        <w:t>Details the hierarchical elimination logic yielding the final 9-airport factorial evaluation matrix.</w:t>
      </w:r>
    </w:p>
    <w:p>
      <w:pPr>
        <w:spacing w:before="320" w:after="120" w:line="276" w:lineRule="auto"/>
        <w:jc w:val="left"/>
      </w:pPr>
      <w:r>
        <w:rPr>
          <w:rFonts w:ascii="Times New Roman" w:hAnsi="Times New Roman"/>
          <w:b/>
          <w:i w:val="0"/>
          <w:color w:val="000000"/>
          <w:sz w:val="24"/>
          <w:rFonts w:ascii="Times New Roman" w:hAnsi="Times New Roman" w:cs="Times New Roman"/>
        </w:rPr>
        <w:t>PART III: CHAPTER IV REVISIONS (FINDINGS AND DISCUSSION)</w:t>
      </w:r>
    </w:p>
    <w:p>
      <w:pPr>
        <w:spacing w:before="0" w:after="120" w:line="276" w:lineRule="auto"/>
        <w:jc w:val="left"/>
      </w:pPr>
      <w:r>
        <w:rPr>
          <w:rFonts w:ascii="Times New Roman" w:hAnsi="Times New Roman"/>
          <w:b/>
          <w:i/>
          <w:color w:val="000000"/>
          <w:sz w:val="24"/>
          <w:rFonts w:ascii="Times New Roman" w:hAnsi="Times New Roman" w:cs="Times New Roman"/>
        </w:rPr>
        <w:t>3.1 Seasonality Dimensions Text (Paragraph 60)</w:t>
      </w:r>
    </w:p>
    <w:p>
      <w:pPr>
        <w:spacing w:before="0" w:after="160" w:line="276" w:lineRule="auto"/>
        <w:jc w:val="left"/>
      </w:pPr>
      <w:r>
        <w:rPr>
          <w:rFonts w:ascii="Times New Roman" w:hAnsi="Times New Roman"/>
          <w:b w:val="0"/>
          <w:i w:val="0"/>
          <w:color w:val="000000"/>
          <w:sz w:val="24"/>
          <w:rFonts w:ascii="Times New Roman" w:hAnsi="Times New Roman" w:cs="Times New Roman"/>
        </w:rPr>
        <w:t>Just as temporal boundaries must be established across the Top 25 network, defining seasonality requires capturing the full empirical variance of nationwide commercial aviation. Aviation seasonality operates along three coupled dimensions: annual seasonal volatility regimes, day-of-week demand archetypes, and diurnal non-consecutive dual turbulence peaks (see Appendix C, including Table 4.3b for annual regimes and Table 4.4a for day-of-week archetypes). Formally defining these dimensions enables predictive models to control for cyclical variance, ensuring that model architectures are benchmarked across equivalent operational conditions.</w:t>
      </w:r>
    </w:p>
    <w:p>
      <w:pPr>
        <w:spacing w:before="0" w:after="120" w:line="276" w:lineRule="auto"/>
        <w:jc w:val="left"/>
      </w:pPr>
      <w:r>
        <w:rPr>
          <w:rFonts w:ascii="Times New Roman" w:hAnsi="Times New Roman"/>
          <w:b/>
          <w:i/>
          <w:color w:val="000000"/>
          <w:sz w:val="24"/>
          <w:rFonts w:ascii="Times New Roman" w:hAnsi="Times New Roman" w:cs="Times New Roman"/>
        </w:rPr>
        <w:t>3.2 Concise Checkpoint Staffing Buffer Paragraph</w:t>
      </w:r>
    </w:p>
    <w:p>
      <w:pPr>
        <w:spacing w:before="0" w:after="200" w:line="276" w:lineRule="auto"/>
        <w:jc w:val="left"/>
      </w:pPr>
      <w:r>
        <w:rPr>
          <w:rFonts w:ascii="Times New Roman" w:hAnsi="Times New Roman"/>
          <w:b w:val="0"/>
          <w:i w:val="0"/>
          <w:color w:val="000000"/>
          <w:sz w:val="24"/>
          <w:rFonts w:ascii="Times New Roman" w:hAnsi="Times New Roman" w:cs="Times New Roman"/>
        </w:rPr>
        <w:t>Traditional airport models staff security lanes based on average passenger volume—a practice that guarantees severe backlogs during departure peaks because queuing delays scale non-linearly. Incorporating predicted arrival volatility into dynamic, risk-adjusted staffing buffers allows checkpoints to absorb sudden demand spikes without causing costly overstaffing during off-peak periods.</w:t>
      </w:r>
    </w:p>
    <w:p>
      <w:pPr>
        <w:spacing w:before="240" w:after="40" w:line="276" w:lineRule="auto"/>
        <w:jc w:val="left"/>
      </w:pPr>
      <w:r>
        <w:rPr>
          <w:rFonts w:ascii="Times New Roman" w:hAnsi="Times New Roman"/>
          <w:b/>
          <w:i w:val="0"/>
          <w:color w:val="000000"/>
          <w:sz w:val="24"/>
          <w:rFonts w:ascii="Times New Roman" w:hAnsi="Times New Roman" w:cs="Times New Roman"/>
        </w:rPr>
        <w:t>Table 4.8</w:t>
      </w:r>
    </w:p>
    <w:p>
      <w:pPr>
        <w:spacing w:before="0" w:after="120" w:line="276" w:lineRule="auto"/>
        <w:jc w:val="left"/>
      </w:pPr>
      <w:r>
        <w:rPr>
          <w:rFonts w:ascii="Times New Roman" w:hAnsi="Times New Roman"/>
          <w:b w:val="0"/>
          <w:i/>
          <w:color w:val="000000"/>
          <w:sz w:val="24"/>
          <w:rFonts w:ascii="Times New Roman" w:hAnsi="Times New Roman" w:cs="Times New Roman"/>
        </w:rPr>
        <w:t>Model Development Dataset Partitions, Calibration Scale, and Leakage Prevention Architecture</w:t>
      </w:r>
    </w:p>
    <w:tbl>
      <w:tblPr>
        <w:tblW w:type="auto" w:w="0"/>
        <w:jc w:val="center"/>
        <w:tblLook w:firstColumn="1" w:firstRow="1" w:lastColumn="0" w:lastRow="0" w:noHBand="0" w:noVBand="1" w:val="04A0"/>
        <w:tblBorders>
          <w:top w:val="single" w:sz="8" w:space="0" w:color="000000"/>
          <w:left w:val="none"/>
          <w:bottom w:val="single" w:sz="8" w:space="0" w:color="000000"/>
          <w:right w:val="none"/>
          <w:insideH w:val="none"/>
          <w:insideV w:val="none"/>
        </w:tblBorders>
      </w:tblPr>
      <w:tblGrid>
        <w:gridCol w:w="1872"/>
        <w:gridCol w:w="1872"/>
        <w:gridCol w:w="1872"/>
        <w:gridCol w:w="1872"/>
        <w:gridCol w:w="1872"/>
      </w:tblGrid>
      <w:tr>
        <w:tc>
          <w:tcPr>
            <w:tcW w:type="dxa" w:w="1872"/>
            <w:tcMar>
              <w:top w:w="100" w:type="dxa"/>
              <w:bottom w:w="100" w:type="dxa"/>
              <w:left w:w="130" w:type="dxa"/>
              <w:right w:w="130" w:type="dxa"/>
            </w:tcMar>
            <w:tcBorders>
              <w:bottom w:val="single" w:sz="6" w:space="0" w:color="000000"/>
            </w:tcBorders>
          </w:tcPr>
          <w:p>
            <w:pPr>
              <w:spacing w:before="40" w:after="40" w:line="252" w:lineRule="auto"/>
              <w:jc w:val="left"/>
            </w:pPr>
            <w:r/>
            <w:r>
              <w:rPr>
                <w:rFonts w:ascii="Times New Roman" w:hAnsi="Times New Roman"/>
                <w:b/>
                <w:i w:val="0"/>
                <w:color w:val="000000"/>
                <w:sz w:val="24"/>
                <w:rFonts w:ascii="Times New Roman" w:hAnsi="Times New Roman" w:cs="Times New Roman"/>
              </w:rPr>
              <w:t>Partition Block</w:t>
            </w:r>
          </w:p>
        </w:tc>
        <w:tc>
          <w:tcPr>
            <w:tcW w:type="dxa" w:w="2016"/>
            <w:tcMar>
              <w:top w:w="100" w:type="dxa"/>
              <w:bottom w:w="100" w:type="dxa"/>
              <w:left w:w="130" w:type="dxa"/>
              <w:right w:w="130" w:type="dxa"/>
            </w:tcMar>
            <w:tcBorders>
              <w:bottom w:val="single" w:sz="6" w:space="0" w:color="000000"/>
            </w:tcBorders>
          </w:tcPr>
          <w:p>
            <w:pPr>
              <w:spacing w:before="40" w:after="40" w:line="252" w:lineRule="auto"/>
              <w:jc w:val="left"/>
            </w:pPr>
            <w:r/>
            <w:r>
              <w:rPr>
                <w:rFonts w:ascii="Times New Roman" w:hAnsi="Times New Roman"/>
                <w:b/>
                <w:i w:val="0"/>
                <w:color w:val="000000"/>
                <w:sz w:val="24"/>
                <w:rFonts w:ascii="Times New Roman" w:hAnsi="Times New Roman" w:cs="Times New Roman"/>
              </w:rPr>
              <w:t>Chronological Window</w:t>
            </w:r>
          </w:p>
        </w:tc>
        <w:tc>
          <w:tcPr>
            <w:tcW w:type="dxa" w:w="1728"/>
            <w:tcMar>
              <w:top w:w="100" w:type="dxa"/>
              <w:bottom w:w="100" w:type="dxa"/>
              <w:left w:w="130" w:type="dxa"/>
              <w:right w:w="130" w:type="dxa"/>
            </w:tcMar>
            <w:tcBorders>
              <w:bottom w:val="single" w:sz="6" w:space="0" w:color="000000"/>
            </w:tcBorders>
          </w:tcPr>
          <w:p>
            <w:pPr>
              <w:spacing w:before="40" w:after="40" w:line="252" w:lineRule="auto"/>
              <w:jc w:val="left"/>
            </w:pPr>
            <w:r/>
            <w:r>
              <w:rPr>
                <w:rFonts w:ascii="Times New Roman" w:hAnsi="Times New Roman"/>
                <w:b/>
                <w:i w:val="0"/>
                <w:color w:val="000000"/>
                <w:sz w:val="24"/>
                <w:rFonts w:ascii="Times New Roman" w:hAnsi="Times New Roman" w:cs="Times New Roman"/>
              </w:rPr>
              <w:t>Sample Size (Complex-Days)</w:t>
            </w:r>
          </w:p>
        </w:tc>
        <w:tc>
          <w:tcPr>
            <w:tcW w:type="dxa" w:w="2592"/>
            <w:tcMar>
              <w:top w:w="100" w:type="dxa"/>
              <w:bottom w:w="100" w:type="dxa"/>
              <w:left w:w="130" w:type="dxa"/>
              <w:right w:w="130" w:type="dxa"/>
            </w:tcMar>
            <w:tcBorders>
              <w:bottom w:val="single" w:sz="6" w:space="0" w:color="000000"/>
            </w:tcBorders>
          </w:tcPr>
          <w:p>
            <w:pPr>
              <w:spacing w:before="40" w:after="40" w:line="252" w:lineRule="auto"/>
              <w:jc w:val="left"/>
            </w:pPr>
            <w:r/>
            <w:r>
              <w:rPr>
                <w:rFonts w:ascii="Times New Roman" w:hAnsi="Times New Roman"/>
                <w:b/>
                <w:i w:val="0"/>
                <w:color w:val="000000"/>
                <w:sz w:val="24"/>
                <w:rFonts w:ascii="Times New Roman" w:hAnsi="Times New Roman" w:cs="Times New Roman"/>
              </w:rPr>
              <w:t>Operational Analytical Role</w:t>
            </w:r>
          </w:p>
        </w:tc>
        <w:tc>
          <w:tcPr>
            <w:tcW w:type="dxa" w:w="2160"/>
            <w:tcMar>
              <w:top w:w="100" w:type="dxa"/>
              <w:bottom w:w="100" w:type="dxa"/>
              <w:left w:w="130" w:type="dxa"/>
              <w:right w:w="130" w:type="dxa"/>
            </w:tcMar>
            <w:tcBorders>
              <w:bottom w:val="single" w:sz="6" w:space="0" w:color="000000"/>
            </w:tcBorders>
          </w:tcPr>
          <w:p>
            <w:pPr>
              <w:spacing w:before="40" w:after="40" w:line="252" w:lineRule="auto"/>
              <w:jc w:val="left"/>
            </w:pPr>
            <w:r/>
            <w:r>
              <w:rPr>
                <w:rFonts w:ascii="Times New Roman" w:hAnsi="Times New Roman"/>
                <w:b/>
                <w:i w:val="0"/>
                <w:color w:val="000000"/>
                <w:sz w:val="24"/>
                <w:rFonts w:ascii="Times New Roman" w:hAnsi="Times New Roman" w:cs="Times New Roman"/>
              </w:rPr>
              <w:t>Leakage Prevention Controls</w:t>
            </w:r>
          </w:p>
        </w:tc>
      </w:tr>
      <w:tr>
        <w:tc>
          <w:tcPr>
            <w:tcW w:type="dxa" w:w="1872"/>
            <w:tcMar>
              <w:top w:w="100" w:type="dxa"/>
              <w:bottom w:w="100" w:type="dxa"/>
              <w:left w:w="130" w:type="dxa"/>
              <w:right w:w="130" w:type="dxa"/>
            </w:tcMar>
          </w:tcPr>
          <w:p>
            <w:pPr>
              <w:spacing w:before="40" w:after="40" w:line="252" w:lineRule="auto"/>
              <w:jc w:val="left"/>
            </w:pPr>
            <w:r/>
            <w:r>
              <w:rPr>
                <w:rFonts w:ascii="Times New Roman" w:hAnsi="Times New Roman"/>
                <w:b w:val="0"/>
                <w:i w:val="0"/>
                <w:color w:val="000000"/>
                <w:sz w:val="24"/>
                <w:rFonts w:ascii="Times New Roman" w:hAnsi="Times New Roman" w:cs="Times New Roman"/>
              </w:rPr>
              <w:t>Partition 1: Training</w:t>
            </w:r>
          </w:p>
        </w:tc>
        <w:tc>
          <w:tcPr>
            <w:tcW w:type="dxa" w:w="2016"/>
            <w:tcMar>
              <w:top w:w="100" w:type="dxa"/>
              <w:bottom w:w="100" w:type="dxa"/>
              <w:left w:w="130" w:type="dxa"/>
              <w:right w:w="130" w:type="dxa"/>
            </w:tcMar>
          </w:tcPr>
          <w:p>
            <w:pPr>
              <w:spacing w:before="40" w:after="40" w:line="252" w:lineRule="auto"/>
              <w:jc w:val="left"/>
            </w:pPr>
            <w:r/>
            <w:r>
              <w:rPr>
                <w:rFonts w:ascii="Times New Roman" w:hAnsi="Times New Roman"/>
                <w:b w:val="0"/>
                <w:i w:val="0"/>
                <w:color w:val="000000"/>
                <w:sz w:val="24"/>
                <w:rFonts w:ascii="Times New Roman" w:hAnsi="Times New Roman" w:cs="Times New Roman"/>
              </w:rPr>
              <w:t>Jan 1, 2021 – Sep 23, 2024</w:t>
            </w:r>
          </w:p>
        </w:tc>
        <w:tc>
          <w:tcPr>
            <w:tcW w:type="dxa" w:w="1728"/>
            <w:tcMar>
              <w:top w:w="100" w:type="dxa"/>
              <w:bottom w:w="100" w:type="dxa"/>
              <w:left w:w="130" w:type="dxa"/>
              <w:right w:w="130" w:type="dxa"/>
            </w:tcMar>
          </w:tcPr>
          <w:p>
            <w:pPr>
              <w:spacing w:before="40" w:after="40" w:line="252" w:lineRule="auto"/>
              <w:jc w:val="left"/>
            </w:pPr>
            <w:r/>
            <w:r>
              <w:rPr>
                <w:rFonts w:ascii="Times New Roman" w:hAnsi="Times New Roman"/>
                <w:b w:val="0"/>
                <w:i w:val="0"/>
                <w:color w:val="000000"/>
                <w:sz w:val="24"/>
                <w:rFonts w:ascii="Times New Roman" w:hAnsi="Times New Roman" w:cs="Times New Roman"/>
              </w:rPr>
              <w:t>15,976 complex-days</w:t>
            </w:r>
          </w:p>
        </w:tc>
        <w:tc>
          <w:tcPr>
            <w:tcW w:type="dxa" w:w="2592"/>
            <w:tcMar>
              <w:top w:w="100" w:type="dxa"/>
              <w:bottom w:w="100" w:type="dxa"/>
              <w:left w:w="130" w:type="dxa"/>
              <w:right w:w="130" w:type="dxa"/>
            </w:tcMar>
          </w:tcPr>
          <w:p>
            <w:pPr>
              <w:spacing w:before="40" w:after="40" w:line="252" w:lineRule="auto"/>
              <w:jc w:val="left"/>
            </w:pPr>
            <w:r/>
            <w:r>
              <w:rPr>
                <w:rFonts w:ascii="Times New Roman" w:hAnsi="Times New Roman"/>
                <w:b w:val="0"/>
                <w:i w:val="0"/>
                <w:color w:val="000000"/>
                <w:sz w:val="24"/>
                <w:rFonts w:ascii="Times New Roman" w:hAnsi="Times New Roman" w:cs="Times New Roman"/>
              </w:rPr>
              <w:t>Primary calibration of candidate models across post-pandemic recovery.</w:t>
            </w:r>
          </w:p>
        </w:tc>
        <w:tc>
          <w:tcPr>
            <w:tcW w:type="dxa" w:w="2160"/>
            <w:tcMar>
              <w:top w:w="100" w:type="dxa"/>
              <w:bottom w:w="100" w:type="dxa"/>
              <w:left w:w="130" w:type="dxa"/>
              <w:right w:w="130" w:type="dxa"/>
            </w:tcMar>
          </w:tcPr>
          <w:p>
            <w:pPr>
              <w:spacing w:before="40" w:after="40" w:line="252" w:lineRule="auto"/>
              <w:jc w:val="left"/>
            </w:pPr>
            <w:r/>
            <w:r>
              <w:rPr>
                <w:rFonts w:ascii="Times New Roman" w:hAnsi="Times New Roman"/>
                <w:b w:val="0"/>
                <w:i w:val="0"/>
                <w:color w:val="000000"/>
                <w:sz w:val="24"/>
                <w:rFonts w:ascii="Times New Roman" w:hAnsi="Times New Roman" w:cs="Times New Roman"/>
              </w:rPr>
              <w:t>Historical calibration baseline; strictly prospective boundary enforcement.</w:t>
            </w:r>
          </w:p>
        </w:tc>
      </w:tr>
      <w:tr>
        <w:tc>
          <w:tcPr>
            <w:tcW w:type="dxa" w:w="1872"/>
            <w:tcMar>
              <w:top w:w="100" w:type="dxa"/>
              <w:bottom w:w="100" w:type="dxa"/>
              <w:left w:w="130" w:type="dxa"/>
              <w:right w:w="130" w:type="dxa"/>
            </w:tcMar>
          </w:tcPr>
          <w:p>
            <w:pPr>
              <w:spacing w:before="40" w:after="40" w:line="252" w:lineRule="auto"/>
              <w:jc w:val="left"/>
            </w:pPr>
            <w:r/>
            <w:r>
              <w:rPr>
                <w:rFonts w:ascii="Times New Roman" w:hAnsi="Times New Roman"/>
                <w:b w:val="0"/>
                <w:i w:val="0"/>
                <w:color w:val="000000"/>
                <w:sz w:val="24"/>
                <w:rFonts w:ascii="Times New Roman" w:hAnsi="Times New Roman" w:cs="Times New Roman"/>
              </w:rPr>
              <w:t>Partition 2: Purge Buffer</w:t>
            </w:r>
          </w:p>
        </w:tc>
        <w:tc>
          <w:tcPr>
            <w:tcW w:type="dxa" w:w="2016"/>
            <w:tcMar>
              <w:top w:w="100" w:type="dxa"/>
              <w:bottom w:w="100" w:type="dxa"/>
              <w:left w:w="130" w:type="dxa"/>
              <w:right w:w="130" w:type="dxa"/>
            </w:tcMar>
          </w:tcPr>
          <w:p>
            <w:pPr>
              <w:spacing w:before="40" w:after="40" w:line="252" w:lineRule="auto"/>
              <w:jc w:val="left"/>
            </w:pPr>
            <w:r/>
            <w:r>
              <w:rPr>
                <w:rFonts w:ascii="Times New Roman" w:hAnsi="Times New Roman"/>
                <w:b w:val="0"/>
                <w:i w:val="0"/>
                <w:color w:val="000000"/>
                <w:sz w:val="24"/>
                <w:rFonts w:ascii="Times New Roman" w:hAnsi="Times New Roman" w:cs="Times New Roman"/>
              </w:rPr>
              <w:t>Sep 24, 2024 – Sep 30, 2024</w:t>
            </w:r>
          </w:p>
        </w:tc>
        <w:tc>
          <w:tcPr>
            <w:tcW w:type="dxa" w:w="1728"/>
            <w:tcMar>
              <w:top w:w="100" w:type="dxa"/>
              <w:bottom w:w="100" w:type="dxa"/>
              <w:left w:w="130" w:type="dxa"/>
              <w:right w:w="130" w:type="dxa"/>
            </w:tcMar>
          </w:tcPr>
          <w:p>
            <w:pPr>
              <w:spacing w:before="40" w:after="40" w:line="252" w:lineRule="auto"/>
              <w:jc w:val="left"/>
            </w:pPr>
            <w:r/>
            <w:r>
              <w:rPr>
                <w:rFonts w:ascii="Times New Roman" w:hAnsi="Times New Roman"/>
                <w:b w:val="0"/>
                <w:i w:val="0"/>
                <w:color w:val="000000"/>
                <w:sz w:val="24"/>
                <w:rFonts w:ascii="Times New Roman" w:hAnsi="Times New Roman" w:cs="Times New Roman"/>
              </w:rPr>
              <w:t>7 calendar days (168 hours; quarantined)</w:t>
            </w:r>
          </w:p>
        </w:tc>
        <w:tc>
          <w:tcPr>
            <w:tcW w:type="dxa" w:w="2592"/>
            <w:tcMar>
              <w:top w:w="100" w:type="dxa"/>
              <w:bottom w:w="100" w:type="dxa"/>
              <w:left w:w="130" w:type="dxa"/>
              <w:right w:w="130" w:type="dxa"/>
            </w:tcMar>
          </w:tcPr>
          <w:p>
            <w:pPr>
              <w:spacing w:before="40" w:after="40" w:line="252" w:lineRule="auto"/>
              <w:jc w:val="left"/>
            </w:pPr>
            <w:r/>
            <w:r>
              <w:rPr>
                <w:rFonts w:ascii="Times New Roman" w:hAnsi="Times New Roman"/>
                <w:b w:val="0"/>
                <w:i w:val="0"/>
                <w:color w:val="000000"/>
                <w:sz w:val="24"/>
                <w:rFonts w:ascii="Times New Roman" w:hAnsi="Times New Roman" w:cs="Times New Roman"/>
              </w:rPr>
              <w:t>Temporal quarantine buffer severing weekly (168-hr) autoregressive lags.</w:t>
            </w:r>
          </w:p>
        </w:tc>
        <w:tc>
          <w:tcPr>
            <w:tcW w:type="dxa" w:w="2160"/>
            <w:tcMar>
              <w:top w:w="100" w:type="dxa"/>
              <w:bottom w:w="100" w:type="dxa"/>
              <w:left w:w="130" w:type="dxa"/>
              <w:right w:w="130" w:type="dxa"/>
            </w:tcMar>
          </w:tcPr>
          <w:p>
            <w:pPr>
              <w:spacing w:before="40" w:after="40" w:line="252" w:lineRule="auto"/>
              <w:jc w:val="left"/>
            </w:pPr>
            <w:r/>
            <w:r>
              <w:rPr>
                <w:rFonts w:ascii="Times New Roman" w:hAnsi="Times New Roman"/>
                <w:b w:val="0"/>
                <w:i w:val="0"/>
                <w:color w:val="000000"/>
                <w:sz w:val="24"/>
                <w:rFonts w:ascii="Times New Roman" w:hAnsi="Times New Roman" w:cs="Times New Roman"/>
              </w:rPr>
              <w:t>Complete operational purge; zero training/validation samples drawn.</w:t>
            </w:r>
          </w:p>
        </w:tc>
      </w:tr>
      <w:tr>
        <w:tc>
          <w:tcPr>
            <w:tcW w:type="dxa" w:w="1872"/>
            <w:tcMar>
              <w:top w:w="100" w:type="dxa"/>
              <w:bottom w:w="100" w:type="dxa"/>
              <w:left w:w="130" w:type="dxa"/>
              <w:right w:w="130" w:type="dxa"/>
            </w:tcMar>
          </w:tcPr>
          <w:p>
            <w:pPr>
              <w:spacing w:before="40" w:after="40" w:line="252" w:lineRule="auto"/>
              <w:jc w:val="left"/>
            </w:pPr>
            <w:r/>
            <w:r>
              <w:rPr>
                <w:rFonts w:ascii="Times New Roman" w:hAnsi="Times New Roman"/>
                <w:b w:val="0"/>
                <w:i w:val="0"/>
                <w:color w:val="000000"/>
                <w:sz w:val="24"/>
                <w:rFonts w:ascii="Times New Roman" w:hAnsi="Times New Roman" w:cs="Times New Roman"/>
              </w:rPr>
              <w:t>Partition 3: Validation</w:t>
            </w:r>
          </w:p>
        </w:tc>
        <w:tc>
          <w:tcPr>
            <w:tcW w:type="dxa" w:w="2016"/>
            <w:tcMar>
              <w:top w:w="100" w:type="dxa"/>
              <w:bottom w:w="100" w:type="dxa"/>
              <w:left w:w="130" w:type="dxa"/>
              <w:right w:w="130" w:type="dxa"/>
            </w:tcMar>
          </w:tcPr>
          <w:p>
            <w:pPr>
              <w:spacing w:before="40" w:after="40" w:line="252" w:lineRule="auto"/>
              <w:jc w:val="left"/>
            </w:pPr>
            <w:r/>
            <w:r>
              <w:rPr>
                <w:rFonts w:ascii="Times New Roman" w:hAnsi="Times New Roman"/>
                <w:b w:val="0"/>
                <w:i w:val="0"/>
                <w:color w:val="000000"/>
                <w:sz w:val="24"/>
                <w:rFonts w:ascii="Times New Roman" w:hAnsi="Times New Roman" w:cs="Times New Roman"/>
              </w:rPr>
              <w:t>Oct 1, 2024 – Dec 31, 2024</w:t>
            </w:r>
          </w:p>
        </w:tc>
        <w:tc>
          <w:tcPr>
            <w:tcW w:type="dxa" w:w="1728"/>
            <w:tcMar>
              <w:top w:w="100" w:type="dxa"/>
              <w:bottom w:w="100" w:type="dxa"/>
              <w:left w:w="130" w:type="dxa"/>
              <w:right w:w="130" w:type="dxa"/>
            </w:tcMar>
          </w:tcPr>
          <w:p>
            <w:pPr>
              <w:spacing w:before="40" w:after="40" w:line="252" w:lineRule="auto"/>
              <w:jc w:val="left"/>
            </w:pPr>
            <w:r/>
            <w:r>
              <w:rPr>
                <w:rFonts w:ascii="Times New Roman" w:hAnsi="Times New Roman"/>
                <w:b w:val="0"/>
                <w:i w:val="0"/>
                <w:color w:val="000000"/>
                <w:sz w:val="24"/>
                <w:rFonts w:ascii="Times New Roman" w:hAnsi="Times New Roman" w:cs="Times New Roman"/>
              </w:rPr>
              <w:t>3,293 complex-days</w:t>
            </w:r>
          </w:p>
        </w:tc>
        <w:tc>
          <w:tcPr>
            <w:tcW w:type="dxa" w:w="2592"/>
            <w:tcMar>
              <w:top w:w="100" w:type="dxa"/>
              <w:bottom w:w="100" w:type="dxa"/>
              <w:left w:w="130" w:type="dxa"/>
              <w:right w:w="130" w:type="dxa"/>
            </w:tcMar>
          </w:tcPr>
          <w:p>
            <w:pPr>
              <w:spacing w:before="40" w:after="40" w:line="252" w:lineRule="auto"/>
              <w:jc w:val="left"/>
            </w:pPr>
            <w:r/>
            <w:r>
              <w:rPr>
                <w:rFonts w:ascii="Times New Roman" w:hAnsi="Times New Roman"/>
                <w:b w:val="0"/>
                <w:i w:val="0"/>
                <w:color w:val="000000"/>
                <w:sz w:val="24"/>
                <w:rFonts w:ascii="Times New Roman" w:hAnsi="Times New Roman" w:cs="Times New Roman"/>
              </w:rPr>
              <w:t>Hyperparameter tuning, tree pruning, and residual hybrid weight optimization.</w:t>
            </w:r>
          </w:p>
        </w:tc>
        <w:tc>
          <w:tcPr>
            <w:tcW w:type="dxa" w:w="2160"/>
            <w:tcMar>
              <w:top w:w="100" w:type="dxa"/>
              <w:bottom w:w="100" w:type="dxa"/>
              <w:left w:w="130" w:type="dxa"/>
              <w:right w:w="130" w:type="dxa"/>
            </w:tcMar>
          </w:tcPr>
          <w:p>
            <w:pPr>
              <w:spacing w:before="40" w:after="40" w:line="252" w:lineRule="auto"/>
              <w:jc w:val="left"/>
            </w:pPr>
            <w:r/>
            <w:r>
              <w:rPr>
                <w:rFonts w:ascii="Times New Roman" w:hAnsi="Times New Roman"/>
                <w:b w:val="0"/>
                <w:i w:val="0"/>
                <w:color w:val="000000"/>
                <w:sz w:val="24"/>
                <w:rFonts w:ascii="Times New Roman" w:hAnsi="Times New Roman" w:cs="Times New Roman"/>
              </w:rPr>
              <w:t>Temporally isolated via 7-day purge; strictly separated from holdout.</w:t>
            </w:r>
          </w:p>
        </w:tc>
      </w:tr>
      <w:tr>
        <w:tc>
          <w:tcPr>
            <w:tcW w:type="dxa" w:w="1872"/>
            <w:tcMar>
              <w:top w:w="100" w:type="dxa"/>
              <w:bottom w:w="100" w:type="dxa"/>
              <w:left w:w="130" w:type="dxa"/>
              <w:right w:w="130" w:type="dxa"/>
            </w:tcMar>
          </w:tcPr>
          <w:p>
            <w:pPr>
              <w:spacing w:before="40" w:after="40" w:line="252" w:lineRule="auto"/>
              <w:jc w:val="left"/>
            </w:pPr>
            <w:r/>
            <w:r>
              <w:rPr>
                <w:rFonts w:ascii="Times New Roman" w:hAnsi="Times New Roman"/>
                <w:b w:val="0"/>
                <w:i w:val="0"/>
                <w:color w:val="000000"/>
                <w:sz w:val="24"/>
                <w:rFonts w:ascii="Times New Roman" w:hAnsi="Times New Roman" w:cs="Times New Roman"/>
              </w:rPr>
              <w:t>Partition 4: Holdout</w:t>
            </w:r>
          </w:p>
        </w:tc>
        <w:tc>
          <w:tcPr>
            <w:tcW w:type="dxa" w:w="2016"/>
            <w:tcMar>
              <w:top w:w="100" w:type="dxa"/>
              <w:bottom w:w="100" w:type="dxa"/>
              <w:left w:w="130" w:type="dxa"/>
              <w:right w:w="130" w:type="dxa"/>
            </w:tcMar>
          </w:tcPr>
          <w:p>
            <w:pPr>
              <w:spacing w:before="40" w:after="40" w:line="252" w:lineRule="auto"/>
              <w:jc w:val="left"/>
            </w:pPr>
            <w:r/>
            <w:r>
              <w:rPr>
                <w:rFonts w:ascii="Times New Roman" w:hAnsi="Times New Roman"/>
                <w:b w:val="0"/>
                <w:i w:val="0"/>
                <w:color w:val="000000"/>
                <w:sz w:val="24"/>
                <w:rFonts w:ascii="Times New Roman" w:hAnsi="Times New Roman" w:cs="Times New Roman"/>
              </w:rPr>
              <w:t>Jan 1, 2025 – Dec 31, 2025</w:t>
            </w:r>
          </w:p>
        </w:tc>
        <w:tc>
          <w:tcPr>
            <w:tcW w:type="dxa" w:w="1728"/>
            <w:tcMar>
              <w:top w:w="100" w:type="dxa"/>
              <w:bottom w:w="100" w:type="dxa"/>
              <w:left w:w="130" w:type="dxa"/>
              <w:right w:w="130" w:type="dxa"/>
            </w:tcMar>
          </w:tcPr>
          <w:p>
            <w:pPr>
              <w:spacing w:before="40" w:after="40" w:line="252" w:lineRule="auto"/>
              <w:jc w:val="left"/>
            </w:pPr>
            <w:r/>
            <w:r>
              <w:rPr>
                <w:rFonts w:ascii="Times New Roman" w:hAnsi="Times New Roman"/>
                <w:b w:val="0"/>
                <w:i w:val="0"/>
                <w:color w:val="000000"/>
                <w:sz w:val="24"/>
                <w:rFonts w:ascii="Times New Roman" w:hAnsi="Times New Roman" w:cs="Times New Roman"/>
              </w:rPr>
              <w:t>3,285 complex-days</w:t>
            </w:r>
          </w:p>
        </w:tc>
        <w:tc>
          <w:tcPr>
            <w:tcW w:type="dxa" w:w="2592"/>
            <w:tcMar>
              <w:top w:w="100" w:type="dxa"/>
              <w:bottom w:w="100" w:type="dxa"/>
              <w:left w:w="130" w:type="dxa"/>
              <w:right w:w="130" w:type="dxa"/>
            </w:tcMar>
          </w:tcPr>
          <w:p>
            <w:pPr>
              <w:spacing w:before="40" w:after="40" w:line="252" w:lineRule="auto"/>
              <w:jc w:val="left"/>
            </w:pPr>
            <w:r/>
            <w:r>
              <w:rPr>
                <w:rFonts w:ascii="Times New Roman" w:hAnsi="Times New Roman"/>
                <w:b w:val="0"/>
                <w:i w:val="0"/>
                <w:color w:val="000000"/>
                <w:sz w:val="24"/>
                <w:rFonts w:ascii="Times New Roman" w:hAnsi="Times New Roman" w:cs="Times New Roman"/>
              </w:rPr>
              <w:t>Untouched benchmark for prospective evaluation across all operational regimes.</w:t>
            </w:r>
          </w:p>
        </w:tc>
        <w:tc>
          <w:tcPr>
            <w:tcW w:type="dxa" w:w="2160"/>
            <w:tcMar>
              <w:top w:w="100" w:type="dxa"/>
              <w:bottom w:w="100" w:type="dxa"/>
              <w:left w:w="130" w:type="dxa"/>
              <w:right w:w="130" w:type="dxa"/>
            </w:tcMar>
          </w:tcPr>
          <w:p>
            <w:pPr>
              <w:spacing w:before="40" w:after="40" w:line="252" w:lineRule="auto"/>
              <w:jc w:val="left"/>
            </w:pPr>
            <w:r/>
            <w:r>
              <w:rPr>
                <w:rFonts w:ascii="Times New Roman" w:hAnsi="Times New Roman"/>
                <w:b w:val="0"/>
                <w:i w:val="0"/>
                <w:color w:val="000000"/>
                <w:sz w:val="24"/>
                <w:rFonts w:ascii="Times New Roman" w:hAnsi="Times New Roman" w:cs="Times New Roman"/>
              </w:rPr>
              <w:t>Quarantined out-of-time evaluation set completely withheld during training.</w:t>
            </w:r>
          </w:p>
        </w:tc>
      </w:tr>
    </w:tbl>
    <w:p>
      <w:pPr>
        <w:spacing w:before="80" w:after="240" w:line="276" w:lineRule="auto"/>
      </w:pPr>
      <w:r>
        <w:rPr>
          <w:rFonts w:ascii="Times New Roman" w:hAnsi="Times New Roman"/>
          <w:i/>
          <w:color w:val="000000"/>
          <w:sz w:val="24"/>
        </w:rPr>
        <w:t xml:space="preserve">Note. </w:t>
      </w:r>
      <w:r>
        <w:rPr>
          <w:rFonts w:ascii="Times New Roman" w:hAnsi="Times New Roman"/>
          <w:color w:val="000000"/>
          <w:sz w:val="24"/>
        </w:rPr>
        <w:t>N = 22,554 total complex-days across the 9-airport experimental cohort. The 7-day purge buffer eliminates autoregressive data leakage across the 168-hour weekly cycle.</w:t>
      </w:r>
    </w:p>
    <w:p>
      <w:pPr>
        <w:spacing w:before="0" w:after="120" w:line="276" w:lineRule="auto"/>
        <w:jc w:val="left"/>
      </w:pPr>
      <w:r>
        <w:rPr>
          <w:rFonts w:ascii="Times New Roman" w:hAnsi="Times New Roman"/>
          <w:b/>
          <w:i/>
          <w:color w:val="000000"/>
          <w:sz w:val="24"/>
          <w:rFonts w:ascii="Times New Roman" w:hAnsi="Times New Roman" w:cs="Times New Roman"/>
        </w:rPr>
        <w:t>3.3 Purge Buffer and Zero Leakage Text Justification (Insert after Table 4.8):</w:t>
      </w:r>
    </w:p>
    <w:p>
      <w:pPr>
        <w:spacing w:before="0" w:after="240" w:line="276" w:lineRule="auto"/>
        <w:jc w:val="left"/>
      </w:pPr>
      <w:r>
        <w:rPr>
          <w:rFonts w:ascii="Times New Roman" w:hAnsi="Times New Roman"/>
          <w:b w:val="0"/>
          <w:i w:val="0"/>
          <w:color w:val="000000"/>
          <w:sz w:val="24"/>
          <w:rFonts w:ascii="Times New Roman" w:hAnsi="Times New Roman" w:cs="Times New Roman"/>
        </w:rPr>
        <w:t>As shown in Table 4.8, models were calibrated across 15,976 training complex-days and 3,293 validation complex-days prior to holdout evaluation, separated by a 7-day operational purge buffer to ensure zero data leakage. This partitioned architecture is essential for preserving temporal causality and operational validity. Because commercial aviation demand exhibits strong diurnal and weekly cyclicality (168-hour periodicity), standard machine learning cross-validation strategies that randomly shuffle observations induce severe look-ahead data leakage. Furthermore, time-series models frequently incorporate rolling lookback windows and multi-day autoregressive lag features. Without an operational purge buffer, validation observations immediately following the training partition would pull feature values directly from the training window, artificially deflating forecast errors. Inserting an explicit seven-day temporal quarantine between calibration blocks completely severs cross-boundary autocorrelation and rolling window overlap. Consequently, the 15,976 training complex-days and 3,293 validation complex-days maintain strict temporal independence, ensuring that model performance reflects genuine prospective predictive capability rather than an artifact of information leakage.</w:t>
      </w:r>
    </w:p>
    <w:p>
      <w:pPr>
        <w:spacing w:before="240" w:after="40" w:line="276" w:lineRule="auto"/>
        <w:jc w:val="left"/>
      </w:pPr>
      <w:r>
        <w:rPr>
          <w:rFonts w:ascii="Times New Roman" w:hAnsi="Times New Roman"/>
          <w:b/>
          <w:i w:val="0"/>
          <w:color w:val="000000"/>
          <w:sz w:val="24"/>
          <w:rFonts w:ascii="Times New Roman" w:hAnsi="Times New Roman" w:cs="Times New Roman"/>
        </w:rPr>
        <w:t>Table R.1</w:t>
      </w:r>
    </w:p>
    <w:p>
      <w:pPr>
        <w:spacing w:before="0" w:after="120" w:line="276" w:lineRule="auto"/>
        <w:jc w:val="left"/>
      </w:pPr>
      <w:r>
        <w:rPr>
          <w:rFonts w:ascii="Times New Roman" w:hAnsi="Times New Roman"/>
          <w:b w:val="0"/>
          <w:i/>
          <w:color w:val="000000"/>
          <w:sz w:val="24"/>
          <w:rFonts w:ascii="Times New Roman" w:hAnsi="Times New Roman" w:cs="Times New Roman"/>
        </w:rPr>
        <w:t>Master Crosswalk of Thesis Language Revisions and Academic Substitutions</w:t>
      </w:r>
    </w:p>
    <w:tbl>
      <w:tblPr>
        <w:tblW w:type="auto" w:w="0"/>
        <w:jc w:val="center"/>
        <w:tblLook w:firstColumn="1" w:firstRow="1" w:lastColumn="0" w:lastRow="0" w:noHBand="0" w:noVBand="1" w:val="04A0"/>
        <w:tblBorders>
          <w:top w:val="single" w:sz="8" w:space="0" w:color="000000"/>
          <w:left w:val="none"/>
          <w:bottom w:val="single" w:sz="8" w:space="0" w:color="000000"/>
          <w:right w:val="none"/>
          <w:insideH w:val="none"/>
          <w:insideV w:val="none"/>
        </w:tblBorders>
      </w:tblPr>
      <w:tblGrid>
        <w:gridCol w:w="2340"/>
        <w:gridCol w:w="2340"/>
        <w:gridCol w:w="2340"/>
        <w:gridCol w:w="2340"/>
      </w:tblGrid>
      <w:tr>
        <w:tc>
          <w:tcPr>
            <w:tcW w:type="dxa" w:w="1872"/>
            <w:tcMar>
              <w:top w:w="100" w:type="dxa"/>
              <w:bottom w:w="100" w:type="dxa"/>
              <w:left w:w="130" w:type="dxa"/>
              <w:right w:w="130" w:type="dxa"/>
            </w:tcMar>
            <w:tcBorders>
              <w:bottom w:val="single" w:sz="6" w:space="0" w:color="000000"/>
            </w:tcBorders>
          </w:tcPr>
          <w:p>
            <w:pPr>
              <w:spacing w:before="40" w:after="40" w:line="252" w:lineRule="auto"/>
              <w:jc w:val="left"/>
            </w:pPr>
            <w:r/>
            <w:r>
              <w:rPr>
                <w:rFonts w:ascii="Times New Roman" w:hAnsi="Times New Roman"/>
                <w:b/>
                <w:i w:val="0"/>
                <w:color w:val="000000"/>
                <w:sz w:val="24"/>
                <w:rFonts w:ascii="Times New Roman" w:hAnsi="Times New Roman" w:cs="Times New Roman"/>
              </w:rPr>
              <w:t>Section / Context</w:t>
            </w:r>
          </w:p>
        </w:tc>
        <w:tc>
          <w:tcPr>
            <w:tcW w:type="dxa" w:w="2592"/>
            <w:tcMar>
              <w:top w:w="100" w:type="dxa"/>
              <w:bottom w:w="100" w:type="dxa"/>
              <w:left w:w="130" w:type="dxa"/>
              <w:right w:w="130" w:type="dxa"/>
            </w:tcMar>
            <w:tcBorders>
              <w:bottom w:val="single" w:sz="6" w:space="0" w:color="000000"/>
            </w:tcBorders>
          </w:tcPr>
          <w:p>
            <w:pPr>
              <w:spacing w:before="40" w:after="40" w:line="252" w:lineRule="auto"/>
              <w:jc w:val="left"/>
            </w:pPr>
            <w:r/>
            <w:r>
              <w:rPr>
                <w:rFonts w:ascii="Times New Roman" w:hAnsi="Times New Roman"/>
                <w:b/>
                <w:i w:val="0"/>
                <w:color w:val="000000"/>
                <w:sz w:val="24"/>
                <w:rFonts w:ascii="Times New Roman" w:hAnsi="Times New Roman" w:cs="Times New Roman"/>
              </w:rPr>
              <w:t>Original Draft Wording</w:t>
            </w:r>
          </w:p>
        </w:tc>
        <w:tc>
          <w:tcPr>
            <w:tcW w:type="dxa" w:w="2592"/>
            <w:tcMar>
              <w:top w:w="100" w:type="dxa"/>
              <w:bottom w:w="100" w:type="dxa"/>
              <w:left w:w="130" w:type="dxa"/>
              <w:right w:w="130" w:type="dxa"/>
            </w:tcMar>
            <w:tcBorders>
              <w:bottom w:val="single" w:sz="6" w:space="0" w:color="000000"/>
            </w:tcBorders>
          </w:tcPr>
          <w:p>
            <w:pPr>
              <w:spacing w:before="40" w:after="40" w:line="252" w:lineRule="auto"/>
              <w:jc w:val="left"/>
            </w:pPr>
            <w:r/>
            <w:r>
              <w:rPr>
                <w:rFonts w:ascii="Times New Roman" w:hAnsi="Times New Roman"/>
                <w:b/>
                <w:i w:val="0"/>
                <w:color w:val="000000"/>
                <w:sz w:val="24"/>
                <w:rFonts w:ascii="Times New Roman" w:hAnsi="Times New Roman" w:cs="Times New Roman"/>
              </w:rPr>
              <w:t>Editorial / Methodological Issue</w:t>
            </w:r>
          </w:p>
        </w:tc>
        <w:tc>
          <w:tcPr>
            <w:tcW w:type="dxa" w:w="2592"/>
            <w:tcMar>
              <w:top w:w="100" w:type="dxa"/>
              <w:bottom w:w="100" w:type="dxa"/>
              <w:left w:w="130" w:type="dxa"/>
              <w:right w:w="130" w:type="dxa"/>
            </w:tcMar>
            <w:tcBorders>
              <w:bottom w:val="single" w:sz="6" w:space="0" w:color="000000"/>
            </w:tcBorders>
          </w:tcPr>
          <w:p>
            <w:pPr>
              <w:spacing w:before="40" w:after="40" w:line="252" w:lineRule="auto"/>
              <w:jc w:val="left"/>
            </w:pPr>
            <w:r/>
            <w:r>
              <w:rPr>
                <w:rFonts w:ascii="Times New Roman" w:hAnsi="Times New Roman"/>
                <w:b/>
                <w:i w:val="0"/>
                <w:color w:val="000000"/>
                <w:sz w:val="24"/>
                <w:rFonts w:ascii="Times New Roman" w:hAnsi="Times New Roman" w:cs="Times New Roman"/>
              </w:rPr>
              <w:t>Approved Academic Revision</w:t>
            </w:r>
          </w:p>
        </w:tc>
      </w:tr>
      <w:tr>
        <w:tc>
          <w:tcPr>
            <w:tcW w:type="dxa" w:w="1872"/>
            <w:tcMar>
              <w:top w:w="100" w:type="dxa"/>
              <w:bottom w:w="100" w:type="dxa"/>
              <w:left w:w="130" w:type="dxa"/>
              <w:right w:w="130" w:type="dxa"/>
            </w:tcMar>
          </w:tcPr>
          <w:p>
            <w:pPr>
              <w:spacing w:before="40" w:after="40" w:line="252" w:lineRule="auto"/>
              <w:jc w:val="left"/>
            </w:pPr>
            <w:r/>
            <w:r>
              <w:rPr>
                <w:rFonts w:ascii="Times New Roman" w:hAnsi="Times New Roman"/>
                <w:b w:val="0"/>
                <w:i w:val="0"/>
                <w:color w:val="000000"/>
                <w:sz w:val="24"/>
                <w:rFonts w:ascii="Times New Roman" w:hAnsi="Times New Roman" w:cs="Times New Roman"/>
              </w:rPr>
              <w:t>Chp II (Heading)</w:t>
            </w:r>
          </w:p>
        </w:tc>
        <w:tc>
          <w:tcPr>
            <w:tcW w:type="dxa" w:w="2592"/>
            <w:tcMar>
              <w:top w:w="100" w:type="dxa"/>
              <w:bottom w:w="100" w:type="dxa"/>
              <w:left w:w="130" w:type="dxa"/>
              <w:right w:w="130" w:type="dxa"/>
            </w:tcMar>
          </w:tcPr>
          <w:p>
            <w:pPr>
              <w:spacing w:before="40" w:after="40" w:line="252" w:lineRule="auto"/>
              <w:jc w:val="left"/>
            </w:pPr>
            <w:r/>
            <w:r>
              <w:rPr>
                <w:rFonts w:ascii="Times New Roman" w:hAnsi="Times New Roman"/>
                <w:b w:val="0"/>
                <w:i w:val="0"/>
                <w:color w:val="000000"/>
                <w:sz w:val="24"/>
                <w:rFonts w:ascii="Times New Roman" w:hAnsi="Times New Roman" w:cs="Times New Roman"/>
              </w:rPr>
              <w:t>The Tripartite Operational Breakdown of Micro-Simulation</w:t>
            </w:r>
          </w:p>
        </w:tc>
        <w:tc>
          <w:tcPr>
            <w:tcW w:type="dxa" w:w="2592"/>
            <w:tcMar>
              <w:top w:w="100" w:type="dxa"/>
              <w:bottom w:w="100" w:type="dxa"/>
              <w:left w:w="130" w:type="dxa"/>
              <w:right w:w="130" w:type="dxa"/>
            </w:tcMar>
          </w:tcPr>
          <w:p>
            <w:pPr>
              <w:spacing w:before="40" w:after="40" w:line="252" w:lineRule="auto"/>
              <w:jc w:val="left"/>
            </w:pPr>
            <w:r/>
            <w:r>
              <w:rPr>
                <w:rFonts w:ascii="Times New Roman" w:hAnsi="Times New Roman"/>
                <w:b w:val="0"/>
                <w:i w:val="0"/>
                <w:color w:val="000000"/>
                <w:sz w:val="24"/>
                <w:rFonts w:ascii="Times New Roman" w:hAnsi="Times New Roman" w:cs="Times New Roman"/>
              </w:rPr>
              <w:t>Ambiguity of 'breakdown'; archaic 'tripartite'.</w:t>
            </w:r>
          </w:p>
        </w:tc>
        <w:tc>
          <w:tcPr>
            <w:tcW w:type="dxa" w:w="2592"/>
            <w:tcMar>
              <w:top w:w="100" w:type="dxa"/>
              <w:bottom w:w="100" w:type="dxa"/>
              <w:left w:w="130" w:type="dxa"/>
              <w:right w:w="130" w:type="dxa"/>
            </w:tcMar>
          </w:tcPr>
          <w:p>
            <w:pPr>
              <w:spacing w:before="40" w:after="40" w:line="252" w:lineRule="auto"/>
              <w:jc w:val="left"/>
            </w:pPr>
            <w:r/>
            <w:r>
              <w:rPr>
                <w:rFonts w:ascii="Times New Roman" w:hAnsi="Times New Roman"/>
                <w:b w:val="0"/>
                <w:i w:val="0"/>
                <w:color w:val="000000"/>
                <w:sz w:val="24"/>
                <w:rFonts w:ascii="Times New Roman" w:hAnsi="Times New Roman" w:cs="Times New Roman"/>
              </w:rPr>
              <w:t>Three Operational Limitations of Micro-Simulation</w:t>
            </w:r>
          </w:p>
        </w:tc>
      </w:tr>
      <w:tr>
        <w:tc>
          <w:tcPr>
            <w:tcW w:type="dxa" w:w="1872"/>
            <w:tcMar>
              <w:top w:w="100" w:type="dxa"/>
              <w:bottom w:w="100" w:type="dxa"/>
              <w:left w:w="130" w:type="dxa"/>
              <w:right w:w="130" w:type="dxa"/>
            </w:tcMar>
          </w:tcPr>
          <w:p>
            <w:pPr>
              <w:spacing w:before="40" w:after="40" w:line="252" w:lineRule="auto"/>
              <w:jc w:val="left"/>
            </w:pPr>
            <w:r/>
            <w:r>
              <w:rPr>
                <w:rFonts w:ascii="Times New Roman" w:hAnsi="Times New Roman"/>
                <w:b w:val="0"/>
                <w:i w:val="0"/>
                <w:color w:val="000000"/>
                <w:sz w:val="24"/>
                <w:rFonts w:ascii="Times New Roman" w:hAnsi="Times New Roman" w:cs="Times New Roman"/>
              </w:rPr>
              <w:t>Chp II (DES / Micro)</w:t>
            </w:r>
          </w:p>
        </w:tc>
        <w:tc>
          <w:tcPr>
            <w:tcW w:type="dxa" w:w="2592"/>
            <w:tcMar>
              <w:top w:w="100" w:type="dxa"/>
              <w:bottom w:w="100" w:type="dxa"/>
              <w:left w:w="130" w:type="dxa"/>
              <w:right w:w="130" w:type="dxa"/>
            </w:tcMar>
          </w:tcPr>
          <w:p>
            <w:pPr>
              <w:spacing w:before="40" w:after="40" w:line="252" w:lineRule="auto"/>
              <w:jc w:val="left"/>
            </w:pPr>
            <w:r/>
            <w:r>
              <w:rPr>
                <w:rFonts w:ascii="Times New Roman" w:hAnsi="Times New Roman"/>
                <w:b w:val="0"/>
                <w:i w:val="0"/>
                <w:color w:val="000000"/>
                <w:sz w:val="24"/>
                <w:rFonts w:ascii="Times New Roman" w:hAnsi="Times New Roman" w:cs="Times New Roman"/>
              </w:rPr>
              <w:t>Undifferentiated use of DES and micro-simulation</w:t>
            </w:r>
          </w:p>
        </w:tc>
        <w:tc>
          <w:tcPr>
            <w:tcW w:type="dxa" w:w="2592"/>
            <w:tcMar>
              <w:top w:w="100" w:type="dxa"/>
              <w:bottom w:w="100" w:type="dxa"/>
              <w:left w:w="130" w:type="dxa"/>
              <w:right w:w="130" w:type="dxa"/>
            </w:tcMar>
          </w:tcPr>
          <w:p>
            <w:pPr>
              <w:spacing w:before="40" w:after="40" w:line="252" w:lineRule="auto"/>
              <w:jc w:val="left"/>
            </w:pPr>
            <w:r/>
            <w:r>
              <w:rPr>
                <w:rFonts w:ascii="Times New Roman" w:hAnsi="Times New Roman"/>
                <w:b w:val="0"/>
                <w:i w:val="0"/>
                <w:color w:val="000000"/>
                <w:sz w:val="24"/>
                <w:rFonts w:ascii="Times New Roman" w:hAnsi="Times New Roman" w:cs="Times New Roman"/>
              </w:rPr>
              <w:t>DES is a computational method, not identical to the paradigm.</w:t>
            </w:r>
          </w:p>
        </w:tc>
        <w:tc>
          <w:tcPr>
            <w:tcW w:type="dxa" w:w="2592"/>
            <w:tcMar>
              <w:top w:w="100" w:type="dxa"/>
              <w:bottom w:w="100" w:type="dxa"/>
              <w:left w:w="130" w:type="dxa"/>
              <w:right w:w="130" w:type="dxa"/>
            </w:tcMar>
          </w:tcPr>
          <w:p>
            <w:pPr>
              <w:spacing w:before="40" w:after="40" w:line="252" w:lineRule="auto"/>
              <w:jc w:val="left"/>
            </w:pPr>
            <w:r/>
            <w:r>
              <w:rPr>
                <w:rFonts w:ascii="Times New Roman" w:hAnsi="Times New Roman"/>
                <w:b w:val="0"/>
                <w:i w:val="0"/>
                <w:color w:val="000000"/>
                <w:sz w:val="24"/>
                <w:rFonts w:ascii="Times New Roman" w:hAnsi="Times New Roman" w:cs="Times New Roman"/>
              </w:rPr>
              <w:t>Added formal definition clarifying DES as the computational engine.</w:t>
            </w:r>
          </w:p>
        </w:tc>
      </w:tr>
      <w:tr>
        <w:tc>
          <w:tcPr>
            <w:tcW w:type="dxa" w:w="1872"/>
            <w:tcMar>
              <w:top w:w="100" w:type="dxa"/>
              <w:bottom w:w="100" w:type="dxa"/>
              <w:left w:w="130" w:type="dxa"/>
              <w:right w:w="130" w:type="dxa"/>
            </w:tcMar>
          </w:tcPr>
          <w:p>
            <w:pPr>
              <w:spacing w:before="40" w:after="40" w:line="252" w:lineRule="auto"/>
              <w:jc w:val="left"/>
            </w:pPr>
            <w:r/>
            <w:r>
              <w:rPr>
                <w:rFonts w:ascii="Times New Roman" w:hAnsi="Times New Roman"/>
                <w:b w:val="0"/>
                <w:i w:val="0"/>
                <w:color w:val="000000"/>
                <w:sz w:val="24"/>
                <w:rFonts w:ascii="Times New Roman" w:hAnsi="Times New Roman" w:cs="Times New Roman"/>
              </w:rPr>
              <w:t>Chp II (Deep Learning)</w:t>
            </w:r>
          </w:p>
        </w:tc>
        <w:tc>
          <w:tcPr>
            <w:tcW w:type="dxa" w:w="2592"/>
            <w:tcMar>
              <w:top w:w="100" w:type="dxa"/>
              <w:bottom w:w="100" w:type="dxa"/>
              <w:left w:w="130" w:type="dxa"/>
              <w:right w:w="130" w:type="dxa"/>
            </w:tcMar>
          </w:tcPr>
          <w:p>
            <w:pPr>
              <w:spacing w:before="40" w:after="40" w:line="252" w:lineRule="auto"/>
              <w:jc w:val="left"/>
            </w:pPr>
            <w:r/>
            <w:r>
              <w:rPr>
                <w:rFonts w:ascii="Times New Roman" w:hAnsi="Times New Roman"/>
                <w:b w:val="0"/>
                <w:i w:val="0"/>
                <w:color w:val="000000"/>
                <w:sz w:val="24"/>
                <w:rFonts w:ascii="Times New Roman" w:hAnsi="Times New Roman" w:cs="Times New Roman"/>
              </w:rPr>
              <w:t>Fragmented bullet lists; specific FSD/TSA dollar mandates.</w:t>
            </w:r>
          </w:p>
        </w:tc>
        <w:tc>
          <w:tcPr>
            <w:tcW w:type="dxa" w:w="2592"/>
            <w:tcMar>
              <w:top w:w="100" w:type="dxa"/>
              <w:bottom w:w="100" w:type="dxa"/>
              <w:left w:w="130" w:type="dxa"/>
              <w:right w:w="130" w:type="dxa"/>
            </w:tcMar>
          </w:tcPr>
          <w:p>
            <w:pPr>
              <w:spacing w:before="40" w:after="40" w:line="252" w:lineRule="auto"/>
              <w:jc w:val="left"/>
            </w:pPr>
            <w:r/>
            <w:r>
              <w:rPr>
                <w:rFonts w:ascii="Times New Roman" w:hAnsi="Times New Roman"/>
                <w:b w:val="0"/>
                <w:i w:val="0"/>
                <w:color w:val="000000"/>
                <w:sz w:val="24"/>
                <w:rFonts w:ascii="Times New Roman" w:hAnsi="Times New Roman" w:cs="Times New Roman"/>
              </w:rPr>
              <w:t>Disjointed syntax; overly narrow US-specific agency titles.</w:t>
            </w:r>
          </w:p>
        </w:tc>
        <w:tc>
          <w:tcPr>
            <w:tcW w:type="dxa" w:w="2592"/>
            <w:tcMar>
              <w:top w:w="100" w:type="dxa"/>
              <w:bottom w:w="100" w:type="dxa"/>
              <w:left w:w="130" w:type="dxa"/>
              <w:right w:w="130" w:type="dxa"/>
            </w:tcMar>
          </w:tcPr>
          <w:p>
            <w:pPr>
              <w:spacing w:before="40" w:after="40" w:line="252" w:lineRule="auto"/>
              <w:jc w:val="left"/>
            </w:pPr>
            <w:r/>
            <w:r>
              <w:rPr>
                <w:rFonts w:ascii="Times New Roman" w:hAnsi="Times New Roman"/>
                <w:b w:val="0"/>
                <w:i w:val="0"/>
                <w:color w:val="000000"/>
                <w:sz w:val="24"/>
                <w:rFonts w:ascii="Times New Roman" w:hAnsi="Times New Roman" w:cs="Times New Roman"/>
              </w:rPr>
              <w:t>Consolidated into a single unified paragraph with generalized administrative authorities.</w:t>
            </w:r>
          </w:p>
        </w:tc>
      </w:tr>
      <w:tr>
        <w:tc>
          <w:tcPr>
            <w:tcW w:type="dxa" w:w="1872"/>
            <w:tcMar>
              <w:top w:w="100" w:type="dxa"/>
              <w:bottom w:w="100" w:type="dxa"/>
              <w:left w:w="130" w:type="dxa"/>
              <w:right w:w="130" w:type="dxa"/>
            </w:tcMar>
          </w:tcPr>
          <w:p>
            <w:pPr>
              <w:spacing w:before="40" w:after="40" w:line="252" w:lineRule="auto"/>
              <w:jc w:val="left"/>
            </w:pPr>
            <w:r/>
            <w:r>
              <w:rPr>
                <w:rFonts w:ascii="Times New Roman" w:hAnsi="Times New Roman"/>
                <w:b w:val="0"/>
                <w:i w:val="0"/>
                <w:color w:val="000000"/>
                <w:sz w:val="24"/>
                <w:rFonts w:ascii="Times New Roman" w:hAnsi="Times New Roman" w:cs="Times New Roman"/>
              </w:rPr>
              <w:t>Chp II (Queuing)</w:t>
            </w:r>
          </w:p>
        </w:tc>
        <w:tc>
          <w:tcPr>
            <w:tcW w:type="dxa" w:w="2592"/>
            <w:tcMar>
              <w:top w:w="100" w:type="dxa"/>
              <w:bottom w:w="100" w:type="dxa"/>
              <w:left w:w="130" w:type="dxa"/>
              <w:right w:w="130" w:type="dxa"/>
            </w:tcMar>
          </w:tcPr>
          <w:p>
            <w:pPr>
              <w:spacing w:before="40" w:after="40" w:line="252" w:lineRule="auto"/>
              <w:jc w:val="left"/>
            </w:pPr>
            <w:r/>
            <w:r>
              <w:rPr>
                <w:rFonts w:ascii="Times New Roman" w:hAnsi="Times New Roman"/>
                <w:b w:val="0"/>
                <w:i w:val="0"/>
                <w:color w:val="000000"/>
                <w:sz w:val="24"/>
                <w:rFonts w:ascii="Times New Roman" w:hAnsi="Times New Roman" w:cs="Times New Roman"/>
              </w:rPr>
              <w:t>first-principles queuing models</w:t>
            </w:r>
          </w:p>
        </w:tc>
        <w:tc>
          <w:tcPr>
            <w:tcW w:type="dxa" w:w="2592"/>
            <w:tcMar>
              <w:top w:w="100" w:type="dxa"/>
              <w:bottom w:w="100" w:type="dxa"/>
              <w:left w:w="130" w:type="dxa"/>
              <w:right w:w="130" w:type="dxa"/>
            </w:tcMar>
          </w:tcPr>
          <w:p>
            <w:pPr>
              <w:spacing w:before="40" w:after="40" w:line="252" w:lineRule="auto"/>
              <w:jc w:val="left"/>
            </w:pPr>
            <w:r/>
            <w:r>
              <w:rPr>
                <w:rFonts w:ascii="Times New Roman" w:hAnsi="Times New Roman"/>
                <w:b w:val="0"/>
                <w:i w:val="0"/>
                <w:color w:val="000000"/>
                <w:sz w:val="24"/>
                <w:rFonts w:ascii="Times New Roman" w:hAnsi="Times New Roman" w:cs="Times New Roman"/>
              </w:rPr>
              <w:t>'First-principles' is physics terminology debated in queueing theory.</w:t>
            </w:r>
          </w:p>
        </w:tc>
        <w:tc>
          <w:tcPr>
            <w:tcW w:type="dxa" w:w="2592"/>
            <w:tcMar>
              <w:top w:w="100" w:type="dxa"/>
              <w:bottom w:w="100" w:type="dxa"/>
              <w:left w:w="130" w:type="dxa"/>
              <w:right w:w="130" w:type="dxa"/>
            </w:tcMar>
          </w:tcPr>
          <w:p>
            <w:pPr>
              <w:spacing w:before="40" w:after="40" w:line="252" w:lineRule="auto"/>
              <w:jc w:val="left"/>
            </w:pPr>
            <w:r/>
            <w:r>
              <w:rPr>
                <w:rFonts w:ascii="Times New Roman" w:hAnsi="Times New Roman"/>
                <w:b w:val="0"/>
                <w:i w:val="0"/>
                <w:color w:val="000000"/>
                <w:sz w:val="24"/>
                <w:rFonts w:ascii="Times New Roman" w:hAnsi="Times New Roman" w:cs="Times New Roman"/>
              </w:rPr>
              <w:t>analytical queuing models (or classical queuing models)</w:t>
            </w:r>
          </w:p>
        </w:tc>
      </w:tr>
      <w:tr>
        <w:tc>
          <w:tcPr>
            <w:tcW w:type="dxa" w:w="1872"/>
            <w:tcMar>
              <w:top w:w="100" w:type="dxa"/>
              <w:bottom w:w="100" w:type="dxa"/>
              <w:left w:w="130" w:type="dxa"/>
              <w:right w:w="130" w:type="dxa"/>
            </w:tcMar>
          </w:tcPr>
          <w:p>
            <w:pPr>
              <w:spacing w:before="40" w:after="40" w:line="252" w:lineRule="auto"/>
              <w:jc w:val="left"/>
            </w:pPr>
            <w:r/>
            <w:r>
              <w:rPr>
                <w:rFonts w:ascii="Times New Roman" w:hAnsi="Times New Roman"/>
                <w:b w:val="0"/>
                <w:i w:val="0"/>
                <w:color w:val="000000"/>
                <w:sz w:val="24"/>
                <w:rFonts w:ascii="Times New Roman" w:hAnsi="Times New Roman" w:cs="Times New Roman"/>
              </w:rPr>
              <w:t>Chp II (ACRP 40)</w:t>
            </w:r>
          </w:p>
        </w:tc>
        <w:tc>
          <w:tcPr>
            <w:tcW w:type="dxa" w:w="2592"/>
            <w:tcMar>
              <w:top w:w="100" w:type="dxa"/>
              <w:bottom w:w="100" w:type="dxa"/>
              <w:left w:w="130" w:type="dxa"/>
              <w:right w:w="130" w:type="dxa"/>
            </w:tcMar>
          </w:tcPr>
          <w:p>
            <w:pPr>
              <w:spacing w:before="40" w:after="40" w:line="252" w:lineRule="auto"/>
              <w:jc w:val="left"/>
            </w:pPr>
            <w:r/>
            <w:r>
              <w:rPr>
                <w:rFonts w:ascii="Times New Roman" w:hAnsi="Times New Roman"/>
                <w:b w:val="0"/>
                <w:i w:val="0"/>
                <w:color w:val="000000"/>
                <w:sz w:val="24"/>
                <w:rFonts w:ascii="Times New Roman" w:hAnsi="Times New Roman" w:cs="Times New Roman"/>
              </w:rPr>
              <w:t>empirical lognormal curve</w:t>
            </w:r>
          </w:p>
        </w:tc>
        <w:tc>
          <w:tcPr>
            <w:tcW w:type="dxa" w:w="2592"/>
            <w:tcMar>
              <w:top w:w="100" w:type="dxa"/>
              <w:bottom w:w="100" w:type="dxa"/>
              <w:left w:w="130" w:type="dxa"/>
              <w:right w:w="130" w:type="dxa"/>
            </w:tcMar>
          </w:tcPr>
          <w:p>
            <w:pPr>
              <w:spacing w:before="40" w:after="40" w:line="252" w:lineRule="auto"/>
              <w:jc w:val="left"/>
            </w:pPr>
            <w:r/>
            <w:r>
              <w:rPr>
                <w:rFonts w:ascii="Times New Roman" w:hAnsi="Times New Roman"/>
                <w:b w:val="0"/>
                <w:i w:val="0"/>
                <w:color w:val="000000"/>
                <w:sz w:val="24"/>
                <w:rFonts w:ascii="Times New Roman" w:hAnsi="Times New Roman" w:cs="Times New Roman"/>
              </w:rPr>
              <w:t>'Curve' is informal/graphical; lognormal is a parametric distribution.</w:t>
            </w:r>
          </w:p>
        </w:tc>
        <w:tc>
          <w:tcPr>
            <w:tcW w:type="dxa" w:w="2592"/>
            <w:tcMar>
              <w:top w:w="100" w:type="dxa"/>
              <w:bottom w:w="100" w:type="dxa"/>
              <w:left w:w="130" w:type="dxa"/>
              <w:right w:w="130" w:type="dxa"/>
            </w:tcMar>
          </w:tcPr>
          <w:p>
            <w:pPr>
              <w:spacing w:before="40" w:after="40" w:line="252" w:lineRule="auto"/>
              <w:jc w:val="left"/>
            </w:pPr>
            <w:r/>
            <w:r>
              <w:rPr>
                <w:rFonts w:ascii="Times New Roman" w:hAnsi="Times New Roman"/>
                <w:b w:val="0"/>
                <w:i w:val="0"/>
                <w:color w:val="000000"/>
                <w:sz w:val="24"/>
                <w:rFonts w:ascii="Times New Roman" w:hAnsi="Times New Roman" w:cs="Times New Roman"/>
              </w:rPr>
              <w:t>empirically fitted lognormal distribution</w:t>
            </w:r>
          </w:p>
        </w:tc>
      </w:tr>
      <w:tr>
        <w:tc>
          <w:tcPr>
            <w:tcW w:type="dxa" w:w="1872"/>
            <w:tcMar>
              <w:top w:w="100" w:type="dxa"/>
              <w:bottom w:w="100" w:type="dxa"/>
              <w:left w:w="130" w:type="dxa"/>
              <w:right w:w="130" w:type="dxa"/>
            </w:tcMar>
          </w:tcPr>
          <w:p>
            <w:pPr>
              <w:spacing w:before="40" w:after="40" w:line="252" w:lineRule="auto"/>
              <w:jc w:val="left"/>
            </w:pPr>
            <w:r/>
            <w:r>
              <w:rPr>
                <w:rFonts w:ascii="Times New Roman" w:hAnsi="Times New Roman"/>
                <w:b w:val="0"/>
                <w:i w:val="0"/>
                <w:color w:val="000000"/>
                <w:sz w:val="24"/>
                <w:rFonts w:ascii="Times New Roman" w:hAnsi="Times New Roman" w:cs="Times New Roman"/>
              </w:rPr>
              <w:t>Chp III / IV (Phase 4)</w:t>
            </w:r>
          </w:p>
        </w:tc>
        <w:tc>
          <w:tcPr>
            <w:tcW w:type="dxa" w:w="2592"/>
            <w:tcMar>
              <w:top w:w="100" w:type="dxa"/>
              <w:bottom w:w="100" w:type="dxa"/>
              <w:left w:w="130" w:type="dxa"/>
              <w:right w:w="130" w:type="dxa"/>
            </w:tcMar>
          </w:tcPr>
          <w:p>
            <w:pPr>
              <w:spacing w:before="40" w:after="40" w:line="252" w:lineRule="auto"/>
              <w:jc w:val="left"/>
            </w:pPr>
            <w:r/>
            <w:r>
              <w:rPr>
                <w:rFonts w:ascii="Times New Roman" w:hAnsi="Times New Roman"/>
                <w:b w:val="0"/>
                <w:i w:val="0"/>
                <w:color w:val="000000"/>
                <w:sz w:val="24"/>
                <w:rFonts w:ascii="Times New Roman" w:hAnsi="Times New Roman" w:cs="Times New Roman"/>
              </w:rPr>
              <w:t>Phase 4: Factorial Cohort (Factorial Matrix Balance):</w:t>
            </w:r>
          </w:p>
        </w:tc>
        <w:tc>
          <w:tcPr>
            <w:tcW w:type="dxa" w:w="2592"/>
            <w:tcMar>
              <w:top w:w="100" w:type="dxa"/>
              <w:bottom w:w="100" w:type="dxa"/>
              <w:left w:w="130" w:type="dxa"/>
              <w:right w:w="130" w:type="dxa"/>
            </w:tcMar>
          </w:tcPr>
          <w:p>
            <w:pPr>
              <w:spacing w:before="40" w:after="40" w:line="252" w:lineRule="auto"/>
              <w:jc w:val="left"/>
            </w:pPr>
            <w:r/>
            <w:r>
              <w:rPr>
                <w:rFonts w:ascii="Times New Roman" w:hAnsi="Times New Roman"/>
                <w:b w:val="0"/>
                <w:i w:val="0"/>
                <w:color w:val="000000"/>
                <w:sz w:val="24"/>
                <w:rFonts w:ascii="Times New Roman" w:hAnsi="Times New Roman" w:cs="Times New Roman"/>
              </w:rPr>
              <w:t>Duplicate 'Factorial' stutter; breaks parallel syntax of Phases 1–3.</w:t>
            </w:r>
          </w:p>
        </w:tc>
        <w:tc>
          <w:tcPr>
            <w:tcW w:type="dxa" w:w="2592"/>
            <w:tcMar>
              <w:top w:w="100" w:type="dxa"/>
              <w:bottom w:w="100" w:type="dxa"/>
              <w:left w:w="130" w:type="dxa"/>
              <w:right w:w="130" w:type="dxa"/>
            </w:tcMar>
          </w:tcPr>
          <w:p>
            <w:pPr>
              <w:spacing w:before="40" w:after="40" w:line="252" w:lineRule="auto"/>
              <w:jc w:val="left"/>
            </w:pPr>
            <w:r/>
            <w:r>
              <w:rPr>
                <w:rFonts w:ascii="Times New Roman" w:hAnsi="Times New Roman"/>
                <w:b w:val="0"/>
                <w:i w:val="0"/>
                <w:color w:val="000000"/>
                <w:sz w:val="24"/>
                <w:rFonts w:ascii="Times New Roman" w:hAnsi="Times New Roman" w:cs="Times New Roman"/>
              </w:rPr>
              <w:t>Phase 4: Factorial Cohort (Carrier-Archetype Matrix Balance):</w:t>
            </w:r>
          </w:p>
        </w:tc>
      </w:tr>
      <w:tr>
        <w:tc>
          <w:tcPr>
            <w:tcW w:type="dxa" w:w="1872"/>
            <w:tcMar>
              <w:top w:w="100" w:type="dxa"/>
              <w:bottom w:w="100" w:type="dxa"/>
              <w:left w:w="130" w:type="dxa"/>
              <w:right w:w="130" w:type="dxa"/>
            </w:tcMar>
          </w:tcPr>
          <w:p>
            <w:pPr>
              <w:spacing w:before="40" w:after="40" w:line="252" w:lineRule="auto"/>
              <w:jc w:val="left"/>
            </w:pPr>
            <w:r/>
            <w:r>
              <w:rPr>
                <w:rFonts w:ascii="Times New Roman" w:hAnsi="Times New Roman"/>
                <w:b w:val="0"/>
                <w:i w:val="0"/>
                <w:color w:val="000000"/>
                <w:sz w:val="24"/>
                <w:rFonts w:ascii="Times New Roman" w:hAnsi="Times New Roman" w:cs="Times New Roman"/>
              </w:rPr>
              <w:t>Chp III / IV (Sampling)</w:t>
            </w:r>
          </w:p>
        </w:tc>
        <w:tc>
          <w:tcPr>
            <w:tcW w:type="dxa" w:w="2592"/>
            <w:tcMar>
              <w:top w:w="100" w:type="dxa"/>
              <w:bottom w:w="100" w:type="dxa"/>
              <w:left w:w="130" w:type="dxa"/>
              <w:right w:w="130" w:type="dxa"/>
            </w:tcMar>
          </w:tcPr>
          <w:p>
            <w:pPr>
              <w:spacing w:before="40" w:after="40" w:line="252" w:lineRule="auto"/>
              <w:jc w:val="left"/>
            </w:pPr>
            <w:r/>
            <w:r>
              <w:rPr>
                <w:rFonts w:ascii="Times New Roman" w:hAnsi="Times New Roman"/>
                <w:b w:val="0"/>
                <w:i w:val="0"/>
                <w:color w:val="000000"/>
                <w:sz w:val="24"/>
                <w:rFonts w:ascii="Times New Roman" w:hAnsi="Times New Roman" w:cs="Times New Roman"/>
              </w:rPr>
              <w:t>airport universe / nationwide universe</w:t>
            </w:r>
          </w:p>
        </w:tc>
        <w:tc>
          <w:tcPr>
            <w:tcW w:type="dxa" w:w="2592"/>
            <w:tcMar>
              <w:top w:w="100" w:type="dxa"/>
              <w:bottom w:w="100" w:type="dxa"/>
              <w:left w:w="130" w:type="dxa"/>
              <w:right w:w="130" w:type="dxa"/>
            </w:tcMar>
          </w:tcPr>
          <w:p>
            <w:pPr>
              <w:spacing w:before="40" w:after="40" w:line="252" w:lineRule="auto"/>
              <w:jc w:val="left"/>
            </w:pPr>
            <w:r/>
            <w:r>
              <w:rPr>
                <w:rFonts w:ascii="Times New Roman" w:hAnsi="Times New Roman"/>
                <w:b w:val="0"/>
                <w:i w:val="0"/>
                <w:color w:val="000000"/>
                <w:sz w:val="24"/>
                <w:rFonts w:ascii="Times New Roman" w:hAnsi="Times New Roman" w:cs="Times New Roman"/>
              </w:rPr>
              <w:t>'Universe' sounds colloquial or overly broad in empirical methodology.</w:t>
            </w:r>
          </w:p>
        </w:tc>
        <w:tc>
          <w:tcPr>
            <w:tcW w:type="dxa" w:w="2592"/>
            <w:tcMar>
              <w:top w:w="100" w:type="dxa"/>
              <w:bottom w:w="100" w:type="dxa"/>
              <w:left w:w="130" w:type="dxa"/>
              <w:right w:w="130" w:type="dxa"/>
            </w:tcMar>
          </w:tcPr>
          <w:p>
            <w:pPr>
              <w:spacing w:before="40" w:after="40" w:line="252" w:lineRule="auto"/>
              <w:jc w:val="left"/>
            </w:pPr>
            <w:r/>
            <w:r>
              <w:rPr>
                <w:rFonts w:ascii="Times New Roman" w:hAnsi="Times New Roman"/>
                <w:b w:val="0"/>
                <w:i w:val="0"/>
                <w:color w:val="000000"/>
                <w:sz w:val="24"/>
                <w:rFonts w:ascii="Times New Roman" w:hAnsi="Times New Roman" w:cs="Times New Roman"/>
              </w:rPr>
              <w:t>sampling frame / candidate pool / target population / benchmark population</w:t>
            </w:r>
          </w:p>
        </w:tc>
      </w:tr>
      <w:tr>
        <w:tc>
          <w:tcPr>
            <w:tcW w:type="dxa" w:w="1872"/>
            <w:tcMar>
              <w:top w:w="100" w:type="dxa"/>
              <w:bottom w:w="100" w:type="dxa"/>
              <w:left w:w="130" w:type="dxa"/>
              <w:right w:w="130" w:type="dxa"/>
            </w:tcMar>
          </w:tcPr>
          <w:p>
            <w:pPr>
              <w:spacing w:before="40" w:after="40" w:line="252" w:lineRule="auto"/>
              <w:jc w:val="left"/>
            </w:pPr>
            <w:r/>
            <w:r>
              <w:rPr>
                <w:rFonts w:ascii="Times New Roman" w:hAnsi="Times New Roman"/>
                <w:b w:val="0"/>
                <w:i w:val="0"/>
                <w:color w:val="000000"/>
                <w:sz w:val="24"/>
                <w:rFonts w:ascii="Times New Roman" w:hAnsi="Times New Roman" w:cs="Times New Roman"/>
              </w:rPr>
              <w:t>Chp IV (Seasonality)</w:t>
            </w:r>
          </w:p>
        </w:tc>
        <w:tc>
          <w:tcPr>
            <w:tcW w:type="dxa" w:w="2592"/>
            <w:tcMar>
              <w:top w:w="100" w:type="dxa"/>
              <w:bottom w:w="100" w:type="dxa"/>
              <w:left w:w="130" w:type="dxa"/>
              <w:right w:w="130" w:type="dxa"/>
            </w:tcMar>
          </w:tcPr>
          <w:p>
            <w:pPr>
              <w:spacing w:before="40" w:after="40" w:line="252" w:lineRule="auto"/>
              <w:jc w:val="left"/>
            </w:pPr>
            <w:r/>
            <w:r>
              <w:rPr>
                <w:rFonts w:ascii="Times New Roman" w:hAnsi="Times New Roman"/>
                <w:b w:val="0"/>
                <w:i w:val="0"/>
                <w:color w:val="000000"/>
                <w:sz w:val="24"/>
                <w:rFonts w:ascii="Times New Roman" w:hAnsi="Times New Roman" w:cs="Times New Roman"/>
              </w:rPr>
              <w:t>so like for like is being compared</w:t>
            </w:r>
          </w:p>
        </w:tc>
        <w:tc>
          <w:tcPr>
            <w:tcW w:type="dxa" w:w="2592"/>
            <w:tcMar>
              <w:top w:w="100" w:type="dxa"/>
              <w:bottom w:w="100" w:type="dxa"/>
              <w:left w:w="130" w:type="dxa"/>
              <w:right w:w="130" w:type="dxa"/>
            </w:tcMar>
          </w:tcPr>
          <w:p>
            <w:pPr>
              <w:spacing w:before="40" w:after="40" w:line="252" w:lineRule="auto"/>
              <w:jc w:val="left"/>
            </w:pPr>
            <w:r/>
            <w:r>
              <w:rPr>
                <w:rFonts w:ascii="Times New Roman" w:hAnsi="Times New Roman"/>
                <w:b w:val="0"/>
                <w:i w:val="0"/>
                <w:color w:val="000000"/>
                <w:sz w:val="24"/>
                <w:rFonts w:ascii="Times New Roman" w:hAnsi="Times New Roman" w:cs="Times New Roman"/>
              </w:rPr>
              <w:t>'Like for like' is informal business idiom.</w:t>
            </w:r>
          </w:p>
        </w:tc>
        <w:tc>
          <w:tcPr>
            <w:tcW w:type="dxa" w:w="2592"/>
            <w:tcMar>
              <w:top w:w="100" w:type="dxa"/>
              <w:bottom w:w="100" w:type="dxa"/>
              <w:left w:w="130" w:type="dxa"/>
              <w:right w:w="130" w:type="dxa"/>
            </w:tcMar>
          </w:tcPr>
          <w:p>
            <w:pPr>
              <w:spacing w:before="40" w:after="40" w:line="252" w:lineRule="auto"/>
              <w:jc w:val="left"/>
            </w:pPr>
            <w:r/>
            <w:r>
              <w:rPr>
                <w:rFonts w:ascii="Times New Roman" w:hAnsi="Times New Roman"/>
                <w:b w:val="0"/>
                <w:i w:val="0"/>
                <w:color w:val="000000"/>
                <w:sz w:val="24"/>
                <w:rFonts w:ascii="Times New Roman" w:hAnsi="Times New Roman" w:cs="Times New Roman"/>
              </w:rPr>
              <w:t>benchmarked across equivalent operational conditions</w:t>
            </w:r>
          </w:p>
        </w:tc>
      </w:tr>
      <w:tr>
        <w:tc>
          <w:tcPr>
            <w:tcW w:type="dxa" w:w="1872"/>
            <w:tcMar>
              <w:top w:w="100" w:type="dxa"/>
              <w:bottom w:w="100" w:type="dxa"/>
              <w:left w:w="130" w:type="dxa"/>
              <w:right w:w="130" w:type="dxa"/>
            </w:tcMar>
          </w:tcPr>
          <w:p>
            <w:pPr>
              <w:spacing w:before="40" w:after="40" w:line="252" w:lineRule="auto"/>
              <w:jc w:val="left"/>
            </w:pPr>
            <w:r/>
            <w:r>
              <w:rPr>
                <w:rFonts w:ascii="Times New Roman" w:hAnsi="Times New Roman"/>
                <w:b w:val="0"/>
                <w:i w:val="0"/>
                <w:color w:val="000000"/>
                <w:sz w:val="24"/>
                <w:rFonts w:ascii="Times New Roman" w:hAnsi="Times New Roman" w:cs="Times New Roman"/>
              </w:rPr>
              <w:t>Chp IV (Staffing Buffer)</w:t>
            </w:r>
          </w:p>
        </w:tc>
        <w:tc>
          <w:tcPr>
            <w:tcW w:type="dxa" w:w="2592"/>
            <w:tcMar>
              <w:top w:w="100" w:type="dxa"/>
              <w:bottom w:w="100" w:type="dxa"/>
              <w:left w:w="130" w:type="dxa"/>
              <w:right w:w="130" w:type="dxa"/>
            </w:tcMar>
          </w:tcPr>
          <w:p>
            <w:pPr>
              <w:spacing w:before="40" w:after="40" w:line="252" w:lineRule="auto"/>
              <w:jc w:val="left"/>
            </w:pPr>
            <w:r/>
            <w:r>
              <w:rPr>
                <w:rFonts w:ascii="Times New Roman" w:hAnsi="Times New Roman"/>
                <w:b w:val="0"/>
                <w:i w:val="0"/>
                <w:color w:val="000000"/>
                <w:sz w:val="24"/>
                <w:rFonts w:ascii="Times New Roman" w:hAnsi="Times New Roman" w:cs="Times New Roman"/>
              </w:rPr>
              <w:t>Wordy 5-sentence passage repeating volatility cushion twice.</w:t>
            </w:r>
          </w:p>
        </w:tc>
        <w:tc>
          <w:tcPr>
            <w:tcW w:type="dxa" w:w="2592"/>
            <w:tcMar>
              <w:top w:w="100" w:type="dxa"/>
              <w:bottom w:w="100" w:type="dxa"/>
              <w:left w:w="130" w:type="dxa"/>
              <w:right w:w="130" w:type="dxa"/>
            </w:tcMar>
          </w:tcPr>
          <w:p>
            <w:pPr>
              <w:spacing w:before="40" w:after="40" w:line="252" w:lineRule="auto"/>
              <w:jc w:val="left"/>
            </w:pPr>
            <w:r/>
            <w:r>
              <w:rPr>
                <w:rFonts w:ascii="Times New Roman" w:hAnsi="Times New Roman"/>
                <w:b w:val="0"/>
                <w:i w:val="0"/>
                <w:color w:val="000000"/>
                <w:sz w:val="24"/>
                <w:rFonts w:ascii="Times New Roman" w:hAnsi="Times New Roman" w:cs="Times New Roman"/>
              </w:rPr>
              <w:t>Redundancy between sentences 3 and 4; verbose explanations.</w:t>
            </w:r>
          </w:p>
        </w:tc>
        <w:tc>
          <w:tcPr>
            <w:tcW w:type="dxa" w:w="2592"/>
            <w:tcMar>
              <w:top w:w="100" w:type="dxa"/>
              <w:bottom w:w="100" w:type="dxa"/>
              <w:left w:w="130" w:type="dxa"/>
              <w:right w:w="130" w:type="dxa"/>
            </w:tcMar>
          </w:tcPr>
          <w:p>
            <w:pPr>
              <w:spacing w:before="40" w:after="40" w:line="252" w:lineRule="auto"/>
              <w:jc w:val="left"/>
            </w:pPr>
            <w:r/>
            <w:r>
              <w:rPr>
                <w:rFonts w:ascii="Times New Roman" w:hAnsi="Times New Roman"/>
                <w:b w:val="0"/>
                <w:i w:val="0"/>
                <w:color w:val="000000"/>
                <w:sz w:val="24"/>
                <w:rFonts w:ascii="Times New Roman" w:hAnsi="Times New Roman" w:cs="Times New Roman"/>
              </w:rPr>
              <w:t>Streamlined 2-sentence paragraph cutting word count by 49%.</w:t>
            </w:r>
          </w:p>
        </w:tc>
      </w:tr>
      <w:tr>
        <w:tc>
          <w:tcPr>
            <w:tcW w:type="dxa" w:w="1872"/>
            <w:tcMar>
              <w:top w:w="100" w:type="dxa"/>
              <w:bottom w:w="100" w:type="dxa"/>
              <w:left w:w="130" w:type="dxa"/>
              <w:right w:w="130" w:type="dxa"/>
            </w:tcMar>
          </w:tcPr>
          <w:p>
            <w:pPr>
              <w:spacing w:before="40" w:after="40" w:line="252" w:lineRule="auto"/>
              <w:jc w:val="left"/>
            </w:pPr>
            <w:r/>
            <w:r>
              <w:rPr>
                <w:rFonts w:ascii="Times New Roman" w:hAnsi="Times New Roman"/>
                <w:b w:val="0"/>
                <w:i w:val="0"/>
                <w:color w:val="000000"/>
                <w:sz w:val="24"/>
                <w:rFonts w:ascii="Times New Roman" w:hAnsi="Times New Roman" w:cs="Times New Roman"/>
              </w:rPr>
              <w:t>Chp IV (Purge Buffer)</w:t>
            </w:r>
          </w:p>
        </w:tc>
        <w:tc>
          <w:tcPr>
            <w:tcW w:type="dxa" w:w="2592"/>
            <w:tcMar>
              <w:top w:w="100" w:type="dxa"/>
              <w:bottom w:w="100" w:type="dxa"/>
              <w:left w:w="130" w:type="dxa"/>
              <w:right w:w="130" w:type="dxa"/>
            </w:tcMar>
          </w:tcPr>
          <w:p>
            <w:pPr>
              <w:spacing w:before="40" w:after="40" w:line="252" w:lineRule="auto"/>
              <w:jc w:val="left"/>
            </w:pPr>
            <w:r/>
            <w:r>
              <w:rPr>
                <w:rFonts w:ascii="Times New Roman" w:hAnsi="Times New Roman"/>
                <w:b w:val="0"/>
                <w:i w:val="0"/>
                <w:color w:val="000000"/>
                <w:sz w:val="24"/>
                <w:rFonts w:ascii="Times New Roman" w:hAnsi="Times New Roman" w:cs="Times New Roman"/>
              </w:rPr>
              <w:t>Unexplained 7-day operational purge buffer.</w:t>
            </w:r>
          </w:p>
        </w:tc>
        <w:tc>
          <w:tcPr>
            <w:tcW w:type="dxa" w:w="2592"/>
            <w:tcMar>
              <w:top w:w="100" w:type="dxa"/>
              <w:bottom w:w="100" w:type="dxa"/>
              <w:left w:w="130" w:type="dxa"/>
              <w:right w:w="130" w:type="dxa"/>
            </w:tcMar>
          </w:tcPr>
          <w:p>
            <w:pPr>
              <w:spacing w:before="40" w:after="40" w:line="252" w:lineRule="auto"/>
              <w:jc w:val="left"/>
            </w:pPr>
            <w:r/>
            <w:r>
              <w:rPr>
                <w:rFonts w:ascii="Times New Roman" w:hAnsi="Times New Roman"/>
                <w:b w:val="0"/>
                <w:i w:val="0"/>
                <w:color w:val="000000"/>
                <w:sz w:val="24"/>
                <w:rFonts w:ascii="Times New Roman" w:hAnsi="Times New Roman" w:cs="Times New Roman"/>
              </w:rPr>
              <w:t>Committee requires justification for why 7-day quarantine prevents leakage.</w:t>
            </w:r>
          </w:p>
        </w:tc>
        <w:tc>
          <w:tcPr>
            <w:tcW w:type="dxa" w:w="2592"/>
            <w:tcMar>
              <w:top w:w="100" w:type="dxa"/>
              <w:bottom w:w="100" w:type="dxa"/>
              <w:left w:w="130" w:type="dxa"/>
              <w:right w:w="130" w:type="dxa"/>
            </w:tcMar>
          </w:tcPr>
          <w:p>
            <w:pPr>
              <w:spacing w:before="40" w:after="40" w:line="252" w:lineRule="auto"/>
              <w:jc w:val="left"/>
            </w:pPr>
            <w:r/>
            <w:r>
              <w:rPr>
                <w:rFonts w:ascii="Times New Roman" w:hAnsi="Times New Roman"/>
                <w:b w:val="0"/>
                <w:i w:val="0"/>
                <w:color w:val="000000"/>
                <w:sz w:val="24"/>
                <w:rFonts w:ascii="Times New Roman" w:hAnsi="Times New Roman" w:cs="Times New Roman"/>
              </w:rPr>
              <w:t>Added comprehensive paragraph on severing 168-hour autoregressive memory.</w:t>
            </w:r>
          </w:p>
        </w:tc>
      </w:tr>
    </w:tbl>
    <w:p>
      <w:pPr>
        <w:spacing w:before="80" w:after="240" w:line="276" w:lineRule="auto"/>
      </w:pPr>
      <w:r>
        <w:rPr>
          <w:rFonts w:ascii="Times New Roman" w:hAnsi="Times New Roman"/>
          <w:i/>
          <w:color w:val="000000"/>
          <w:sz w:val="24"/>
        </w:rPr>
        <w:t xml:space="preserve">Note. </w:t>
      </w:r>
      <w:r>
        <w:rPr>
          <w:rFonts w:ascii="Times New Roman" w:hAnsi="Times New Roman"/>
          <w:color w:val="000000"/>
          <w:sz w:val="24"/>
        </w:rPr>
        <w:t>All revisions strictly adhere to APA 7th edition formatting in Times New Roman 12 pt font and black text.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