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ED8D9F0" w14:textId="77777777" w:rsidR="00C47448" w:rsidRDefault="00000000">
      <w:pPr>
        <w:spacing w:after="80"/>
      </w:pPr>
      <w:r>
        <w:rPr>
          <w:rFonts w:cs="Times New Roman"/>
          <w:b/>
        </w:rPr>
        <w:t>Chapter III: Design and Procedures (Figure 3 Accompaniment / Replacement)</w:t>
      </w:r>
    </w:p>
    <w:p w14:paraId="302D8296" w14:textId="63A91C25" w:rsidR="00C47448" w:rsidRDefault="00000000">
      <w:pPr>
        <w:spacing w:after="240"/>
        <w:rPr>
          <w:rFonts w:cs="Times New Roman"/>
          <w:i/>
        </w:rPr>
      </w:pPr>
      <w:r>
        <w:rPr>
          <w:rFonts w:cs="Times New Roman"/>
          <w:i/>
        </w:rPr>
        <w:t>Insertion Location: Chapter III, Section 'Design and Procedure Phases', directly above or replacing Figure 3 (Paragraphs 28–31).</w:t>
      </w:r>
    </w:p>
    <w:p w14:paraId="1D493D97" w14:textId="0BA4668A" w:rsidR="009C277E" w:rsidRPr="009C277E" w:rsidRDefault="009C277E">
      <w:pPr>
        <w:spacing w:after="240"/>
        <w:rPr>
          <w:rFonts w:cs="Times New Roman"/>
          <w:i/>
        </w:rPr>
      </w:pPr>
      <w:r w:rsidRPr="009C277E">
        <w:rPr>
          <w:rFonts w:cs="Times New Roman"/>
          <w:i/>
          <w:highlight w:val="yellow"/>
        </w:rPr>
        <w:t>REDO</w:t>
      </w:r>
    </w:p>
    <w:p w14:paraId="5CF78962" w14:textId="77777777" w:rsidR="00C47448" w:rsidRDefault="00000000">
      <w:pPr>
        <w:spacing w:before="240" w:after="40"/>
      </w:pPr>
      <w:r>
        <w:rPr>
          <w:rFonts w:cs="Times New Roman"/>
          <w:b/>
        </w:rPr>
        <w:t>Table 3.1</w:t>
      </w:r>
    </w:p>
    <w:p w14:paraId="1F5E6D17" w14:textId="77777777" w:rsidR="00C47448" w:rsidRDefault="00000000">
      <w:pPr>
        <w:spacing w:after="120"/>
      </w:pPr>
      <w:r>
        <w:rPr>
          <w:rFonts w:cs="Times New Roman"/>
          <w:i/>
        </w:rPr>
        <w:t>Sequential Four-Phase Methodology and Results Operational Architecture</w:t>
      </w:r>
    </w:p>
    <w:tbl>
      <w:tblPr>
        <w:tblW w:w="0" w:type="auto"/>
        <w:jc w:val="center"/>
        <w:tblBorders>
          <w:top w:val="single" w:sz="8" w:space="0" w:color="000000"/>
          <w:bottom w:val="single" w:sz="8" w:space="0" w:color="000000"/>
        </w:tblBorders>
        <w:tblLook w:val="04A0" w:firstRow="1" w:lastRow="0" w:firstColumn="1" w:lastColumn="0" w:noHBand="0" w:noVBand="1"/>
      </w:tblPr>
      <w:tblGrid>
        <w:gridCol w:w="2085"/>
        <w:gridCol w:w="2443"/>
        <w:gridCol w:w="2710"/>
        <w:gridCol w:w="2382"/>
      </w:tblGrid>
      <w:tr w:rsidR="00C47448" w14:paraId="56747FD1" w14:textId="77777777">
        <w:trPr>
          <w:jc w:val="center"/>
        </w:trPr>
        <w:tc>
          <w:tcPr>
            <w:tcW w:w="2160" w:type="dxa"/>
            <w:tcBorders>
              <w:bottom w:val="single" w:sz="6" w:space="0" w:color="000000"/>
            </w:tcBorders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048BC1D5" w14:textId="77777777" w:rsidR="00C47448" w:rsidRDefault="00000000">
            <w:pPr>
              <w:spacing w:before="40" w:after="40" w:line="252" w:lineRule="auto"/>
            </w:pPr>
            <w:r>
              <w:rPr>
                <w:rFonts w:cs="Times New Roman"/>
                <w:b/>
              </w:rPr>
              <w:t>Phase &amp; Title</w:t>
            </w:r>
          </w:p>
        </w:tc>
        <w:tc>
          <w:tcPr>
            <w:tcW w:w="2592" w:type="dxa"/>
            <w:tcBorders>
              <w:bottom w:val="single" w:sz="6" w:space="0" w:color="000000"/>
            </w:tcBorders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0097BDE2" w14:textId="77777777" w:rsidR="00C47448" w:rsidRDefault="00000000">
            <w:pPr>
              <w:spacing w:before="40" w:after="40" w:line="252" w:lineRule="auto"/>
            </w:pPr>
            <w:r>
              <w:rPr>
                <w:rFonts w:cs="Times New Roman"/>
                <w:b/>
              </w:rPr>
              <w:t>Operational Inputs &amp; Data Sources</w:t>
            </w:r>
          </w:p>
        </w:tc>
        <w:tc>
          <w:tcPr>
            <w:tcW w:w="2880" w:type="dxa"/>
            <w:tcBorders>
              <w:bottom w:val="single" w:sz="6" w:space="0" w:color="000000"/>
            </w:tcBorders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585C2EBD" w14:textId="77777777" w:rsidR="00C47448" w:rsidRDefault="00000000">
            <w:pPr>
              <w:spacing w:before="40" w:after="40" w:line="252" w:lineRule="auto"/>
            </w:pPr>
            <w:r>
              <w:rPr>
                <w:rFonts w:cs="Times New Roman"/>
                <w:b/>
              </w:rPr>
              <w:t>Core Methodological Specifications</w:t>
            </w:r>
          </w:p>
        </w:tc>
        <w:tc>
          <w:tcPr>
            <w:tcW w:w="2448" w:type="dxa"/>
            <w:tcBorders>
              <w:bottom w:val="single" w:sz="6" w:space="0" w:color="000000"/>
            </w:tcBorders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6379E5DF" w14:textId="77777777" w:rsidR="00C47448" w:rsidRDefault="00000000">
            <w:pPr>
              <w:spacing w:before="40" w:after="40" w:line="252" w:lineRule="auto"/>
            </w:pPr>
            <w:r>
              <w:rPr>
                <w:rFonts w:cs="Times New Roman"/>
                <w:b/>
              </w:rPr>
              <w:t>Empirical Outputs &amp; Findings</w:t>
            </w:r>
          </w:p>
        </w:tc>
      </w:tr>
      <w:tr w:rsidR="00C47448" w14:paraId="7F05EA61" w14:textId="77777777">
        <w:trPr>
          <w:jc w:val="center"/>
        </w:trPr>
        <w:tc>
          <w:tcPr>
            <w:tcW w:w="2160" w:type="dxa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4E584CAB" w14:textId="77777777" w:rsidR="00C47448" w:rsidRDefault="00000000">
            <w:pPr>
              <w:spacing w:before="40" w:after="40" w:line="252" w:lineRule="auto"/>
            </w:pPr>
            <w:r>
              <w:rPr>
                <w:rFonts w:cs="Times New Roman"/>
              </w:rPr>
              <w:t>Phase 1: Ingestion &amp; Harmonization (ETL)</w:t>
            </w:r>
          </w:p>
        </w:tc>
        <w:tc>
          <w:tcPr>
            <w:tcW w:w="2592" w:type="dxa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2C820A7F" w14:textId="77777777" w:rsidR="00C47448" w:rsidRDefault="00000000">
            <w:pPr>
              <w:spacing w:before="40" w:after="40" w:line="252" w:lineRule="auto"/>
            </w:pPr>
            <w:r>
              <w:rPr>
                <w:rFonts w:cs="Times New Roman"/>
              </w:rPr>
              <w:t>• TSA Checkpoint Passenger Records (2019–2025)</w:t>
            </w:r>
            <w:r>
              <w:rPr>
                <w:rFonts w:cs="Times New Roman"/>
              </w:rPr>
              <w:br/>
              <w:t>• BTS Form 234 On-Time Performance (13.15M flights)</w:t>
            </w:r>
            <w:r>
              <w:rPr>
                <w:rFonts w:cs="Times New Roman"/>
              </w:rPr>
              <w:br/>
              <w:t>• BTS DB1B 10% Ticket Survey</w:t>
            </w:r>
            <w:r>
              <w:rPr>
                <w:rFonts w:cs="Times New Roman"/>
              </w:rPr>
              <w:br/>
              <w:t>• FAA ASPM Environmental Data</w:t>
            </w:r>
          </w:p>
        </w:tc>
        <w:tc>
          <w:tcPr>
            <w:tcW w:w="2880" w:type="dxa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13D983D4" w14:textId="77777777" w:rsidR="00C47448" w:rsidRDefault="00000000">
            <w:pPr>
              <w:spacing w:before="40" w:after="40" w:line="252" w:lineRule="auto"/>
            </w:pPr>
            <w:r>
              <w:rPr>
                <w:rFonts w:cs="Times New Roman"/>
              </w:rPr>
              <w:t>• Multi-source relational alignment across 15-min and 60-min bins</w:t>
            </w:r>
            <w:r>
              <w:rPr>
                <w:rFonts w:cs="Times New Roman"/>
              </w:rPr>
              <w:br/>
              <w:t>• DB1B airside transfer deflation to isolate checkpoint demand</w:t>
            </w:r>
            <w:r>
              <w:rPr>
                <w:rFonts w:cs="Times New Roman"/>
              </w:rPr>
              <w:br/>
              <w:t>• Four-Tier Cohort Filtering (Macro, Meso, Micro, Factorial)</w:t>
            </w:r>
            <w:r>
              <w:rPr>
                <w:rFonts w:cs="Times New Roman"/>
              </w:rPr>
              <w:br/>
              <w:t>• Empirical fitting of ACRP Report 40 lognormal arrival profiles</w:t>
            </w:r>
          </w:p>
        </w:tc>
        <w:tc>
          <w:tcPr>
            <w:tcW w:w="2448" w:type="dxa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1AA31FC1" w14:textId="77777777" w:rsidR="00C47448" w:rsidRDefault="00000000">
            <w:pPr>
              <w:spacing w:before="40" w:after="40" w:line="252" w:lineRule="auto"/>
            </w:pPr>
            <w:r>
              <w:rPr>
                <w:rFonts w:cs="Times New Roman"/>
              </w:rPr>
              <w:t>• Harmonized multi-year panel dataset</w:t>
            </w:r>
            <w:r>
              <w:rPr>
                <w:rFonts w:cs="Times New Roman"/>
              </w:rPr>
              <w:br/>
              <w:t>• Balanced 9-Airport Experimental Cohort</w:t>
            </w:r>
            <w:r>
              <w:rPr>
                <w:rFonts w:cs="Times New Roman"/>
              </w:rPr>
              <w:br/>
              <w:t>• Airport-specific airside connecting transfer deflator weights</w:t>
            </w:r>
          </w:p>
        </w:tc>
      </w:tr>
      <w:tr w:rsidR="00C47448" w14:paraId="0B62CD12" w14:textId="77777777">
        <w:trPr>
          <w:jc w:val="center"/>
        </w:trPr>
        <w:tc>
          <w:tcPr>
            <w:tcW w:w="2160" w:type="dxa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20FD7F14" w14:textId="77777777" w:rsidR="00C47448" w:rsidRDefault="00000000">
            <w:pPr>
              <w:spacing w:before="40" w:after="40" w:line="252" w:lineRule="auto"/>
            </w:pPr>
            <w:r>
              <w:rPr>
                <w:rFonts w:cs="Times New Roman"/>
              </w:rPr>
              <w:t>Phase 2: Model Architecture &amp; Calibration</w:t>
            </w:r>
          </w:p>
        </w:tc>
        <w:tc>
          <w:tcPr>
            <w:tcW w:w="2592" w:type="dxa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3800F510" w14:textId="77777777" w:rsidR="00C47448" w:rsidRDefault="00000000">
            <w:pPr>
              <w:spacing w:before="40" w:after="40" w:line="252" w:lineRule="auto"/>
            </w:pPr>
            <w:r>
              <w:rPr>
                <w:rFonts w:cs="Times New Roman"/>
              </w:rPr>
              <w:t>• Pre-processed development partition (2021–2024)</w:t>
            </w:r>
            <w:r>
              <w:rPr>
                <w:rFonts w:cs="Times New Roman"/>
              </w:rPr>
              <w:br/>
              <w:t>• Published carrier flight schedules</w:t>
            </w:r>
            <w:r>
              <w:rPr>
                <w:rFonts w:cs="Times New Roman"/>
              </w:rPr>
              <w:br/>
              <w:t>• Diurnal &amp; seasonal cyclical indices</w:t>
            </w:r>
            <w:r>
              <w:rPr>
                <w:rFonts w:cs="Times New Roman"/>
              </w:rPr>
              <w:br/>
              <w:t>• Upstream flight delay indicators</w:t>
            </w:r>
          </w:p>
        </w:tc>
        <w:tc>
          <w:tcPr>
            <w:tcW w:w="2880" w:type="dxa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17C635A4" w14:textId="77777777" w:rsidR="00C47448" w:rsidRDefault="00000000">
            <w:pPr>
              <w:spacing w:before="40" w:after="40" w:line="252" w:lineRule="auto"/>
            </w:pPr>
            <w:r>
              <w:rPr>
                <w:rFonts w:cs="Times New Roman"/>
              </w:rPr>
              <w:t>• Calibration of four candidate architectures:</w:t>
            </w:r>
            <w:r>
              <w:rPr>
                <w:rFonts w:cs="Times New Roman"/>
              </w:rPr>
              <w:br/>
              <w:t xml:space="preserve">  - Baseline Control (M0: Daily Persistence)</w:t>
            </w:r>
            <w:r>
              <w:rPr>
                <w:rFonts w:cs="Times New Roman"/>
              </w:rPr>
              <w:br/>
              <w:t xml:space="preserve">  - Model 1 (M1: Deterministic ACRP 40 Schedule Base)</w:t>
            </w:r>
            <w:r>
              <w:rPr>
                <w:rFonts w:cs="Times New Roman"/>
              </w:rPr>
              <w:br/>
              <w:t xml:space="preserve">  - Model 2 (M2: Supervised GBDT / LightGBM)</w:t>
            </w:r>
            <w:r>
              <w:rPr>
                <w:rFonts w:cs="Times New Roman"/>
              </w:rPr>
              <w:br/>
              <w:t xml:space="preserve">  - Model 3 (M3: Dynamic Two-Stage Hybrid)</w:t>
            </w:r>
            <w:r>
              <w:rPr>
                <w:rFonts w:cs="Times New Roman"/>
              </w:rPr>
              <w:br/>
              <w:t>• 15,976 training complex-days &amp; 3,293 validation complex-days</w:t>
            </w:r>
            <w:r>
              <w:rPr>
                <w:rFonts w:cs="Times New Roman"/>
              </w:rPr>
              <w:br/>
              <w:t xml:space="preserve">• 7-Day Operational </w:t>
            </w:r>
            <w:r>
              <w:rPr>
                <w:rFonts w:cs="Times New Roman"/>
              </w:rPr>
              <w:lastRenderedPageBreak/>
              <w:t>Purge Buffer (zero autoregressive leakage)</w:t>
            </w:r>
          </w:p>
        </w:tc>
        <w:tc>
          <w:tcPr>
            <w:tcW w:w="2448" w:type="dxa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2A048B5A" w14:textId="77777777" w:rsidR="00C47448" w:rsidRDefault="00000000">
            <w:pPr>
              <w:spacing w:before="40" w:after="40" w:line="252" w:lineRule="auto"/>
            </w:pPr>
            <w:r>
              <w:rPr>
                <w:rFonts w:cs="Times New Roman"/>
              </w:rPr>
              <w:lastRenderedPageBreak/>
              <w:t>• Calibrated model parameter weights</w:t>
            </w:r>
            <w:r>
              <w:rPr>
                <w:rFonts w:cs="Times New Roman"/>
              </w:rPr>
              <w:br/>
              <w:t>• Optimized hyperparameter configurations</w:t>
            </w:r>
            <w:r>
              <w:rPr>
                <w:rFonts w:cs="Times New Roman"/>
              </w:rPr>
              <w:br/>
              <w:t>• Relative feature importance rankings</w:t>
            </w:r>
            <w:r>
              <w:rPr>
                <w:rFonts w:cs="Times New Roman"/>
              </w:rPr>
              <w:br/>
              <w:t>• In-sample residual error distributions</w:t>
            </w:r>
          </w:p>
        </w:tc>
      </w:tr>
      <w:tr w:rsidR="00C47448" w14:paraId="73A6B868" w14:textId="77777777">
        <w:trPr>
          <w:jc w:val="center"/>
        </w:trPr>
        <w:tc>
          <w:tcPr>
            <w:tcW w:w="2160" w:type="dxa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6861E90E" w14:textId="77777777" w:rsidR="00C47448" w:rsidRDefault="00000000">
            <w:pPr>
              <w:spacing w:before="40" w:after="40" w:line="252" w:lineRule="auto"/>
            </w:pPr>
            <w:r>
              <w:rPr>
                <w:rFonts w:cs="Times New Roman"/>
              </w:rPr>
              <w:t>Phase 3: Out-of-Time Holdout Evaluation</w:t>
            </w:r>
          </w:p>
        </w:tc>
        <w:tc>
          <w:tcPr>
            <w:tcW w:w="2592" w:type="dxa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0F369CCC" w14:textId="77777777" w:rsidR="00C47448" w:rsidRDefault="00000000">
            <w:pPr>
              <w:spacing w:before="40" w:after="40" w:line="252" w:lineRule="auto"/>
            </w:pPr>
            <w:r>
              <w:rPr>
                <w:rFonts w:cs="Times New Roman"/>
              </w:rPr>
              <w:t>• Untouched 2025 Full-Year Prospective Holdout (3,285 complex-days)</w:t>
            </w:r>
            <w:r>
              <w:rPr>
                <w:rFonts w:cs="Times New Roman"/>
              </w:rPr>
              <w:br/>
              <w:t>• Convective thunderstorm ground stops</w:t>
            </w:r>
            <w:r>
              <w:rPr>
                <w:rFonts w:cs="Times New Roman"/>
              </w:rPr>
              <w:br/>
              <w:t>• Flight bank clustering shocks</w:t>
            </w:r>
          </w:p>
        </w:tc>
        <w:tc>
          <w:tcPr>
            <w:tcW w:w="2880" w:type="dxa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3D2A085D" w14:textId="77777777" w:rsidR="00C47448" w:rsidRDefault="00000000">
            <w:pPr>
              <w:spacing w:before="40" w:after="40" w:line="252" w:lineRule="auto"/>
            </w:pPr>
            <w:r>
              <w:rPr>
                <w:rFonts w:cs="Times New Roman"/>
              </w:rPr>
              <w:t>• Prospective, forward-looking execution across three regimes:</w:t>
            </w:r>
            <w:r>
              <w:rPr>
                <w:rFonts w:cs="Times New Roman"/>
              </w:rPr>
              <w:br/>
              <w:t xml:space="preserve">  - Nominal Operating Conditions</w:t>
            </w:r>
            <w:r>
              <w:rPr>
                <w:rFonts w:cs="Times New Roman"/>
              </w:rPr>
              <w:br/>
              <w:t xml:space="preserve">  - Routine Seasonal Peak Regimes</w:t>
            </w:r>
            <w:r>
              <w:rPr>
                <w:rFonts w:cs="Times New Roman"/>
              </w:rPr>
              <w:br/>
              <w:t xml:space="preserve">  - Acute Irregular Disruption Shocks</w:t>
            </w:r>
            <w:r>
              <w:rPr>
                <w:rFonts w:cs="Times New Roman"/>
              </w:rPr>
              <w:br/>
              <w:t>• Benchmarking across the Evaluation Triad:</w:t>
            </w:r>
            <w:r>
              <w:rPr>
                <w:rFonts w:cs="Times New Roman"/>
              </w:rPr>
              <w:br/>
              <w:t xml:space="preserve">  1. Nominal Accuracy (R2, RMSE, MAE)</w:t>
            </w:r>
            <w:r>
              <w:rPr>
                <w:rFonts w:cs="Times New Roman"/>
              </w:rPr>
              <w:br/>
              <w:t xml:space="preserve">  2. Disruption Resilience (MASE, Peak Error)</w:t>
            </w:r>
            <w:r>
              <w:rPr>
                <w:rFonts w:cs="Times New Roman"/>
              </w:rPr>
              <w:br/>
              <w:t xml:space="preserve">  3. Zero-Shot Generalizability (Spatial Portability)</w:t>
            </w:r>
          </w:p>
        </w:tc>
        <w:tc>
          <w:tcPr>
            <w:tcW w:w="2448" w:type="dxa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108FB1DA" w14:textId="77777777" w:rsidR="00C47448" w:rsidRDefault="00000000">
            <w:pPr>
              <w:spacing w:before="40" w:after="40" w:line="252" w:lineRule="auto"/>
            </w:pPr>
            <w:r>
              <w:rPr>
                <w:rFonts w:cs="Times New Roman"/>
              </w:rPr>
              <w:t>• Prospective diurnal volatility forecasts (σTSA, hr)</w:t>
            </w:r>
            <w:r>
              <w:rPr>
                <w:rFonts w:cs="Times New Roman"/>
              </w:rPr>
              <w:br/>
              <w:t>• Scale-free relative volatility forecasts (CVTSA, hr)</w:t>
            </w:r>
            <w:r>
              <w:rPr>
                <w:rFonts w:cs="Times New Roman"/>
              </w:rPr>
              <w:br/>
              <w:t>• Quantified operational error metrics</w:t>
            </w:r>
            <w:r>
              <w:rPr>
                <w:rFonts w:cs="Times New Roman"/>
              </w:rPr>
              <w:br/>
              <w:t>• Cross-regime performance scorecards</w:t>
            </w:r>
          </w:p>
        </w:tc>
      </w:tr>
      <w:tr w:rsidR="00C47448" w14:paraId="438BA156" w14:textId="77777777">
        <w:trPr>
          <w:jc w:val="center"/>
        </w:trPr>
        <w:tc>
          <w:tcPr>
            <w:tcW w:w="2160" w:type="dxa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5DFD612B" w14:textId="77777777" w:rsidR="00C47448" w:rsidRDefault="00000000">
            <w:pPr>
              <w:spacing w:before="40" w:after="40" w:line="252" w:lineRule="auto"/>
            </w:pPr>
            <w:r>
              <w:rPr>
                <w:rFonts w:cs="Times New Roman"/>
              </w:rPr>
              <w:t>Phase 4: Comparative Synthesis &amp; Findings</w:t>
            </w:r>
          </w:p>
        </w:tc>
        <w:tc>
          <w:tcPr>
            <w:tcW w:w="2592" w:type="dxa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5C85A455" w14:textId="77777777" w:rsidR="00C47448" w:rsidRDefault="00000000">
            <w:pPr>
              <w:spacing w:before="40" w:after="40" w:line="252" w:lineRule="auto"/>
            </w:pPr>
            <w:r>
              <w:rPr>
                <w:rFonts w:cs="Times New Roman"/>
              </w:rPr>
              <w:t>• Prospective holdout forecast errors</w:t>
            </w:r>
            <w:r>
              <w:rPr>
                <w:rFonts w:cs="Times New Roman"/>
              </w:rPr>
              <w:br/>
              <w:t>• Checkpoint lane physical constraints</w:t>
            </w:r>
            <w:r>
              <w:rPr>
                <w:rFonts w:cs="Times New Roman"/>
              </w:rPr>
              <w:br/>
              <w:t>• TSA screening staffing cost matrices</w:t>
            </w:r>
          </w:p>
        </w:tc>
        <w:tc>
          <w:tcPr>
            <w:tcW w:w="2880" w:type="dxa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0DFE386F" w14:textId="77777777" w:rsidR="00C47448" w:rsidRDefault="00000000">
            <w:pPr>
              <w:spacing w:before="40" w:after="40" w:line="252" w:lineRule="auto"/>
            </w:pPr>
            <w:r>
              <w:rPr>
                <w:rFonts w:cs="Times New Roman"/>
              </w:rPr>
              <w:t>• Pairwise Diebold-Mariano statistical superiority testing</w:t>
            </w:r>
            <w:r>
              <w:rPr>
                <w:rFonts w:cs="Times New Roman"/>
              </w:rPr>
              <w:br/>
              <w:t>• Evaluation of the Values versus Volatility paradigm</w:t>
            </w:r>
            <w:r>
              <w:rPr>
                <w:rFonts w:cs="Times New Roman"/>
              </w:rPr>
              <w:br/>
              <w:t>• Translation of predicted volatility into dynamic safety buffers</w:t>
            </w:r>
            <w:r>
              <w:rPr>
                <w:rFonts w:cs="Times New Roman"/>
              </w:rPr>
              <w:br/>
              <w:t>• Factorial cross-facility generalizability audit</w:t>
            </w:r>
          </w:p>
        </w:tc>
        <w:tc>
          <w:tcPr>
            <w:tcW w:w="2448" w:type="dxa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6CC7AED9" w14:textId="77777777" w:rsidR="00C47448" w:rsidRDefault="00000000">
            <w:pPr>
              <w:spacing w:before="40" w:after="40" w:line="252" w:lineRule="auto"/>
            </w:pPr>
            <w:r>
              <w:rPr>
                <w:rFonts w:cs="Times New Roman"/>
              </w:rPr>
              <w:t>• Empirical findings for Chapter IV</w:t>
            </w:r>
            <w:r>
              <w:rPr>
                <w:rFonts w:cs="Times New Roman"/>
              </w:rPr>
              <w:br/>
              <w:t>• Cross-airport generalizability matrix</w:t>
            </w:r>
            <w:r>
              <w:rPr>
                <w:rFonts w:cs="Times New Roman"/>
              </w:rPr>
              <w:br/>
              <w:t>• Tactical Checkpoint Staffing Playbook</w:t>
            </w:r>
            <w:r>
              <w:rPr>
                <w:rFonts w:cs="Times New Roman"/>
              </w:rPr>
              <w:br/>
              <w:t>• Recommendations for Airport Operations Centers</w:t>
            </w:r>
          </w:p>
        </w:tc>
      </w:tr>
    </w:tbl>
    <w:p w14:paraId="5EB9264C" w14:textId="77777777" w:rsidR="00C47448" w:rsidRDefault="00000000">
      <w:pPr>
        <w:spacing w:before="80" w:after="240"/>
      </w:pPr>
      <w:r>
        <w:rPr>
          <w:i/>
        </w:rPr>
        <w:t xml:space="preserve">Note. </w:t>
      </w:r>
      <w:r>
        <w:t>This sequential architecture operationalizes the research methodology from raw federal data ingestion to Chapter IV empirical synthesis. The 7-day operational purge buffer between Phases 2 and 3 guarantees strict temporal independence and zero data leakage. All candidate models are prospectively benchmarked against the untouched 2025 full-year holdout partition.</w:t>
      </w:r>
    </w:p>
    <w:sectPr w:rsidR="00C47448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34358027">
    <w:abstractNumId w:val="8"/>
  </w:num>
  <w:num w:numId="2" w16cid:durableId="348605298">
    <w:abstractNumId w:val="6"/>
  </w:num>
  <w:num w:numId="3" w16cid:durableId="884828705">
    <w:abstractNumId w:val="5"/>
  </w:num>
  <w:num w:numId="4" w16cid:durableId="1598753602">
    <w:abstractNumId w:val="4"/>
  </w:num>
  <w:num w:numId="5" w16cid:durableId="1094011637">
    <w:abstractNumId w:val="7"/>
  </w:num>
  <w:num w:numId="6" w16cid:durableId="1192690213">
    <w:abstractNumId w:val="3"/>
  </w:num>
  <w:num w:numId="7" w16cid:durableId="1562521678">
    <w:abstractNumId w:val="2"/>
  </w:num>
  <w:num w:numId="8" w16cid:durableId="1446386459">
    <w:abstractNumId w:val="1"/>
  </w:num>
  <w:num w:numId="9" w16cid:durableId="1663923232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E1D63"/>
    <w:rsid w:val="00326F90"/>
    <w:rsid w:val="009C277E"/>
    <w:rsid w:val="00AA1D8D"/>
    <w:rsid w:val="00B47730"/>
    <w:rsid w:val="00C47448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830559D"/>
  <w14:defaultImageDpi w14:val="300"/>
  <w15:docId w15:val="{8497C58D-7607-AD42-8648-6FFECBE8A0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  <w:color w:val="000000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501</Words>
  <Characters>2861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3356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Gleich, Leila</cp:lastModifiedBy>
  <cp:revision>2</cp:revision>
  <dcterms:created xsi:type="dcterms:W3CDTF">2013-12-23T23:15:00Z</dcterms:created>
  <dcterms:modified xsi:type="dcterms:W3CDTF">2026-10-11T22:43:00Z</dcterms:modified>
  <cp:category/>
</cp:coreProperties>
</file>