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Chapter III: Sample Selection / Macro &amp; Micro Categorization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cs="Times New Roman"/>
        </w:rPr>
        <w:t>Insertion Location: Chapter III, Section 'Sample' (Paragraphs 36–44) and referenced in Chapter IV Section 4.7.</w:t>
      </w:r>
    </w:p>
    <w:p>
      <w:pPr>
        <w:spacing w:before="24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Table 3.2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cs="Times New Roman"/>
        </w:rPr>
        <w:t>Four-Tier Airport Cohort Filtering Hierarchy and Factorial Matrix Balance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bottom w:val="single" w:sz="6" w:space="0" w:color="000000"/>
            </w:tcBorders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/>
              </w:rPr>
              <w:t>Selection Tier / Phase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bottom w:val="single" w:sz="6" w:space="0" w:color="000000"/>
            </w:tcBorders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/>
              </w:rPr>
              <w:t>Operational Category &amp; Objective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bottom w:val="single" w:sz="6" w:space="0" w:color="000000"/>
            </w:tcBorders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/>
              </w:rPr>
              <w:t>Methodological Inclusion &amp; Exclusion Criteria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bottom w:val="single" w:sz="6" w:space="0" w:color="000000"/>
            </w:tcBorders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/>
              </w:rPr>
              <w:t>Excluded Facilities &amp; Rationale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bottom w:val="single" w:sz="6" w:space="0" w:color="000000"/>
            </w:tcBorders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/>
              </w:rPr>
              <w:t>Retained Sample Scale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Phase 1: Macro Filter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Heavy-Traffic Scale and Checkpoint Congestion Regimes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Restricted sampling frame to high-volume commercial airfields ranked by annual scheduled seat capacity and passenger enplanements (BTS T-100). Ensures persistent queuing congestion and statistically robust sample sizes.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Excluded 425+ non-hub, small-hub, and regional airports exhibiting intermittent queuing or negligible peak-period congestion.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Top 25 U.S. Commercial Airports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Phase 2: Meso Filter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Operational Homogeneity and Infrastructure Stationarity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Required legacy network carrier hub operations and continuous reporting in BTS Form 234 delay databases. Excluded facilities undergoing major multi-year physical terminal redevelopments that induce structural non-stationarity.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Excluded Southwest Airlines-dominated airfields (e.g., MDW, DAL) due to point-to-point routing, unassigned seating dynamics, and BTS Form 234 non-reporting. Excluded SLC and SEA due to massive ongoing terminal construction.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14 Candidate Commercial Hubs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Phase 3: Micro Filter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Carrier Checkpoint Exclusivity and Structural Isolation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Isolated terminal screening complexes exhibiting ≥90% passenger volume dominance by a single legacy network carrier. Eliminates multi-carrier confounding where competing airlines share common screening lanes.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Excluded multi-carrier consolidated screening lobbies (e.g., ORD Terminal 1/2 joint zones, LAX Tom Bradley International Terminal shared security checkpoints).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10 Candidate Terminal Complexes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Phase 4: Factorial Cohort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Carrier-Archetype Factorial Matrix Balance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Constructed an orthogonal experimental matrix balancing legacy network carriers (American, Delta, United) across four physical terminal archetypes: Mega-Connecting Gateways, High-Density O&amp;D Focus, High-Reliability Fortresses, and Congested Coastal Originators.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Removed redundant terminal complexes to maintain exact 3×3 carrier-by-archetype factorial balance and prevent dominant-hub sampling bias.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/>
              </w:rPr>
              <w:t>Final 9-Airport Balanced Experimental Cohort</w:t>
            </w:r>
          </w:p>
        </w:tc>
      </w:tr>
    </w:tbl>
    <w:p>
      <w:pPr>
        <w:spacing w:before="80" w:after="240" w:line="276" w:lineRule="auto"/>
      </w:pPr>
      <w:r>
        <w:rPr>
          <w:rFonts w:ascii="Times New Roman" w:hAnsi="Times New Roman"/>
          <w:i/>
          <w:color w:val="000000"/>
          <w:sz w:val="24"/>
        </w:rPr>
        <w:t xml:space="preserve">Note. </w:t>
      </w:r>
      <w:r>
        <w:rPr>
          <w:rFonts w:ascii="Times New Roman" w:hAnsi="Times New Roman"/>
          <w:color w:val="000000"/>
          <w:sz w:val="24"/>
        </w:rPr>
        <w:t>The four-tier hierarchical filter systematically reduces the national candidate pool of 450+ commercial airfields to a methodologically balanced 9-airport factorial cohort. This design ensures that subsequent model comparisons control for carrier operational structures and physical terminal layout archetypes.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