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E1C7F" w14:textId="31A88AE7" w:rsidR="00D516A7" w:rsidRDefault="00D516A7">
      <w:pPr>
        <w:spacing w:after="80"/>
        <w:rPr>
          <w:rFonts w:cs="Times New Roman"/>
          <w:b/>
        </w:rPr>
      </w:pPr>
      <w:r>
        <w:rPr>
          <w:rFonts w:cs="Times New Roman"/>
          <w:b/>
        </w:rPr>
        <w:t>Good but Check</w:t>
      </w:r>
    </w:p>
    <w:p w14:paraId="1F9E137C" w14:textId="60637436" w:rsidR="007A6767" w:rsidRDefault="00000000">
      <w:pPr>
        <w:spacing w:after="80"/>
      </w:pPr>
      <w:r>
        <w:rPr>
          <w:rFonts w:cs="Times New Roman"/>
          <w:b/>
        </w:rPr>
        <w:t>Chapter IV: Model Development Dataset Partitions and Calibration Scale</w:t>
      </w:r>
    </w:p>
    <w:p w14:paraId="0E5E5225" w14:textId="77777777" w:rsidR="007A6767" w:rsidRDefault="00000000">
      <w:pPr>
        <w:spacing w:after="240"/>
      </w:pPr>
      <w:r>
        <w:rPr>
          <w:rFonts w:cs="Times New Roman"/>
          <w:i/>
        </w:rPr>
        <w:t>Insertion Location: Chapter IV, Section 4.8, directly above or at Paragraph 112 (P110–P114).</w:t>
      </w:r>
    </w:p>
    <w:p w14:paraId="5382091B" w14:textId="77777777" w:rsidR="007A6767" w:rsidRDefault="00000000">
      <w:pPr>
        <w:spacing w:before="240" w:after="40"/>
      </w:pPr>
      <w:r>
        <w:rPr>
          <w:rFonts w:cs="Times New Roman"/>
          <w:b/>
        </w:rPr>
        <w:t>Table 4.8</w:t>
      </w:r>
    </w:p>
    <w:p w14:paraId="3EA420B8" w14:textId="77777777" w:rsidR="007A6767" w:rsidRDefault="00000000">
      <w:pPr>
        <w:spacing w:after="120"/>
      </w:pPr>
      <w:r>
        <w:rPr>
          <w:rFonts w:cs="Times New Roman"/>
          <w:i/>
        </w:rPr>
        <w:t>Model Development Dataset Partitions, Calibration Scale, and Leakage Prevention Architecture</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713"/>
        <w:gridCol w:w="1916"/>
        <w:gridCol w:w="1617"/>
        <w:gridCol w:w="2336"/>
        <w:gridCol w:w="2038"/>
      </w:tblGrid>
      <w:tr w:rsidR="007A6767" w14:paraId="0CB5CAE9" w14:textId="77777777">
        <w:trPr>
          <w:jc w:val="center"/>
        </w:trPr>
        <w:tc>
          <w:tcPr>
            <w:tcW w:w="1872" w:type="dxa"/>
            <w:tcBorders>
              <w:bottom w:val="single" w:sz="6" w:space="0" w:color="000000"/>
            </w:tcBorders>
            <w:tcMar>
              <w:top w:w="100" w:type="dxa"/>
              <w:left w:w="130" w:type="dxa"/>
              <w:bottom w:w="100" w:type="dxa"/>
              <w:right w:w="130" w:type="dxa"/>
            </w:tcMar>
          </w:tcPr>
          <w:p w14:paraId="39881526" w14:textId="77777777" w:rsidR="007A6767" w:rsidRDefault="00000000">
            <w:pPr>
              <w:spacing w:before="40" w:after="40" w:line="252" w:lineRule="auto"/>
            </w:pPr>
            <w:r>
              <w:rPr>
                <w:rFonts w:cs="Times New Roman"/>
                <w:b/>
              </w:rPr>
              <w:t>Dataset Partition Block</w:t>
            </w:r>
          </w:p>
        </w:tc>
        <w:tc>
          <w:tcPr>
            <w:tcW w:w="2016" w:type="dxa"/>
            <w:tcBorders>
              <w:bottom w:val="single" w:sz="6" w:space="0" w:color="000000"/>
            </w:tcBorders>
            <w:tcMar>
              <w:top w:w="100" w:type="dxa"/>
              <w:left w:w="130" w:type="dxa"/>
              <w:bottom w:w="100" w:type="dxa"/>
              <w:right w:w="130" w:type="dxa"/>
            </w:tcMar>
          </w:tcPr>
          <w:p w14:paraId="34A038A2" w14:textId="77777777" w:rsidR="007A6767" w:rsidRDefault="00000000">
            <w:pPr>
              <w:spacing w:before="40" w:after="40" w:line="252" w:lineRule="auto"/>
            </w:pPr>
            <w:r>
              <w:rPr>
                <w:rFonts w:cs="Times New Roman"/>
                <w:b/>
              </w:rPr>
              <w:t>Chronological Window</w:t>
            </w:r>
          </w:p>
        </w:tc>
        <w:tc>
          <w:tcPr>
            <w:tcW w:w="1728" w:type="dxa"/>
            <w:tcBorders>
              <w:bottom w:val="single" w:sz="6" w:space="0" w:color="000000"/>
            </w:tcBorders>
            <w:tcMar>
              <w:top w:w="100" w:type="dxa"/>
              <w:left w:w="130" w:type="dxa"/>
              <w:bottom w:w="100" w:type="dxa"/>
              <w:right w:w="130" w:type="dxa"/>
            </w:tcMar>
          </w:tcPr>
          <w:p w14:paraId="01A972ED" w14:textId="77777777" w:rsidR="007A6767" w:rsidRDefault="00000000">
            <w:pPr>
              <w:spacing w:before="40" w:after="40" w:line="252" w:lineRule="auto"/>
            </w:pPr>
            <w:r>
              <w:rPr>
                <w:rFonts w:cs="Times New Roman"/>
                <w:b/>
              </w:rPr>
              <w:t>Sample Size (Complex-Days)</w:t>
            </w:r>
          </w:p>
        </w:tc>
        <w:tc>
          <w:tcPr>
            <w:tcW w:w="2592" w:type="dxa"/>
            <w:tcBorders>
              <w:bottom w:val="single" w:sz="6" w:space="0" w:color="000000"/>
            </w:tcBorders>
            <w:tcMar>
              <w:top w:w="100" w:type="dxa"/>
              <w:left w:w="130" w:type="dxa"/>
              <w:bottom w:w="100" w:type="dxa"/>
              <w:right w:w="130" w:type="dxa"/>
            </w:tcMar>
          </w:tcPr>
          <w:p w14:paraId="5CAA99EE" w14:textId="77777777" w:rsidR="007A6767" w:rsidRDefault="00000000">
            <w:pPr>
              <w:spacing w:before="40" w:after="40" w:line="252" w:lineRule="auto"/>
            </w:pPr>
            <w:r>
              <w:rPr>
                <w:rFonts w:cs="Times New Roman"/>
                <w:b/>
              </w:rPr>
              <w:t>Operational Purpose &amp; Analytical Role</w:t>
            </w:r>
          </w:p>
        </w:tc>
        <w:tc>
          <w:tcPr>
            <w:tcW w:w="2160" w:type="dxa"/>
            <w:tcBorders>
              <w:bottom w:val="single" w:sz="6" w:space="0" w:color="000000"/>
            </w:tcBorders>
            <w:tcMar>
              <w:top w:w="100" w:type="dxa"/>
              <w:left w:w="130" w:type="dxa"/>
              <w:bottom w:w="100" w:type="dxa"/>
              <w:right w:w="130" w:type="dxa"/>
            </w:tcMar>
          </w:tcPr>
          <w:p w14:paraId="17E02345" w14:textId="77777777" w:rsidR="007A6767" w:rsidRDefault="00000000">
            <w:pPr>
              <w:spacing w:before="40" w:after="40" w:line="252" w:lineRule="auto"/>
            </w:pPr>
            <w:r>
              <w:rPr>
                <w:rFonts w:cs="Times New Roman"/>
                <w:b/>
              </w:rPr>
              <w:t>Leakage Prevention &amp; Autoregressive Quarantine Controls</w:t>
            </w:r>
          </w:p>
        </w:tc>
      </w:tr>
      <w:tr w:rsidR="007A6767" w14:paraId="6F731C04" w14:textId="77777777">
        <w:trPr>
          <w:jc w:val="center"/>
        </w:trPr>
        <w:tc>
          <w:tcPr>
            <w:tcW w:w="1872" w:type="dxa"/>
            <w:tcMar>
              <w:top w:w="100" w:type="dxa"/>
              <w:left w:w="130" w:type="dxa"/>
              <w:bottom w:w="100" w:type="dxa"/>
              <w:right w:w="130" w:type="dxa"/>
            </w:tcMar>
          </w:tcPr>
          <w:p w14:paraId="35361301" w14:textId="77777777" w:rsidR="007A6767" w:rsidRDefault="00000000">
            <w:pPr>
              <w:spacing w:before="40" w:after="40" w:line="252" w:lineRule="auto"/>
            </w:pPr>
            <w:r>
              <w:rPr>
                <w:rFonts w:cs="Times New Roman"/>
              </w:rPr>
              <w:t>Partition 1: Calibration / Training</w:t>
            </w:r>
          </w:p>
        </w:tc>
        <w:tc>
          <w:tcPr>
            <w:tcW w:w="2016" w:type="dxa"/>
            <w:tcMar>
              <w:top w:w="100" w:type="dxa"/>
              <w:left w:w="130" w:type="dxa"/>
              <w:bottom w:w="100" w:type="dxa"/>
              <w:right w:w="130" w:type="dxa"/>
            </w:tcMar>
          </w:tcPr>
          <w:p w14:paraId="7683D657" w14:textId="77777777" w:rsidR="007A6767" w:rsidRDefault="00000000">
            <w:pPr>
              <w:spacing w:before="40" w:after="40" w:line="252" w:lineRule="auto"/>
            </w:pPr>
            <w:r>
              <w:rPr>
                <w:rFonts w:cs="Times New Roman"/>
              </w:rPr>
              <w:t>January 1, 2021 – September 23, 2024</w:t>
            </w:r>
          </w:p>
        </w:tc>
        <w:tc>
          <w:tcPr>
            <w:tcW w:w="1728" w:type="dxa"/>
            <w:tcMar>
              <w:top w:w="100" w:type="dxa"/>
              <w:left w:w="130" w:type="dxa"/>
              <w:bottom w:w="100" w:type="dxa"/>
              <w:right w:w="130" w:type="dxa"/>
            </w:tcMar>
          </w:tcPr>
          <w:p w14:paraId="3AC2C4A9" w14:textId="77777777" w:rsidR="007A6767" w:rsidRDefault="00000000">
            <w:pPr>
              <w:spacing w:before="40" w:after="40" w:line="252" w:lineRule="auto"/>
            </w:pPr>
            <w:r>
              <w:rPr>
                <w:rFonts w:cs="Times New Roman"/>
              </w:rPr>
              <w:t>15,976 complex-days</w:t>
            </w:r>
          </w:p>
        </w:tc>
        <w:tc>
          <w:tcPr>
            <w:tcW w:w="2592" w:type="dxa"/>
            <w:tcMar>
              <w:top w:w="100" w:type="dxa"/>
              <w:left w:w="130" w:type="dxa"/>
              <w:bottom w:w="100" w:type="dxa"/>
              <w:right w:w="130" w:type="dxa"/>
            </w:tcMar>
          </w:tcPr>
          <w:p w14:paraId="5CFF6760" w14:textId="77777777" w:rsidR="007A6767" w:rsidRDefault="00000000">
            <w:pPr>
              <w:spacing w:before="40" w:after="40" w:line="252" w:lineRule="auto"/>
            </w:pPr>
            <w:r>
              <w:rPr>
                <w:rFonts w:cs="Times New Roman"/>
              </w:rPr>
              <w:t>Primary calibration of candidate architectures (M0 Baseline Persistence, M1 Deterministic Schedule, M2 Supervised GBDT, M3 Dynamic Hybrid). Captures multi-year post-pandemic traffic recovery and seasonal demand variance.</w:t>
            </w:r>
          </w:p>
        </w:tc>
        <w:tc>
          <w:tcPr>
            <w:tcW w:w="2160" w:type="dxa"/>
            <w:tcMar>
              <w:top w:w="100" w:type="dxa"/>
              <w:left w:w="130" w:type="dxa"/>
              <w:bottom w:w="100" w:type="dxa"/>
              <w:right w:w="130" w:type="dxa"/>
            </w:tcMar>
          </w:tcPr>
          <w:p w14:paraId="4D2DC1DD" w14:textId="77777777" w:rsidR="007A6767" w:rsidRDefault="00000000">
            <w:pPr>
              <w:spacing w:before="40" w:after="40" w:line="252" w:lineRule="auto"/>
            </w:pPr>
            <w:r>
              <w:rPr>
                <w:rFonts w:cs="Times New Roman"/>
              </w:rPr>
              <w:t>Historical calibration baseline; strictly prospective boundary enforcement preventing future information access.</w:t>
            </w:r>
          </w:p>
        </w:tc>
      </w:tr>
      <w:tr w:rsidR="007A6767" w14:paraId="444F2695" w14:textId="77777777">
        <w:trPr>
          <w:jc w:val="center"/>
        </w:trPr>
        <w:tc>
          <w:tcPr>
            <w:tcW w:w="1872" w:type="dxa"/>
            <w:tcMar>
              <w:top w:w="100" w:type="dxa"/>
              <w:left w:w="130" w:type="dxa"/>
              <w:bottom w:w="100" w:type="dxa"/>
              <w:right w:w="130" w:type="dxa"/>
            </w:tcMar>
          </w:tcPr>
          <w:p w14:paraId="2E06B266" w14:textId="77777777" w:rsidR="007A6767" w:rsidRDefault="00000000">
            <w:pPr>
              <w:spacing w:before="40" w:after="40" w:line="252" w:lineRule="auto"/>
            </w:pPr>
            <w:r>
              <w:rPr>
                <w:rFonts w:cs="Times New Roman"/>
              </w:rPr>
              <w:t>Partition 2: Operational Purge Buffer</w:t>
            </w:r>
          </w:p>
        </w:tc>
        <w:tc>
          <w:tcPr>
            <w:tcW w:w="2016" w:type="dxa"/>
            <w:tcMar>
              <w:top w:w="100" w:type="dxa"/>
              <w:left w:w="130" w:type="dxa"/>
              <w:bottom w:w="100" w:type="dxa"/>
              <w:right w:w="130" w:type="dxa"/>
            </w:tcMar>
          </w:tcPr>
          <w:p w14:paraId="51F6D0F0" w14:textId="77777777" w:rsidR="007A6767" w:rsidRDefault="00000000">
            <w:pPr>
              <w:spacing w:before="40" w:after="40" w:line="252" w:lineRule="auto"/>
            </w:pPr>
            <w:r>
              <w:rPr>
                <w:rFonts w:cs="Times New Roman"/>
              </w:rPr>
              <w:t>September 24, 2024 – September 30, 2024</w:t>
            </w:r>
          </w:p>
        </w:tc>
        <w:tc>
          <w:tcPr>
            <w:tcW w:w="1728" w:type="dxa"/>
            <w:tcMar>
              <w:top w:w="100" w:type="dxa"/>
              <w:left w:w="130" w:type="dxa"/>
              <w:bottom w:w="100" w:type="dxa"/>
              <w:right w:w="130" w:type="dxa"/>
            </w:tcMar>
          </w:tcPr>
          <w:p w14:paraId="04BA77E2" w14:textId="77777777" w:rsidR="007A6767" w:rsidRDefault="00000000">
            <w:pPr>
              <w:spacing w:before="40" w:after="40" w:line="252" w:lineRule="auto"/>
            </w:pPr>
            <w:r>
              <w:rPr>
                <w:rFonts w:cs="Times New Roman"/>
              </w:rPr>
              <w:t>7 calendar days</w:t>
            </w:r>
            <w:r>
              <w:rPr>
                <w:rFonts w:cs="Times New Roman"/>
              </w:rPr>
              <w:br/>
              <w:t>(168 consecutive hours;</w:t>
            </w:r>
            <w:r>
              <w:rPr>
                <w:rFonts w:cs="Times New Roman"/>
              </w:rPr>
              <w:br/>
              <w:t>quarantined / deleted)</w:t>
            </w:r>
          </w:p>
        </w:tc>
        <w:tc>
          <w:tcPr>
            <w:tcW w:w="2592" w:type="dxa"/>
            <w:tcMar>
              <w:top w:w="100" w:type="dxa"/>
              <w:left w:w="130" w:type="dxa"/>
              <w:bottom w:w="100" w:type="dxa"/>
              <w:right w:w="130" w:type="dxa"/>
            </w:tcMar>
          </w:tcPr>
          <w:p w14:paraId="0095D3C6" w14:textId="77777777" w:rsidR="007A6767" w:rsidRDefault="00000000">
            <w:pPr>
              <w:spacing w:before="40" w:after="40" w:line="252" w:lineRule="auto"/>
            </w:pPr>
            <w:r>
              <w:rPr>
                <w:rFonts w:cs="Times New Roman"/>
              </w:rPr>
              <w:t>Mandatory temporal quarantine buffer. Severes 168-hour (7-day) diurnal autoregressive lags, moving averages, and rolling window lookbacks between training and validation partitions.</w:t>
            </w:r>
          </w:p>
        </w:tc>
        <w:tc>
          <w:tcPr>
            <w:tcW w:w="2160" w:type="dxa"/>
            <w:tcMar>
              <w:top w:w="100" w:type="dxa"/>
              <w:left w:w="130" w:type="dxa"/>
              <w:bottom w:w="100" w:type="dxa"/>
              <w:right w:w="130" w:type="dxa"/>
            </w:tcMar>
          </w:tcPr>
          <w:p w14:paraId="0EEA0F07" w14:textId="77777777" w:rsidR="007A6767" w:rsidRDefault="00000000">
            <w:pPr>
              <w:spacing w:before="40" w:after="40" w:line="252" w:lineRule="auto"/>
            </w:pPr>
            <w:r>
              <w:rPr>
                <w:rFonts w:cs="Times New Roman"/>
              </w:rPr>
              <w:t>Complete operational purge. Zero validation or training samples drawn from this window; eliminates boundary look-ahead data leakage.</w:t>
            </w:r>
          </w:p>
        </w:tc>
      </w:tr>
      <w:tr w:rsidR="007A6767" w14:paraId="4BC903EB" w14:textId="77777777">
        <w:trPr>
          <w:jc w:val="center"/>
        </w:trPr>
        <w:tc>
          <w:tcPr>
            <w:tcW w:w="1872" w:type="dxa"/>
            <w:tcMar>
              <w:top w:w="100" w:type="dxa"/>
              <w:left w:w="130" w:type="dxa"/>
              <w:bottom w:w="100" w:type="dxa"/>
              <w:right w:w="130" w:type="dxa"/>
            </w:tcMar>
          </w:tcPr>
          <w:p w14:paraId="2B87F976" w14:textId="77777777" w:rsidR="007A6767" w:rsidRDefault="00000000">
            <w:pPr>
              <w:spacing w:before="40" w:after="40" w:line="252" w:lineRule="auto"/>
            </w:pPr>
            <w:r>
              <w:rPr>
                <w:rFonts w:cs="Times New Roman"/>
              </w:rPr>
              <w:t>Partition 3: Validation &amp; Tuning</w:t>
            </w:r>
          </w:p>
        </w:tc>
        <w:tc>
          <w:tcPr>
            <w:tcW w:w="2016" w:type="dxa"/>
            <w:tcMar>
              <w:top w:w="100" w:type="dxa"/>
              <w:left w:w="130" w:type="dxa"/>
              <w:bottom w:w="100" w:type="dxa"/>
              <w:right w:w="130" w:type="dxa"/>
            </w:tcMar>
          </w:tcPr>
          <w:p w14:paraId="1A79DF23" w14:textId="77777777" w:rsidR="007A6767" w:rsidRDefault="00000000">
            <w:pPr>
              <w:spacing w:before="40" w:after="40" w:line="252" w:lineRule="auto"/>
            </w:pPr>
            <w:r>
              <w:rPr>
                <w:rFonts w:cs="Times New Roman"/>
              </w:rPr>
              <w:t>October 1, 2024 – December 31, 2024</w:t>
            </w:r>
          </w:p>
        </w:tc>
        <w:tc>
          <w:tcPr>
            <w:tcW w:w="1728" w:type="dxa"/>
            <w:tcMar>
              <w:top w:w="100" w:type="dxa"/>
              <w:left w:w="130" w:type="dxa"/>
              <w:bottom w:w="100" w:type="dxa"/>
              <w:right w:w="130" w:type="dxa"/>
            </w:tcMar>
          </w:tcPr>
          <w:p w14:paraId="50720F31" w14:textId="77777777" w:rsidR="007A6767" w:rsidRDefault="00000000">
            <w:pPr>
              <w:spacing w:before="40" w:after="40" w:line="252" w:lineRule="auto"/>
            </w:pPr>
            <w:r>
              <w:rPr>
                <w:rFonts w:cs="Times New Roman"/>
              </w:rPr>
              <w:t>3,293 complex-days</w:t>
            </w:r>
          </w:p>
        </w:tc>
        <w:tc>
          <w:tcPr>
            <w:tcW w:w="2592" w:type="dxa"/>
            <w:tcMar>
              <w:top w:w="100" w:type="dxa"/>
              <w:left w:w="130" w:type="dxa"/>
              <w:bottom w:w="100" w:type="dxa"/>
              <w:right w:w="130" w:type="dxa"/>
            </w:tcMar>
          </w:tcPr>
          <w:p w14:paraId="42BD9D99" w14:textId="77777777" w:rsidR="007A6767" w:rsidRDefault="00000000">
            <w:pPr>
              <w:spacing w:before="40" w:after="40" w:line="252" w:lineRule="auto"/>
            </w:pPr>
            <w:r>
              <w:rPr>
                <w:rFonts w:cs="Times New Roman"/>
              </w:rPr>
              <w:t xml:space="preserve">Hyperparameter optimization, tree depth pruning, learning rate tuning, </w:t>
            </w:r>
            <w:r>
              <w:rPr>
                <w:rFonts w:cs="Times New Roman"/>
              </w:rPr>
              <w:lastRenderedPageBreak/>
              <w:t>and calibration of the dynamic hybrid error-correction residual weights.</w:t>
            </w:r>
          </w:p>
        </w:tc>
        <w:tc>
          <w:tcPr>
            <w:tcW w:w="2160" w:type="dxa"/>
            <w:tcMar>
              <w:top w:w="100" w:type="dxa"/>
              <w:left w:w="130" w:type="dxa"/>
              <w:bottom w:w="100" w:type="dxa"/>
              <w:right w:w="130" w:type="dxa"/>
            </w:tcMar>
          </w:tcPr>
          <w:p w14:paraId="7F53C567" w14:textId="77777777" w:rsidR="007A6767" w:rsidRDefault="00000000">
            <w:pPr>
              <w:spacing w:before="40" w:after="40" w:line="252" w:lineRule="auto"/>
            </w:pPr>
            <w:r>
              <w:rPr>
                <w:rFonts w:cs="Times New Roman"/>
              </w:rPr>
              <w:lastRenderedPageBreak/>
              <w:t xml:space="preserve">Temporally isolated via the 7-day purge buffer; isolated from the </w:t>
            </w:r>
            <w:r>
              <w:rPr>
                <w:rFonts w:cs="Times New Roman"/>
              </w:rPr>
              <w:lastRenderedPageBreak/>
              <w:t>prospective holdout set to prevent hyperparameter overfitting.</w:t>
            </w:r>
          </w:p>
        </w:tc>
      </w:tr>
      <w:tr w:rsidR="007A6767" w14:paraId="59879179" w14:textId="77777777">
        <w:trPr>
          <w:jc w:val="center"/>
        </w:trPr>
        <w:tc>
          <w:tcPr>
            <w:tcW w:w="1872" w:type="dxa"/>
            <w:tcMar>
              <w:top w:w="100" w:type="dxa"/>
              <w:left w:w="130" w:type="dxa"/>
              <w:bottom w:w="100" w:type="dxa"/>
              <w:right w:w="130" w:type="dxa"/>
            </w:tcMar>
          </w:tcPr>
          <w:p w14:paraId="79A81FD1" w14:textId="77777777" w:rsidR="007A6767" w:rsidRDefault="00000000">
            <w:pPr>
              <w:spacing w:before="40" w:after="40" w:line="252" w:lineRule="auto"/>
            </w:pPr>
            <w:r>
              <w:rPr>
                <w:rFonts w:cs="Times New Roman"/>
              </w:rPr>
              <w:lastRenderedPageBreak/>
              <w:t>Partition 4: Prospective Out-of-Time Holdout</w:t>
            </w:r>
          </w:p>
        </w:tc>
        <w:tc>
          <w:tcPr>
            <w:tcW w:w="2016" w:type="dxa"/>
            <w:tcMar>
              <w:top w:w="100" w:type="dxa"/>
              <w:left w:w="130" w:type="dxa"/>
              <w:bottom w:w="100" w:type="dxa"/>
              <w:right w:w="130" w:type="dxa"/>
            </w:tcMar>
          </w:tcPr>
          <w:p w14:paraId="41D97FC6" w14:textId="77777777" w:rsidR="007A6767" w:rsidRDefault="00000000">
            <w:pPr>
              <w:spacing w:before="40" w:after="40" w:line="252" w:lineRule="auto"/>
            </w:pPr>
            <w:r>
              <w:rPr>
                <w:rFonts w:cs="Times New Roman"/>
              </w:rPr>
              <w:t>January 1, 2025 – December 31, 2025</w:t>
            </w:r>
          </w:p>
        </w:tc>
        <w:tc>
          <w:tcPr>
            <w:tcW w:w="1728" w:type="dxa"/>
            <w:tcMar>
              <w:top w:w="100" w:type="dxa"/>
              <w:left w:w="130" w:type="dxa"/>
              <w:bottom w:w="100" w:type="dxa"/>
              <w:right w:w="130" w:type="dxa"/>
            </w:tcMar>
          </w:tcPr>
          <w:p w14:paraId="5007A984" w14:textId="77777777" w:rsidR="007A6767" w:rsidRDefault="00000000">
            <w:pPr>
              <w:spacing w:before="40" w:after="40" w:line="252" w:lineRule="auto"/>
            </w:pPr>
            <w:r>
              <w:rPr>
                <w:rFonts w:cs="Times New Roman"/>
              </w:rPr>
              <w:t>3,285 complex-days</w:t>
            </w:r>
          </w:p>
        </w:tc>
        <w:tc>
          <w:tcPr>
            <w:tcW w:w="2592" w:type="dxa"/>
            <w:tcMar>
              <w:top w:w="100" w:type="dxa"/>
              <w:left w:w="130" w:type="dxa"/>
              <w:bottom w:w="100" w:type="dxa"/>
              <w:right w:w="130" w:type="dxa"/>
            </w:tcMar>
          </w:tcPr>
          <w:p w14:paraId="50FF1DF2" w14:textId="77777777" w:rsidR="007A6767" w:rsidRDefault="00000000">
            <w:pPr>
              <w:spacing w:before="40" w:after="40" w:line="252" w:lineRule="auto"/>
            </w:pPr>
            <w:r>
              <w:rPr>
                <w:rFonts w:cs="Times New Roman"/>
              </w:rPr>
              <w:t>Untouched benchmark for final prospective holdout evaluation. Benchmarks real-world generalization across nominal, peak, and convective weather disruption regimes.</w:t>
            </w:r>
          </w:p>
        </w:tc>
        <w:tc>
          <w:tcPr>
            <w:tcW w:w="2160" w:type="dxa"/>
            <w:tcMar>
              <w:top w:w="100" w:type="dxa"/>
              <w:left w:w="130" w:type="dxa"/>
              <w:bottom w:w="100" w:type="dxa"/>
              <w:right w:w="130" w:type="dxa"/>
            </w:tcMar>
          </w:tcPr>
          <w:p w14:paraId="662CA374" w14:textId="77777777" w:rsidR="007A6767" w:rsidRDefault="00000000">
            <w:pPr>
              <w:spacing w:before="40" w:after="40" w:line="252" w:lineRule="auto"/>
            </w:pPr>
            <w:r>
              <w:rPr>
                <w:rFonts w:cs="Times New Roman"/>
              </w:rPr>
              <w:t>Strictly quarantined out-of-time evaluation set. Completely withheld during all feature engineering, model training, and hyperparameter selection.</w:t>
            </w:r>
          </w:p>
        </w:tc>
      </w:tr>
    </w:tbl>
    <w:p w14:paraId="40E4C438" w14:textId="77777777" w:rsidR="007A6767" w:rsidRDefault="00000000">
      <w:pPr>
        <w:spacing w:before="80" w:after="240"/>
      </w:pPr>
      <w:r>
        <w:rPr>
          <w:i/>
        </w:rPr>
        <w:t xml:space="preserve">Note. </w:t>
      </w:r>
      <w:r>
        <w:t>N = 22,554 total complex-days across the 9-airport experimental cohort. A complex-day represents one 24-hour operational monitoring cycle at a designated terminal screening complex. The 7-day operational purge buffer enforces zero autoregressive data leakage across the 168-hour weekly seasonal cycle.</w:t>
      </w:r>
    </w:p>
    <w:p w14:paraId="23487C73" w14:textId="77777777" w:rsidR="007A6767" w:rsidRDefault="00000000">
      <w:pPr>
        <w:spacing w:before="280" w:after="120"/>
      </w:pPr>
      <w:r>
        <w:rPr>
          <w:rFonts w:cs="Times New Roman"/>
          <w:b/>
        </w:rPr>
        <w:t>Accompanying Explanatory Text for Chapter IV (Insert after Table 4.8):</w:t>
      </w:r>
    </w:p>
    <w:p w14:paraId="2EDB1508" w14:textId="77777777" w:rsidR="007A6767" w:rsidRDefault="00000000">
      <w:pPr>
        <w:spacing w:after="240"/>
      </w:pPr>
      <w:r>
        <w:rPr>
          <w:rFonts w:cs="Times New Roman"/>
        </w:rPr>
        <w:t>As shown in Table 4.8, models were calibrated across 15,976 training complex-days and 3,293 validation complex-days prior to holdout evaluation, separated by a 7-day operational purge buffer to ensure zero data leakage. This partitioned architecture is essential for preserving temporal causality and operational validity. Because commercial aviation demand exhibits strong diurnal and weekly cyclicality (168-hour periodicity), standard machine learning cross-validation strategies that randomly shuffle observations induce severe look-ahead data leakage. Furthermore, time-series models frequently incorporate rolling lookback windows and multi-day autoregressive lag features. Without an operational purge buffer, validation observations immediately following the training partition would pull feature values directly from the training window, artificially deflating forecast errors. Inserting an explicit seven-day temporal quarantine between calibration blocks completely severs cross-boundary autocorrelation and rolling window overlap. Consequently, the 15,976 training complex-days and 3,293 validation complex-days maintain strict temporal independence, ensuring that model performance reflects genuine prospective predictive capability rather than an artifact of information leakage.</w:t>
      </w:r>
    </w:p>
    <w:sectPr w:rsidR="007A67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309268">
    <w:abstractNumId w:val="8"/>
  </w:num>
  <w:num w:numId="2" w16cid:durableId="119805781">
    <w:abstractNumId w:val="6"/>
  </w:num>
  <w:num w:numId="3" w16cid:durableId="880751613">
    <w:abstractNumId w:val="5"/>
  </w:num>
  <w:num w:numId="4" w16cid:durableId="1225600928">
    <w:abstractNumId w:val="4"/>
  </w:num>
  <w:num w:numId="5" w16cid:durableId="719480137">
    <w:abstractNumId w:val="7"/>
  </w:num>
  <w:num w:numId="6" w16cid:durableId="180317124">
    <w:abstractNumId w:val="3"/>
  </w:num>
  <w:num w:numId="7" w16cid:durableId="1943878318">
    <w:abstractNumId w:val="2"/>
  </w:num>
  <w:num w:numId="8" w16cid:durableId="447553876">
    <w:abstractNumId w:val="1"/>
  </w:num>
  <w:num w:numId="9" w16cid:durableId="20446232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D63"/>
    <w:rsid w:val="00326F90"/>
    <w:rsid w:val="007A6767"/>
    <w:rsid w:val="00AA1D8D"/>
    <w:rsid w:val="00B47730"/>
    <w:rsid w:val="00CB0664"/>
    <w:rsid w:val="00D516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196B9"/>
  <w14:defaultImageDpi w14:val="300"/>
  <w15:docId w15:val="{8497C58D-7607-AD42-8648-6FFECBE8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2</cp:revision>
  <dcterms:created xsi:type="dcterms:W3CDTF">2013-12-23T23:15:00Z</dcterms:created>
  <dcterms:modified xsi:type="dcterms:W3CDTF">2026-10-11T22:44:00Z</dcterms:modified>
  <cp:category/>
</cp:coreProperties>
</file>