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9631A" w14:textId="77777777" w:rsidR="00DD659A" w:rsidRDefault="00000000">
      <w:pPr>
        <w:jc w:val="center"/>
      </w:pPr>
      <w:r>
        <w:rPr>
          <w:b/>
        </w:rPr>
        <w:t>Chapter II</w:t>
      </w:r>
    </w:p>
    <w:p w14:paraId="061BE92A" w14:textId="77777777" w:rsidR="00DD659A" w:rsidRDefault="00000000">
      <w:pPr>
        <w:jc w:val="center"/>
      </w:pPr>
      <w:r>
        <w:rPr>
          <w:b/>
        </w:rPr>
        <w:t>Review of the Relevant Literature</w:t>
      </w:r>
    </w:p>
    <w:p w14:paraId="77CCA860" w14:textId="1D364F3D" w:rsidR="00DD659A" w:rsidRDefault="00000000">
      <w:pPr>
        <w:ind w:firstLine="720"/>
      </w:pPr>
      <w:r>
        <w:t xml:space="preserve">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(AlKheder et al., 2024; Balliauw &amp; Onghena, 2020; De Neufville &amp; Odoni, 2014; Ozores, 2026). </w:t>
      </w:r>
      <w:r w:rsidR="0029386F" w:rsidRPr="00B6050E">
        <w:rPr>
          <w:rFonts w:eastAsia="Times New Roman" w:cs="Times New Roman"/>
        </w:rPr>
        <w:t xml:space="preserve">To address these gaps, researchers are developing models designed to optimize resource allocation, such as staffing and throughput management, while maintaining efficient, high-quality service. </w:t>
      </w:r>
      <w:r w:rsidR="0029386F" w:rsidRPr="00D538CE">
        <w:rPr>
          <w:rFonts w:eastAsia="Times New Roman" w:cs="Times New Roman"/>
        </w:rPr>
        <w:t xml:space="preserve">When passenger demand surges surpass processing capacity at security screening, congestion ripples backward into ticketing halls and forward into departure concourses, inducing boarding holds, tarmac delays, and passenger misconnections across the </w:t>
      </w:r>
      <w:r w:rsidR="0029386F">
        <w:rPr>
          <w:rFonts w:eastAsia="Times New Roman" w:cs="Times New Roman"/>
        </w:rPr>
        <w:t xml:space="preserve">system </w:t>
      </w:r>
      <w:r w:rsidR="0029386F" w:rsidRPr="00D538CE">
        <w:rPr>
          <w:rFonts w:eastAsia="Times New Roman" w:cs="Times New Roman"/>
        </w:rPr>
        <w:t xml:space="preserve">(Adacher et al., 2017). </w:t>
      </w:r>
      <w:r>
        <w:t xml:space="preserve">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w:t>
      </w:r>
      <w:r w:rsidR="00F62CB5">
        <w:t xml:space="preserve">data </w:t>
      </w:r>
      <w:r>
        <w:t>fail during operational disruptions (Sun et al., 2022).</w:t>
      </w:r>
      <w:r w:rsidR="00202AEB">
        <w:t xml:space="preserve"> </w:t>
      </w:r>
      <w:r w:rsidR="00202AEB" w:rsidRPr="00B6050E">
        <w:rPr>
          <w:rFonts w:eastAsia="Times New Roman" w:cs="Times New Roman"/>
        </w:rPr>
        <w:t>Integrating advanced predictive frameworks offers the potential to build the robust, resilient, and generalizable tools necessary to manage variability and balance competing operational demands under uncertainty.</w:t>
      </w:r>
    </w:p>
    <w:p w14:paraId="28814C9E" w14:textId="605947E7" w:rsidR="006B5107" w:rsidRDefault="006B5107" w:rsidP="006B5107">
      <w:pPr>
        <w:ind w:firstLine="720"/>
        <w:contextualSpacing/>
        <w:outlineLvl w:val="1"/>
        <w:rPr>
          <w:rFonts w:eastAsia="Times New Roman" w:cs="Times New Roman"/>
        </w:rPr>
      </w:pPr>
      <w:commentRangeStart w:id="0"/>
      <w:r>
        <w:rPr>
          <w:rFonts w:eastAsia="Times New Roman" w:cs="Times New Roman"/>
        </w:rPr>
        <w:t>T</w:t>
      </w:r>
      <w:r w:rsidRPr="00D705AE">
        <w:rPr>
          <w:rFonts w:eastAsia="Times New Roman" w:cs="Times New Roman"/>
        </w:rPr>
        <w:t>o address these vulnerabilities, this literature review traces the evolution of airport passenger flow prediction across five core theoretical domains: (a) traditional approaches and operational complexity; (b) simulation modeling and real-time terminal management</w:t>
      </w:r>
      <w:r>
        <w:rPr>
          <w:rFonts w:eastAsia="Times New Roman" w:cs="Times New Roman"/>
        </w:rPr>
        <w:t xml:space="preserve">; </w:t>
      </w:r>
      <w:r w:rsidRPr="00D705AE">
        <w:rPr>
          <w:rFonts w:eastAsia="Times New Roman" w:cs="Times New Roman"/>
        </w:rPr>
        <w:t>(c) time-</w:t>
      </w:r>
      <w:r w:rsidRPr="00D705AE">
        <w:rPr>
          <w:rFonts w:eastAsia="Times New Roman" w:cs="Times New Roman"/>
        </w:rPr>
        <w:lastRenderedPageBreak/>
        <w:t>series analysis and machine learning; (d) hybrid predictive architectures; and (e) multi-dimensional operational evaluation, establishing the theoretical foundations for the evaluation triad</w:t>
      </w:r>
      <w:r>
        <w:rPr>
          <w:rFonts w:eastAsia="Times New Roman" w:cs="Times New Roman"/>
        </w:rPr>
        <w:t xml:space="preserve"> – </w:t>
      </w:r>
      <w:r w:rsidRPr="00D705AE">
        <w:rPr>
          <w:rFonts w:eastAsia="Times New Roman" w:cs="Times New Roman"/>
        </w:rPr>
        <w:t>Robustness, Resilience, and Generalizability</w:t>
      </w:r>
      <w:r>
        <w:rPr>
          <w:rFonts w:eastAsia="Times New Roman" w:cs="Times New Roman"/>
        </w:rPr>
        <w:t xml:space="preserve"> – </w:t>
      </w:r>
      <w:r w:rsidRPr="00D705AE">
        <w:rPr>
          <w:rFonts w:eastAsia="Times New Roman" w:cs="Times New Roman"/>
        </w:rPr>
        <w:t>that governs this research.</w:t>
      </w:r>
      <w:commentRangeEnd w:id="0"/>
      <w:r>
        <w:rPr>
          <w:rStyle w:val="CommentReference"/>
          <w:rFonts w:eastAsia="Times New Roman" w:cs="Times New Roman"/>
          <w:sz w:val="24"/>
          <w:szCs w:val="22"/>
        </w:rPr>
        <w:commentReference w:id="0"/>
      </w:r>
    </w:p>
    <w:p w14:paraId="33CD2D11" w14:textId="2D29FEAE" w:rsidR="007C1EAA" w:rsidRDefault="007C1EAA" w:rsidP="007C1EAA">
      <w:r w:rsidRPr="007C1EAA">
        <w:rPr>
          <w:highlight w:val="yellow"/>
        </w:rPr>
        <w:t>Insert Figure</w:t>
      </w:r>
    </w:p>
    <w:p w14:paraId="04B48CB5" w14:textId="77777777" w:rsidR="00DD659A" w:rsidRDefault="00000000">
      <w:commentRangeStart w:id="1"/>
      <w:r>
        <w:rPr>
          <w:b/>
        </w:rPr>
        <w:t>Traditional Approaches and Operational Complexity</w:t>
      </w:r>
      <w:commentRangeEnd w:id="1"/>
      <w:r w:rsidR="003F28D1">
        <w:rPr>
          <w:rStyle w:val="CommentReference"/>
          <w:sz w:val="24"/>
          <w:szCs w:val="22"/>
        </w:rPr>
        <w:commentReference w:id="1"/>
      </w:r>
    </w:p>
    <w:p w14:paraId="54BAD38F" w14:textId="33035A08" w:rsidR="00DD659A" w:rsidRDefault="003F28D1" w:rsidP="003F28D1">
      <w:pPr>
        <w:snapToGrid w:val="0"/>
        <w:ind w:firstLine="720"/>
        <w:contextualSpacing/>
        <w:rPr>
          <w:rFonts w:cs="Times New Roman"/>
          <w:color w:val="000000" w:themeColor="text1"/>
          <w:szCs w:val="24"/>
        </w:rPr>
      </w:pPr>
      <w:r>
        <w:t xml:space="preserve">Commercial airport terminals are complex operational ecosystems where physical space, human behavior, and airline schedules intersect (Birolini &amp; Jacquillat, 2023; Nazir et al., 2022; Solak et al., 2009; Zhang et al., 2012). </w:t>
      </w:r>
      <w:r w:rsidR="00583472" w:rsidRPr="00B6050E">
        <w:rPr>
          <w:rFonts w:eastAsia="Times New Roman" w:cs="Times New Roman"/>
        </w:rPr>
        <w:t>As commercial aviation navigates a period of sustained traffic expansion that threatens to outpace the physical limitations of existing terminal infrastructure, the impracticality of continuous brick-and-mortar expansion has shifted operational focus toward software-driven, data-informed terminal capacity management (De Neufville &amp; Odoni, 2014).</w:t>
      </w:r>
      <w:r w:rsidR="00583472" w:rsidRPr="00583472">
        <w:rPr>
          <w:rFonts w:cs="Times New Roman"/>
          <w:color w:val="000000" w:themeColor="text1"/>
          <w:szCs w:val="24"/>
        </w:rPr>
        <w:t xml:space="preserve"> </w:t>
      </w:r>
      <w:r w:rsidR="00583472" w:rsidRPr="001A5F94">
        <w:rPr>
          <w:rFonts w:cs="Times New Roman"/>
          <w:color w:val="000000" w:themeColor="text1"/>
          <w:szCs w:val="24"/>
        </w:rPr>
        <w:t>While domestic passenger demand in the US is projected to grow by 2.4% annually, airport capacity is forecasted to increase by only 0.8%, yielding a critical and widening gap that is unlikely to be resolved by physical expansion alone (IATA, 2026; FAA, 2024).</w:t>
      </w:r>
      <w:r>
        <w:t xml:space="preserve"> </w:t>
      </w:r>
      <w:r w:rsidRPr="001A5F94">
        <w:rPr>
          <w:rFonts w:cs="Times New Roman"/>
          <w:color w:val="000000" w:themeColor="text1"/>
          <w:szCs w:val="24"/>
        </w:rPr>
        <w:t xml:space="preserve">This discrepancy is further complicated by the high levels of uncertainty inherent in long-term demand forecasting, a factor that consistently renders large-scale capital investments in terminal capacity both risky and slow to respond to immediate surges (Solak et al., 2009). </w:t>
      </w:r>
      <w:r>
        <w:t xml:space="preserve">Terminal landside subsystems operate in a state of delicate interdependency: local bottlenecks at upstream ticketing check-in counters or downstream security checkpoints rapidly propagate across the entire facility (Adacher &amp; Flamini, 2020; Chiti et al., 2018). </w:t>
      </w:r>
      <w:r w:rsidRPr="001A5F94">
        <w:rPr>
          <w:rFonts w:cs="Times New Roman"/>
          <w:color w:val="000000" w:themeColor="text1"/>
          <w:szCs w:val="24"/>
        </w:rPr>
        <w:t xml:space="preserve">As structural expansions lack the agility required for near-term solutions, the industry must pivot toward maximizing existing assets through advanced resource optimization (Balliauw &amp; Onghena, 2020; Zhang et al., 2012). Araujo &amp; Repolho (2015) argue that due to the stochasticity and interdependence of </w:t>
      </w:r>
      <w:r w:rsidRPr="001A5F94">
        <w:rPr>
          <w:rFonts w:cs="Times New Roman"/>
          <w:color w:val="000000" w:themeColor="text1"/>
          <w:szCs w:val="24"/>
        </w:rPr>
        <w:lastRenderedPageBreak/>
        <w:t>terminal subsystems – namely check-in, security, and boarding queues - managing their complexity requires the identification and reduction of the superfluous operations that lead to bottlenecking. To achieve sustainable capacity, terminal functional areas must maintain a specific Level of Service (LOS) without the prohibitive capital expenditure of hard infrastructure expansion (Di Mascio et al., 2020; AlKheder et al., 2024).</w:t>
      </w:r>
    </w:p>
    <w:p w14:paraId="06C819B7" w14:textId="71D44E17" w:rsidR="003F28D1" w:rsidRPr="003F28D1" w:rsidRDefault="003F28D1" w:rsidP="003F28D1">
      <w:pPr>
        <w:snapToGrid w:val="0"/>
        <w:ind w:firstLine="720"/>
        <w:contextualSpacing/>
        <w:rPr>
          <w:rFonts w:cs="Times New Roman"/>
          <w:color w:val="000000" w:themeColor="text1"/>
          <w:szCs w:val="24"/>
        </w:rPr>
      </w:pPr>
      <w:r w:rsidRPr="001A5F94">
        <w:rPr>
          <w:rFonts w:cs="Times New Roman"/>
          <w:color w:val="000000" w:themeColor="text1"/>
          <w:szCs w:val="24"/>
        </w:rPr>
        <w:t>The delicate interdependency of airport subsystems further complicates operational shifts, as localized failures in one segment are particularly vulnerable to time-related constraints, potentially triggering a systemic collapse of flow (Orhan &amp; Orhan, 2020; Bießlich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 Fantacci &amp; Rizzo, 2018). Even when a facility remains under its total daily limits, unexpected arrival fluctuations create "ripples" of upstream congestion, inevitably disrupting downstream processes like security screening (Adacher &amp; Flamini, 2020; Marzuoli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making resource allocation a complex balancing act between operational costs and quality service levels (Birolini &amp; Jacquillat, 2023).</w:t>
      </w:r>
    </w:p>
    <w:p w14:paraId="72C2CD6F" w14:textId="77777777" w:rsidR="00DD659A" w:rsidRDefault="00000000">
      <w:r>
        <w:rPr>
          <w:b/>
          <w:i/>
        </w:rPr>
        <w:t>Batch Arrival Dynamics and Flight Bank Synchronization</w:t>
      </w:r>
    </w:p>
    <w:p w14:paraId="3650081F" w14:textId="77777777" w:rsidR="00DD659A" w:rsidRDefault="00000000">
      <w:pPr>
        <w:ind w:firstLine="720"/>
      </w:pPr>
      <w:r>
        <w:lastRenderedPageBreak/>
        <w:t>A fundamental operational challenge in airport passenger demand forecasting is that passenger arrivals do not follow a uniform, steady stream. Rather, passenger arrivals are characterized by extreme non-linear fluctuations and concentrated "batches" induced by airline flight bank scheduling (Cheng et al., 2012; Peterson et al., 1995). In hub-and-spoke networks, commercial airlines deliberately compress 20 to 40 flight departures into narrow 45-to-90-minute waves to maximize passenger transfer opportunities (Schultz &amp; Fricke, 2011). Consequently, terminal screening checkpoints experience severe demand surges that saturate screening lane capacity far more rapidly than smooth, continuous arrival streams (Dönmez et al., 2025). As Peterson et al. (1995) proved in their foundational mathematical analysis of airport congestion, flight banking produces transient, non-stationary queuing states where sudden demand bursts generate queues that persist long after the flight bank has departed.</w:t>
      </w:r>
    </w:p>
    <w:p w14:paraId="37545D36" w14:textId="77777777" w:rsidR="00DD659A" w:rsidRDefault="00000000">
      <w:r>
        <w:rPr>
          <w:b/>
          <w:i/>
        </w:rPr>
        <w:t>Classical Queuing Theory: Volume Versus Volatility</w:t>
      </w:r>
    </w:p>
    <w:p w14:paraId="3A88B330" w14:textId="77777777" w:rsidR="00DD659A" w:rsidRDefault="00000000">
      <w:pPr>
        <w:ind w:firstLine="720"/>
      </w:pPr>
      <w:r>
        <w:t xml:space="preserve">To translate unpredictable passenger movements into quantifiable system states, traditional airport planning has relied upon Queuing Theory (Horie, 1985; Odoni, 1986; Wang, 2017)—the mathematical study of waiting lines and server allocation. Early terminal capacity models utilized Poisson arrival distributions (such as M/M/s or M/G/s queuing formulas, which calculate queue lengths and wait times based on assumed random arrival rates and screening speeds) relative to target Level of Service benchmarks (Araujo &amp; Repolho, 2015). However, classical Poisson models rest on the assumption of a constant, time-invariant arrival rate (λ), which fails in commercial airports where flight banks generate severe non-linear fluctuations (Wang, 2018). While researchers subsequently transitioned toward Non-Homogeneous Poisson Processes (NHPP; Brunetta et al., 1999) to incorporate time-varying arrival rates λ(t) and reconcile published schedules with observed arrival waves (Nikoue et al., 2015), NHPP </w:t>
      </w:r>
      <w:r>
        <w:lastRenderedPageBreak/>
        <w:t>formulations remain conceptually constrained in two decisive ways. First, NHPP models evaluate queuing almost exclusively through expected mean volume (the first-order moment: μ = E[Y]). Second, by preserving the Poisson assumption of independent inter-arrival times, NHPP models fail to account for the high correlation among passengers arriving for the same ticketed flight bank and ignore the shielding effect of airside connecting passengers (Adeke, 2018; Guo et al., 2022).</w:t>
      </w:r>
    </w:p>
    <w:p w14:paraId="294F18B9" w14:textId="77777777" w:rsidR="00DD659A" w:rsidRDefault="00000000">
      <w:commentRangeStart w:id="2"/>
      <w:r>
        <w:rPr>
          <w:b/>
          <w:i/>
        </w:rPr>
        <w:t>Second-Order Queuing Volatility: The Kingman and Allen-Cunneen Formulation</w:t>
      </w:r>
      <w:commentRangeEnd w:id="2"/>
      <w:r w:rsidR="00EC697D">
        <w:rPr>
          <w:rStyle w:val="CommentReference"/>
          <w:sz w:val="24"/>
          <w:szCs w:val="22"/>
        </w:rPr>
        <w:commentReference w:id="2"/>
      </w:r>
    </w:p>
    <w:p w14:paraId="5A743457" w14:textId="77777777" w:rsidR="00DD659A" w:rsidRDefault="00000000">
      <w:pPr>
        <w:ind w:firstLine="720"/>
      </w:pPr>
      <w:r>
        <w:t>In operational reality, heavy-traffic queuing principles (Kingman, 1961; Whitt, 1993) demonstrate that expected queue wait times (Wq) and passenger backlogs in general G/G/s screening facilities scale not with mean volume, but linearly with the squared coefficient of variation of arrival times (Ca^2) and service times (Cs^2) via the Allen-Cunneen approximation:</w:t>
      </w:r>
    </w:p>
    <w:p w14:paraId="3708E438" w14:textId="77777777" w:rsidR="00DD659A" w:rsidRDefault="00000000">
      <w:pPr>
        <w:ind w:firstLine="720"/>
      </w:pPr>
      <w:r>
        <w:t>where ρ = λ / (s·μ) represents checkpoint lane utilization. As checkpoint utilization approaches capacity (ρ → 1.0) during morning and evening departure peaks, the utilization multiplier grows exponentially. Under these heavy-traffic conditions, any increase in arrival volatility (Ca^2) triggers dramatic queue length expansion and terminal crowd surges. Modeling and forecasting throughput volatility (σ_TSA and CV_TSA) is therefore the vital prerequisite for robust lane staffing, operational stability, and passenger delay mitigation (Adeke, 2018; Guo et al., 2022).</w:t>
      </w:r>
    </w:p>
    <w:p w14:paraId="6B28006C" w14:textId="77777777" w:rsidR="00DD659A" w:rsidRDefault="00000000">
      <w:r>
        <w:rPr>
          <w:b/>
          <w:i/>
        </w:rPr>
        <w:t>The "Values versus Volatility" Paradigm in Transportation Demand</w:t>
      </w:r>
    </w:p>
    <w:p w14:paraId="78A52565" w14:textId="77777777" w:rsidR="00DD659A" w:rsidRDefault="00000000">
      <w:pPr>
        <w:ind w:firstLine="720"/>
      </w:pPr>
      <w:r>
        <w:t xml:space="preserve">In modern econometric and volatility forecasting literature (Andersen &amp; Bollerslev, 1998; Engle, 2001; Hansen &amp; Lunde, 2005), a central research question is whether predicting the volatility of a stochastic process requires tracking the values (levels, volumes, and magnitudes) of explanatory variables, the volatility (dispersion, standard deviations, and coefficients of </w:t>
      </w:r>
      <w:r>
        <w:lastRenderedPageBreak/>
        <w:t>variation) of those variables, or a dual combined representation. In commercial aviation operations, this duality manifests across two operational horizons:</w:t>
      </w:r>
    </w:p>
    <w:p w14:paraId="72987EC3" w14:textId="77777777" w:rsidR="00DD659A" w:rsidRDefault="00000000">
      <w:pPr>
        <w:ind w:firstLine="720"/>
      </w:pPr>
      <w:r>
        <w:rPr>
          <w:b/>
        </w:rPr>
        <w:t xml:space="preserve">Intraday Diurnal Volatility. </w:t>
      </w:r>
      <w:r>
        <w:t>The within-day standard deviation (σ_TSA, hr) naturally scales with airport passenger volume due to Tweedie-Poisson compound dispersion (Var(Y) ∝ μ^p), allowing feature values (e.g., total scheduled flights, aircraft seats) to serve as a strong baseline predictor. However, when normalized into scale-free relative burstiness (CV_TSA, hr = σ/μ), volume levels lose explanatory power.</w:t>
      </w:r>
    </w:p>
    <w:p w14:paraId="5F43EE68" w14:textId="77777777" w:rsidR="00DD659A" w:rsidRDefault="00000000">
      <w:pPr>
        <w:ind w:firstLine="720"/>
      </w:pPr>
      <w:r>
        <w:rPr>
          <w:b/>
        </w:rPr>
        <w:t xml:space="preserve">Multi-Day Rolling Volatility. </w:t>
      </w:r>
      <w:r>
        <w:t>Over multi-day horizons (σ_TSA, 7d), static flight volumes remain largely unchanged across seasonal schedules. Consequently, models relying exclusively on static feature values fail to anticipate medium-term passenger turbulence. Forecasting disruption-driven turbulence requires tracking the volatility of operational features—specifically rolling schedule variance (σ_sched), flight cancellation volatility (CV_cancel), and departure delay dispersion (σ_Delay) (Hopfe et al., 2024).</w:t>
      </w:r>
    </w:p>
    <w:p w14:paraId="4C1DF774" w14:textId="77777777" w:rsidR="00DD659A" w:rsidRDefault="00000000">
      <w:r>
        <w:rPr>
          <w:b/>
        </w:rPr>
        <w:t>Simulation Modeling and Real-Time Terminal Management</w:t>
      </w:r>
    </w:p>
    <w:p w14:paraId="34AAF7A8" w14:textId="77777777" w:rsidR="00DD659A" w:rsidRDefault="00000000">
      <w:r>
        <w:rPr>
          <w:b/>
          <w:i/>
        </w:rPr>
        <w:t>Discrete Event Simulation in Terminal Planning and Asset Allocation</w:t>
      </w:r>
    </w:p>
    <w:p w14:paraId="1DEBABB2" w14:textId="77777777" w:rsidR="00DD659A" w:rsidRDefault="00000000">
      <w:pPr>
        <w:ind w:firstLine="720"/>
      </w:pPr>
      <w:r>
        <w:t xml:space="preserve">To overcome the mathematical rigidities of analytical queuing equations, airport planners widely adopted Discrete Event Simulation (DES) (Brown &amp; Madhavan, 2011; Leone &amp; Liu, 2011). Unlike static analytical spreadsheets, DES models track individual simulated passengers through a chronological sequence of discrete physical milestones: ticket scanning, divestiture (removing shoes, outer garments, laptops, and liquids for X-ray inspection), body scanning, and item retrieval. In operational planning, these micro-simulation frameworks proved highly effective for static terminal dimensioning. Guizzi et al. (2009) demonstrated that simulating passenger trajectories from check-in through security screening allowed planners to model </w:t>
      </w:r>
      <w:r>
        <w:lastRenderedPageBreak/>
        <w:t>queuing interdependencies, while Parlar et al. (2016) used event-based simulations to optimize dynamic counter opening schedules. Furthermore, Nwofia and Chung (2013) highlighted the utility of simulation in linking terminal architectural layouts to long-term service performance, enabling airport authorities to evaluate proposed flight schedules and lane configurations under synthetic operating loads (Araujo &amp; Repolho, 2015; Ateş et al., 2021). Stochastic planning methodologies (Verki et al., 2013), virtual terminal infrastructure tracking (Edwards, 2026), and simulated human behavioral loads (Perez, 2021) supported asset distribution, while algorithm-based congestion detection (Palaşcă &amp; Stăncel, 2025) recontextualized Poisson queuing within dynamic monitoring frameworks. Additionally, simulation environments such as ARENA (Olusanya et al., 2020; Oprea et al., 2024) and simulation data farming (Patrón et al., 2021) have served as offline synthetic data generators for evaluating security subsystems.</w:t>
      </w:r>
    </w:p>
    <w:p w14:paraId="75267FF6" w14:textId="77777777" w:rsidR="00DD659A" w:rsidRDefault="00000000">
      <w:r>
        <w:rPr>
          <w:b/>
          <w:i/>
        </w:rPr>
        <w:t>The Tripartite Operational Breakdown of Micro-Simulation</w:t>
      </w:r>
    </w:p>
    <w:p w14:paraId="6107F853" w14:textId="77777777" w:rsidR="00DD659A" w:rsidRDefault="00000000">
      <w:pPr>
        <w:ind w:firstLine="720"/>
      </w:pPr>
      <w:r>
        <w:t>Despite high visual fidelity and granular representation of physical terminal corridors, Discrete Event Simulation models exhibit three critical operational failure modes when deployed for real-time tactical airport management:</w:t>
      </w:r>
    </w:p>
    <w:p w14:paraId="09CE8104" w14:textId="77777777" w:rsidR="00DD659A" w:rsidRDefault="00000000">
      <w:pPr>
        <w:ind w:firstLine="720"/>
      </w:pPr>
      <w:r>
        <w:rPr>
          <w:b/>
        </w:rPr>
        <w:t xml:space="preserve">Calibration Sensitivity and Parameter Brittleness. </w:t>
      </w:r>
      <w:r>
        <w:t xml:space="preserve">Discrete event simulations are hyper-sensitive to micro-level behavioral calibrations. Brown and Madhavan (2011) demonstrated that minor fluctuations in baseline operational assumptions—such as a 5% increase in secondary carry-on baggage search alarm rates or slight variations in Transportation Security Officer (TSO; federal screening personnel) divestiture coaching times—produce disproportionately massive non-linear swings in predicted checkpoint queue lengths. Because human behaviors during high-stress terminal surges do not adhere to fixed parameter </w:t>
      </w:r>
      <w:r>
        <w:lastRenderedPageBreak/>
        <w:t>distributions, small calibration errors compound across sequential service stages, undermining forecast credibility for tactical staffing.</w:t>
      </w:r>
    </w:p>
    <w:p w14:paraId="52382967" w14:textId="77777777" w:rsidR="00DD659A" w:rsidRDefault="00000000">
      <w:pPr>
        <w:ind w:firstLine="720"/>
      </w:pPr>
      <w:r>
        <w:rPr>
          <w:b/>
        </w:rPr>
        <w:t xml:space="preserve">Computational Latency During Unfolding Disruption. </w:t>
      </w:r>
      <w:r>
        <w:t>Tactical airport terminal management requires actionable forecast revisions within a 15-to-30-minute operational window. However, simulating hundreds of thousands of individual entity interactions across a multi-terminal hub requires substantial computational time (Takakuwa &amp; Oyama, 2004). During severe flight disruptions, such as summer convective thunderstorm ground stops, airline flight schedules change dynamically every few minutes. Bießlich et al. (2014) showed that DES models suffer acute fidelity collapse during unpredicted flight delays because the computational latency required to re-seed, execute, and average stochastic Monte Carlo runs prevents airport operations centers from deploying them for real-time lane reallocation.</w:t>
      </w:r>
    </w:p>
    <w:p w14:paraId="4F99420A" w14:textId="77777777" w:rsidR="00DD659A" w:rsidRDefault="00000000">
      <w:pPr>
        <w:ind w:firstLine="720"/>
      </w:pPr>
      <w:r>
        <w:rPr>
          <w:b/>
        </w:rPr>
        <w:t xml:space="preserve">The Passive Traveler Behavioral Assumption. </w:t>
      </w:r>
      <w:r>
        <w:t>Standard discrete event simulations treat airline passengers as passive physical particles adhering to rigid, pre-programmed logic paths (Alodhaibi et al., 2017). In modern commercial aviation, however, passengers are proactive, information-empowered agents. When airlines issue mobile flight delay alerts, passenger arrival distributions shift dynamically: business travelers delay their arrival at the airport, while leisure travelers with checked luggage may arrive early to negotiate flight rebookings. Because DES architectures cannot readily incorporate real-time behavioral adaptation without cumbersome rule re-engineering, their ability to model live terminal volatility remains fundamentally constrained.</w:t>
      </w:r>
    </w:p>
    <w:p w14:paraId="45874982" w14:textId="77777777" w:rsidR="00DD659A" w:rsidRDefault="00000000">
      <w:r>
        <w:rPr>
          <w:b/>
        </w:rPr>
        <w:t>Time-Series Analysis and Data-Driven Predictive Frameworks</w:t>
      </w:r>
    </w:p>
    <w:p w14:paraId="721BCBD4" w14:textId="77777777" w:rsidR="00DD659A" w:rsidRDefault="00000000">
      <w:r>
        <w:rPr>
          <w:b/>
          <w:i/>
        </w:rPr>
        <w:t>Statistical Time-Series Foundations and Linear Limitations</w:t>
      </w:r>
    </w:p>
    <w:p w14:paraId="2F67686C" w14:textId="77777777" w:rsidR="00DD659A" w:rsidRDefault="00000000">
      <w:pPr>
        <w:ind w:firstLine="720"/>
      </w:pPr>
      <w:r>
        <w:lastRenderedPageBreak/>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 These models predict future passenger throughput by capturing the dominant diurnal (24-hour) and day-of-week (168-hour) cyclical rhythms of airport operations (Babu, 2014; Saki &amp; Soori, 2026). When augmented with exogenous variables (SARIMAX)—such as published airline scheduled seat capacity—they provide computationally lightweight, transparent baseline estimates. However, linear time-series formulations struggle during operational structural breaks, such as severe weather ground stops, because they assume fixed historical relationships that cannot accommodate sudden delay cascades (Lin et al., 2023). When flight schedules diverge from historical patterns, SARIMA's autoregressive error lags predict phantom demand or miss delayed surges entirely, highlighting the necessity of non-linear predictive techniques.</w:t>
      </w:r>
    </w:p>
    <w:p w14:paraId="2D1DB9FF" w14:textId="77777777" w:rsidR="00DD659A" w:rsidRDefault="00000000">
      <w:r>
        <w:rPr>
          <w:b/>
          <w:i/>
        </w:rPr>
        <w:t>Non-Linear Machine Learning: Deep Learning Versus Tree Ensembles</w:t>
      </w:r>
    </w:p>
    <w:p w14:paraId="68753F68" w14:textId="77777777" w:rsidR="00DD659A" w:rsidRDefault="00000000">
      <w:pPr>
        <w:ind w:firstLine="720"/>
      </w:pPr>
      <w:r>
        <w:t xml:space="preserve">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(Hewamalage et al., 2021; Hopfe et al., 2024; Orsini et al., 2019; Ribeiro et al., 2025). While deep neural networks can approximate complex multi-source interactions (e.g., weather indices, search engine trends, flight departure status), tabular decision-tree ensembles have demonstrated superior empirical efficacy in aviation operational prediction. In a rigorous comparative benchmark of terminal passenger flow models, Hopfe et al. (2024) proved that Gradient-Boosted Decision Trees </w:t>
      </w:r>
      <w:r>
        <w:lastRenderedPageBreak/>
        <w:t>systematically outperform deep recurrent architectures on structured tabular flight data, achieving lower forecast error and greater numerical stability while avoiding the massive compute requirements of neural networks. Furthermore, Ribeiro et al. (2025) demonstrated that tree-based gradient boosting enables interpretable decision rules under flight delay uncertainty, allowing operational controllers to extract actionable screening queue thresholds.</w:t>
      </w:r>
    </w:p>
    <w:p w14:paraId="750E5577" w14:textId="77777777" w:rsidR="00DD659A" w:rsidRDefault="00000000">
      <w:r>
        <w:rPr>
          <w:b/>
          <w:i/>
        </w:rPr>
        <w:t>Operational Barriers to Deep Neural Architectures in Security Infrastructure</w:t>
      </w:r>
    </w:p>
    <w:p w14:paraId="41F1AA85" w14:textId="77777777" w:rsidR="00DD659A" w:rsidRDefault="00000000">
      <w:pPr>
        <w:ind w:firstLine="720"/>
      </w:pPr>
      <w:r>
        <w:t>Despite their theoretical expressiveness, end-to-end deep neural networks face severe operational and administrative barriers that prevent their adoption in commercial airport security environments:</w:t>
      </w:r>
    </w:p>
    <w:p w14:paraId="6F27868E" w14:textId="77777777" w:rsidR="00DD659A" w:rsidRDefault="00000000">
      <w:pPr>
        <w:ind w:firstLine="720"/>
      </w:pPr>
      <w:r>
        <w:rPr>
          <w:b/>
        </w:rPr>
        <w:t xml:space="preserve">The "Black-Box" Interpretability Hurdle. </w:t>
      </w:r>
      <w:r>
        <w:t>Airport Federal Security Directors (FSDs) and TSA operations planners operate under strict administrative, security, and staffing budget mandates. FSDs cannot commit multimillion-dollar security screening labor allocations or deploy overtime checkpoint personnel based on opaque, uninterpretable neural network weights (Adadi &amp; Berrada, 2018; Viaña et al., 2024). When an algorithm predicts an unexpected surge, security leadership requires defensible, rule-based explanations grounded in scheduled flight departures and upstream airside delays before reallocating federal screening officers.</w:t>
      </w:r>
    </w:p>
    <w:p w14:paraId="5A61F869" w14:textId="77777777" w:rsidR="00DD659A" w:rsidRDefault="00000000">
      <w:pPr>
        <w:ind w:firstLine="720"/>
      </w:pPr>
      <w:r>
        <w:rPr>
          <w:b/>
        </w:rPr>
        <w:t xml:space="preserve">Facility-Specific Over-Specialization and Spatial Transfer Degradation. </w:t>
      </w:r>
      <w:r>
        <w:t xml:space="preserve">Highly parameterized deep neural networks tend to memorize terminal-specific spatial configurations, local carrier flight bank timings, and idiosyncratic gate walking distances. In a comprehensive spatial transferability study, Wang et al. (2025) proved that end-to-end deep learning models suffer severe performance degradation (error inflation exceeding 40%) when transferred zero-shot to an unfamiliar airport facility. This facility over-specialization prevents the national </w:t>
      </w:r>
      <w:r>
        <w:lastRenderedPageBreak/>
        <w:t>deployment of deep neural networks across heterogeneous commercial airports without costly, site-specific retraining.</w:t>
      </w:r>
    </w:p>
    <w:p w14:paraId="7B83B386" w14:textId="77777777" w:rsidR="00DD659A" w:rsidRDefault="00000000">
      <w:r>
        <w:rPr>
          <w:b/>
          <w:i/>
        </w:rPr>
        <w:t>From Passive Prediction to Active Control and Passenger Guidance</w:t>
      </w:r>
    </w:p>
    <w:p w14:paraId="068B24A7" w14:textId="77777777" w:rsidR="00DD659A" w:rsidRDefault="00000000">
      <w:pPr>
        <w:ind w:firstLine="720"/>
      </w:pPr>
      <w: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 close the loop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14:paraId="2309CFA5" w14:textId="77777777" w:rsidR="00DD659A" w:rsidRDefault="00000000">
      <w:r>
        <w:rPr>
          <w:b/>
        </w:rPr>
        <w:t>Hybrid Architectures: Combining Operational Structure with Data-Driven Adaptability</w:t>
      </w:r>
    </w:p>
    <w:p w14:paraId="4A6FB087" w14:textId="77777777" w:rsidR="00DD659A" w:rsidRDefault="00000000">
      <w:r>
        <w:rPr>
          <w:b/>
          <w:i/>
        </w:rPr>
        <w:t>Coupling Physical Flow Conservation with Machine Learning</w:t>
      </w:r>
    </w:p>
    <w:p w14:paraId="39D3FEBD" w14:textId="77777777" w:rsidR="00DD659A" w:rsidRDefault="00000000">
      <w:pPr>
        <w:ind w:firstLine="720"/>
      </w:pPr>
      <w:r>
        <w:t xml:space="preserve">To resolve the tension between the domain transparency of first-principles queuing models and the non-linear predictive flexibility of machine learning, transportation researchers have converged toward hybrid architectures (Brun et al., 2025; Had et al., 2025; Jenčová et al., 2025). Rather than treating terminal demand as an unconstrained black-box regression problem, effective hybrid frameworks decouple terminal passenger flow into a two-stage sequential pipeline: a deterministic operational baseline capturing physical schedule structure, paired with a </w:t>
      </w:r>
      <w:r>
        <w:lastRenderedPageBreak/>
        <w:t>machine-learned residual estimator capturing operational disruptions, augmented by dynamic feedback. While deep fusion models (He et al., 2024) and decision forest ensembles (Blasco-Puyuelo et al., 2023; Xia et al., 2020) combine heterogeneous predictive pathways, operational viability in airport security environments requires structural simplicity and auditability.</w:t>
      </w:r>
    </w:p>
    <w:p w14:paraId="14E06E62" w14:textId="77777777" w:rsidR="00DD659A" w:rsidRDefault="00000000">
      <w:r>
        <w:rPr>
          <w:b/>
          <w:i/>
        </w:rPr>
        <w:t>First-Principles Operational Baseline: Flight Schedules, ACRP Report 40, and DB1B Connecting Deflation</w:t>
      </w:r>
    </w:p>
    <w:p w14:paraId="00F7514A" w14:textId="77777777" w:rsidR="00DD659A" w:rsidRDefault="00000000">
      <w:pPr>
        <w:ind w:firstLine="720"/>
      </w:pPr>
      <w:r>
        <w:t>The structural foundation of a defensible terminal model relies on published flight schedules convolved across empirical passenger arrival behavior. The definitive federal engineering guideline, Airport Cooperative Research Program (ACRP) Report 40 (Airport Passenger Terminal Planning and Design; Transportation Research Board [TRB], 2010), establishes that commercial passenger arrival distributions follow an empirical lognormal curve, with peak passenger arrivals concentrating between 90 and 120 minutes prior to scheduled domestic departures. However, applying raw flight schedules directly to checkpoint demand introduces severe distortion in hub airports. Guo et al. (2022) established that airside transfer passengers in hub-and-spoke networks never enter landside ticketing lobbies or pass through security screening. Therefore, an operational baseline must incorporate a connecting passenger deflator derived from Bureau of Transportation Statistics (BTS) DB1B origin-destination ticket surveys, isolating true checkpoint-originating passenger demand from airside connections. This deterministic base provides an interpretable, highly portable operational baseline that operates without complex training.</w:t>
      </w:r>
    </w:p>
    <w:p w14:paraId="2AF63364" w14:textId="77777777" w:rsidR="00DD659A" w:rsidRDefault="00000000">
      <w:r>
        <w:rPr>
          <w:b/>
          <w:i/>
        </w:rPr>
        <w:t>Transparent Residual Adjustments via Decision Trees</w:t>
      </w:r>
    </w:p>
    <w:p w14:paraId="421E3CF3" w14:textId="77777777" w:rsidR="00DD659A" w:rsidRDefault="00000000">
      <w:pPr>
        <w:ind w:firstLine="720"/>
      </w:pPr>
      <w:r>
        <w:t xml:space="preserve">While scheduled operations provide a stable baseline under nominal conditions, real-world terminal volatility is driven by tactical airside disruptions: departure delays, ground delay </w:t>
      </w:r>
      <w:r>
        <w:lastRenderedPageBreak/>
        <w:t>programs, gate holds, and cancellations. Rather than discarding the structural baseline during disruptions, hybrid models deploy supervised machine learning to predict the residual error between scheduled demand and actual checkpoint throughput (Brun et al., 2025; Hopfe et al., 2024; Ribeiro et al., 2025). Utilizing Gradient-Boosted Decision Trees (GBM) for residual estimation offers a decisive operational advantage over deep neural networks: their hierarchical branching structure functions like intuitive, transparent decision rules (e.g., "If departure delay dispersion exceeds 45 minutes and cancellation rate exceeds 5%, adjust expected security volatility upward by +35%"). This decision-rule transparency enables airport controllers to verify and audit model behavior during severe weather disruptions.</w:t>
      </w:r>
    </w:p>
    <w:p w14:paraId="1D150F68" w14:textId="77777777" w:rsidR="00DD659A" w:rsidRDefault="00000000">
      <w:r>
        <w:rPr>
          <w:b/>
          <w:i/>
        </w:rPr>
        <w:t>Dynamic Feedback and Recursive State-Space Error Estimation</w:t>
      </w:r>
    </w:p>
    <w:p w14:paraId="4BFCD1D6" w14:textId="77777777" w:rsidR="00DD659A" w:rsidRDefault="00000000">
      <w:pPr>
        <w:ind w:firstLine="720"/>
      </w:pPr>
      <w:r>
        <w:t>During catastrophic disruptions—such as severe summer convective storms where flight departure times are repeatedly rolled back—static flight schedules lose predictive validity. Under these conditions, static baseline models suffer from the "Empty Checkpoint Fallacy," predicting zero demand when flights are delayed, even as stranded passengers crowd terminal screening lobbies. To prevent forecast divergence, recent transportation literature incorporates recursive error-correction feedback grounded in Kalman filtering and state-space estimation (Anupam &amp; Lawal, 2024; Ebert et al., 2021; Wu et al., 2024). By continuously monitoring live checkpoint throughput and calculating the 1-step error innovation (e_t-1 = y_t-1 - ŷ_t-1), the model dynamically adjusts its expected passenger backlog in real time. This dynamic feedback loop bridges the gap between pre-flight scheduling and live terminal floor operations, allowing the system to absorb severe demand shocks and recover rapidly.</w:t>
      </w:r>
    </w:p>
    <w:p w14:paraId="3D0ADC67" w14:textId="77777777" w:rsidR="00DD659A" w:rsidRDefault="00000000">
      <w:r>
        <w:rPr>
          <w:b/>
          <w:i/>
        </w:rPr>
        <w:t>Contextualizing Heuristic and Optimization Lineages</w:t>
      </w:r>
    </w:p>
    <w:p w14:paraId="64B63734" w14:textId="77777777" w:rsidR="00DD659A" w:rsidRDefault="00000000">
      <w:pPr>
        <w:ind w:firstLine="720"/>
      </w:pPr>
      <w:r>
        <w:lastRenderedPageBreak/>
        <w:t>Earlier literature in airport systems planning explored stochastic optimization and probabilistic graphical models to manage operational uncertainty. Hybrid Queue-based Bayesian Networks (HQBN; Wu et al., 2014) combined analytical queuing equations with directed acyclic graphs to diagnose bottleneck causes, while Guo et al. (2025) coupled Bayesian networks with the Best-Worst Method to evaluate terminal resilience factors. In parallel, metaheuristic optimization algorithms—such as Particle Swarm Optimization (PSO) and simulated annealing (Jiang et al., 2024; Naji et al., 2020; Sörensen, 2015; Wu, 2024)—were deployed to optimize parameter spaces in complex airport baggage and ground transit networks. While valuable for offline optimization, these metaheuristic frameworks lack the sub-second inference speeds and transparent decision rules required for tactical TSA checkpoint lane reallocation, underscoring the superior operational alignment of two-stage tree-based hybrid architectures.</w:t>
      </w:r>
    </w:p>
    <w:p w14:paraId="3D70B349" w14:textId="77777777" w:rsidR="00DD659A" w:rsidRDefault="00000000">
      <w:pPr>
        <w:spacing w:before="240" w:line="240" w:lineRule="auto"/>
      </w:pPr>
      <w:r>
        <w:rPr>
          <w:b/>
        </w:rPr>
        <w:t>Table 2.1</w:t>
      </w:r>
    </w:p>
    <w:p w14:paraId="279AD8DA" w14:textId="77777777" w:rsidR="00DD659A" w:rsidRDefault="00000000">
      <w:pPr>
        <w:spacing w:after="120" w:line="240" w:lineRule="auto"/>
      </w:pPr>
      <w:r>
        <w:rPr>
          <w:i/>
        </w:rPr>
        <w:t>Comparative Modeling Paradigm Taxonomy for Airport Passenger Screening Throughput</w:t>
      </w:r>
    </w:p>
    <w:tbl>
      <w:tblPr>
        <w:tblW w:w="0" w:type="auto"/>
        <w:jc w:val="center"/>
        <w:tblBorders>
          <w:top w:val="single" w:sz="6" w:space="0" w:color="000000"/>
          <w:bottom w:val="single" w:sz="6" w:space="0" w:color="000000"/>
        </w:tblBorders>
        <w:tblLook w:val="04A0" w:firstRow="1" w:lastRow="0" w:firstColumn="1" w:lastColumn="0" w:noHBand="0" w:noVBand="1"/>
      </w:tblPr>
      <w:tblGrid>
        <w:gridCol w:w="1585"/>
        <w:gridCol w:w="2370"/>
        <w:gridCol w:w="1796"/>
        <w:gridCol w:w="1837"/>
        <w:gridCol w:w="1772"/>
      </w:tblGrid>
      <w:tr w:rsidR="00DD659A" w14:paraId="003F99E2" w14:textId="77777777">
        <w:trPr>
          <w:jc w:val="center"/>
        </w:trPr>
        <w:tc>
          <w:tcPr>
            <w:tcW w:w="1728" w:type="dxa"/>
            <w:tcBorders>
              <w:bottom w:val="single" w:sz="6" w:space="0" w:color="000000"/>
            </w:tcBorders>
          </w:tcPr>
          <w:p w14:paraId="7A7DFB28" w14:textId="77777777" w:rsidR="00DD659A" w:rsidRDefault="00000000">
            <w:pPr>
              <w:spacing w:before="40" w:after="40" w:line="240" w:lineRule="auto"/>
            </w:pPr>
            <w:r>
              <w:rPr>
                <w:b/>
                <w:sz w:val="20"/>
              </w:rPr>
              <w:t>Modeling Paradigm</w:t>
            </w:r>
          </w:p>
        </w:tc>
        <w:tc>
          <w:tcPr>
            <w:tcW w:w="1872" w:type="dxa"/>
            <w:tcBorders>
              <w:bottom w:val="single" w:sz="6" w:space="0" w:color="000000"/>
            </w:tcBorders>
          </w:tcPr>
          <w:p w14:paraId="4E19372D" w14:textId="77777777" w:rsidR="00DD659A" w:rsidRDefault="00000000">
            <w:pPr>
              <w:spacing w:before="40" w:after="40" w:line="240" w:lineRule="auto"/>
            </w:pPr>
            <w:r>
              <w:rPr>
                <w:b/>
                <w:sz w:val="20"/>
              </w:rPr>
              <w:t>Mathematical Foundation</w:t>
            </w:r>
          </w:p>
        </w:tc>
        <w:tc>
          <w:tcPr>
            <w:tcW w:w="1872" w:type="dxa"/>
            <w:tcBorders>
              <w:bottom w:val="single" w:sz="6" w:space="0" w:color="000000"/>
            </w:tcBorders>
          </w:tcPr>
          <w:p w14:paraId="386686C0" w14:textId="77777777" w:rsidR="00DD659A" w:rsidRDefault="00000000">
            <w:pPr>
              <w:spacing w:before="40" w:after="40" w:line="240" w:lineRule="auto"/>
            </w:pPr>
            <w:r>
              <w:rPr>
                <w:b/>
                <w:sz w:val="20"/>
              </w:rPr>
              <w:t>Operational Strengths</w:t>
            </w:r>
          </w:p>
        </w:tc>
        <w:tc>
          <w:tcPr>
            <w:tcW w:w="2016" w:type="dxa"/>
            <w:tcBorders>
              <w:bottom w:val="single" w:sz="6" w:space="0" w:color="000000"/>
            </w:tcBorders>
          </w:tcPr>
          <w:p w14:paraId="504C3F94" w14:textId="77777777" w:rsidR="00DD659A" w:rsidRDefault="00000000">
            <w:pPr>
              <w:spacing w:before="40" w:after="40" w:line="240" w:lineRule="auto"/>
            </w:pPr>
            <w:r>
              <w:rPr>
                <w:b/>
                <w:sz w:val="20"/>
              </w:rPr>
              <w:t>Critical Operational Limitations</w:t>
            </w:r>
          </w:p>
        </w:tc>
        <w:tc>
          <w:tcPr>
            <w:tcW w:w="1872" w:type="dxa"/>
            <w:tcBorders>
              <w:bottom w:val="single" w:sz="6" w:space="0" w:color="000000"/>
            </w:tcBorders>
          </w:tcPr>
          <w:p w14:paraId="182FE3B7" w14:textId="77777777" w:rsidR="00DD659A" w:rsidRDefault="00000000">
            <w:pPr>
              <w:spacing w:before="40" w:after="40" w:line="240" w:lineRule="auto"/>
            </w:pPr>
            <w:r>
              <w:rPr>
                <w:b/>
                <w:sz w:val="20"/>
              </w:rPr>
              <w:t>Key Citations</w:t>
            </w:r>
          </w:p>
        </w:tc>
      </w:tr>
      <w:tr w:rsidR="00DD659A" w14:paraId="3F5E4320" w14:textId="77777777">
        <w:trPr>
          <w:jc w:val="center"/>
        </w:trPr>
        <w:tc>
          <w:tcPr>
            <w:tcW w:w="1728" w:type="dxa"/>
          </w:tcPr>
          <w:p w14:paraId="22FF21A2" w14:textId="77777777" w:rsidR="00DD659A" w:rsidRDefault="00000000">
            <w:pPr>
              <w:spacing w:before="60" w:after="60" w:line="240" w:lineRule="auto"/>
            </w:pPr>
            <w:r>
              <w:rPr>
                <w:b/>
                <w:sz w:val="19"/>
              </w:rPr>
              <w:t>Classical Queuing Theory</w:t>
            </w:r>
          </w:p>
        </w:tc>
        <w:tc>
          <w:tcPr>
            <w:tcW w:w="1872" w:type="dxa"/>
          </w:tcPr>
          <w:p w14:paraId="30BA15FA" w14:textId="77777777" w:rsidR="00DD659A" w:rsidRDefault="00000000">
            <w:pPr>
              <w:spacing w:before="60" w:after="60" w:line="240" w:lineRule="auto"/>
            </w:pPr>
            <w:r>
              <w:rPr>
                <w:sz w:val="19"/>
              </w:rPr>
              <w:t>Poisson / Exponential: M/M/s, M/G/s, NHPP</w:t>
            </w:r>
          </w:p>
        </w:tc>
        <w:tc>
          <w:tcPr>
            <w:tcW w:w="1872" w:type="dxa"/>
          </w:tcPr>
          <w:p w14:paraId="6DE9DCAD" w14:textId="77777777" w:rsidR="00DD659A" w:rsidRDefault="00000000">
            <w:pPr>
              <w:spacing w:before="60" w:after="60" w:line="240" w:lineRule="auto"/>
            </w:pPr>
            <w:r>
              <w:rPr>
                <w:sz w:val="19"/>
              </w:rPr>
              <w:t>Closed-form solutions; transparent parameterization; negligible compute latency.</w:t>
            </w:r>
          </w:p>
        </w:tc>
        <w:tc>
          <w:tcPr>
            <w:tcW w:w="2016" w:type="dxa"/>
          </w:tcPr>
          <w:p w14:paraId="3FC3D647" w14:textId="77777777" w:rsidR="00DD659A" w:rsidRDefault="00000000">
            <w:pPr>
              <w:spacing w:before="60" w:after="60" w:line="240" w:lineRule="auto"/>
            </w:pPr>
            <w:r>
              <w:rPr>
                <w:sz w:val="19"/>
              </w:rPr>
              <w:t>Fails under batch flight banks; ignores airside connecting passenger shielding; assumes static arrival rates.</w:t>
            </w:r>
          </w:p>
        </w:tc>
        <w:tc>
          <w:tcPr>
            <w:tcW w:w="1872" w:type="dxa"/>
          </w:tcPr>
          <w:p w14:paraId="57003E2E" w14:textId="77777777" w:rsidR="00DD659A" w:rsidRDefault="00000000">
            <w:pPr>
              <w:spacing w:before="60" w:after="60" w:line="240" w:lineRule="auto"/>
            </w:pPr>
            <w:r>
              <w:rPr>
                <w:sz w:val="19"/>
              </w:rPr>
              <w:t>Odoni (1986); Wang (2018); Brunetta et al. (1999); Guo et al. (2022).</w:t>
            </w:r>
          </w:p>
        </w:tc>
      </w:tr>
      <w:tr w:rsidR="00DD659A" w14:paraId="4A710715" w14:textId="77777777">
        <w:trPr>
          <w:jc w:val="center"/>
        </w:trPr>
        <w:tc>
          <w:tcPr>
            <w:tcW w:w="1728" w:type="dxa"/>
          </w:tcPr>
          <w:p w14:paraId="1E42095B" w14:textId="77777777" w:rsidR="00DD659A" w:rsidRDefault="00000000">
            <w:pPr>
              <w:spacing w:before="60" w:after="60" w:line="240" w:lineRule="auto"/>
            </w:pPr>
            <w:r>
              <w:rPr>
                <w:b/>
                <w:sz w:val="19"/>
              </w:rPr>
              <w:t>Discrete Event Simulation (DES)</w:t>
            </w:r>
          </w:p>
        </w:tc>
        <w:tc>
          <w:tcPr>
            <w:tcW w:w="1872" w:type="dxa"/>
          </w:tcPr>
          <w:p w14:paraId="666D9CA8" w14:textId="77777777" w:rsidR="00DD659A" w:rsidRDefault="00000000">
            <w:pPr>
              <w:spacing w:before="60" w:after="60" w:line="240" w:lineRule="auto"/>
            </w:pPr>
            <w:r>
              <w:rPr>
                <w:sz w:val="19"/>
              </w:rPr>
              <w:t>Stochastic entity tracking through discrete physical screening stages.</w:t>
            </w:r>
          </w:p>
        </w:tc>
        <w:tc>
          <w:tcPr>
            <w:tcW w:w="1872" w:type="dxa"/>
          </w:tcPr>
          <w:p w14:paraId="161FC681" w14:textId="77777777" w:rsidR="00DD659A" w:rsidRDefault="00000000">
            <w:pPr>
              <w:spacing w:before="60" w:after="60" w:line="240" w:lineRule="auto"/>
            </w:pPr>
            <w:r>
              <w:rPr>
                <w:sz w:val="19"/>
              </w:rPr>
              <w:t>High micro-level spatial and lane layout fidelity; granular TSO lane configuration.</w:t>
            </w:r>
          </w:p>
        </w:tc>
        <w:tc>
          <w:tcPr>
            <w:tcW w:w="2016" w:type="dxa"/>
          </w:tcPr>
          <w:p w14:paraId="5C0F04CC" w14:textId="77777777" w:rsidR="00DD659A" w:rsidRDefault="00000000">
            <w:pPr>
              <w:spacing w:before="60" w:after="60" w:line="240" w:lineRule="auto"/>
            </w:pPr>
            <w:r>
              <w:rPr>
                <w:sz w:val="19"/>
              </w:rPr>
              <w:t>Extreme calibration sensitivity; high compute latency during disruptions; passive traveler assumptions.</w:t>
            </w:r>
          </w:p>
        </w:tc>
        <w:tc>
          <w:tcPr>
            <w:tcW w:w="1872" w:type="dxa"/>
          </w:tcPr>
          <w:p w14:paraId="47380051" w14:textId="77777777" w:rsidR="00DD659A" w:rsidRDefault="00000000">
            <w:pPr>
              <w:spacing w:before="60" w:after="60" w:line="240" w:lineRule="auto"/>
            </w:pPr>
            <w:r>
              <w:rPr>
                <w:sz w:val="19"/>
              </w:rPr>
              <w:t>Brown &amp; Madhavan (2011); Takakuwa &amp; Oyama (2004); Bießlich et al. (2014).</w:t>
            </w:r>
          </w:p>
        </w:tc>
      </w:tr>
      <w:tr w:rsidR="00DD659A" w14:paraId="6CDBC202" w14:textId="77777777">
        <w:trPr>
          <w:jc w:val="center"/>
        </w:trPr>
        <w:tc>
          <w:tcPr>
            <w:tcW w:w="1728" w:type="dxa"/>
          </w:tcPr>
          <w:p w14:paraId="6D297A6E" w14:textId="77777777" w:rsidR="00DD659A" w:rsidRDefault="00000000">
            <w:pPr>
              <w:spacing w:before="60" w:after="60" w:line="240" w:lineRule="auto"/>
            </w:pPr>
            <w:r>
              <w:rPr>
                <w:b/>
                <w:sz w:val="19"/>
              </w:rPr>
              <w:t>Linear Statistical Time-Series</w:t>
            </w:r>
          </w:p>
        </w:tc>
        <w:tc>
          <w:tcPr>
            <w:tcW w:w="1872" w:type="dxa"/>
          </w:tcPr>
          <w:p w14:paraId="6B4ACAF0" w14:textId="77777777" w:rsidR="00DD659A" w:rsidRDefault="00000000">
            <w:pPr>
              <w:spacing w:before="60" w:after="60" w:line="240" w:lineRule="auto"/>
            </w:pPr>
            <w:r>
              <w:rPr>
                <w:sz w:val="19"/>
              </w:rPr>
              <w:t>Autoregressive moving average: SARIMAX(p,d,q)x(P,D,Q)s</w:t>
            </w:r>
          </w:p>
        </w:tc>
        <w:tc>
          <w:tcPr>
            <w:tcW w:w="1872" w:type="dxa"/>
          </w:tcPr>
          <w:p w14:paraId="2F58587E" w14:textId="77777777" w:rsidR="00DD659A" w:rsidRDefault="00000000">
            <w:pPr>
              <w:spacing w:before="60" w:after="60" w:line="240" w:lineRule="auto"/>
            </w:pPr>
            <w:r>
              <w:rPr>
                <w:sz w:val="19"/>
              </w:rPr>
              <w:t>Lightweight; captures diurnal (24h) and weekly (168h) cycles; clear confidence bounds.</w:t>
            </w:r>
          </w:p>
        </w:tc>
        <w:tc>
          <w:tcPr>
            <w:tcW w:w="2016" w:type="dxa"/>
          </w:tcPr>
          <w:p w14:paraId="6B47A4A0" w14:textId="77777777" w:rsidR="00DD659A" w:rsidRDefault="00000000">
            <w:pPr>
              <w:spacing w:before="60" w:after="60" w:line="240" w:lineRule="auto"/>
            </w:pPr>
            <w:r>
              <w:rPr>
                <w:sz w:val="19"/>
              </w:rPr>
              <w:t>Fails during structural breaks and severe weather ground stops; cannot model non-linear delays.</w:t>
            </w:r>
          </w:p>
        </w:tc>
        <w:tc>
          <w:tcPr>
            <w:tcW w:w="1872" w:type="dxa"/>
          </w:tcPr>
          <w:p w14:paraId="36837993" w14:textId="77777777" w:rsidR="00DD659A" w:rsidRDefault="00000000">
            <w:pPr>
              <w:spacing w:before="60" w:after="60" w:line="240" w:lineRule="auto"/>
            </w:pPr>
            <w:r>
              <w:rPr>
                <w:sz w:val="19"/>
              </w:rPr>
              <w:t>Li et al. (2017); Box et al. (2015); Hyndman &amp; Athanasopoulos (2018).</w:t>
            </w:r>
          </w:p>
        </w:tc>
      </w:tr>
      <w:tr w:rsidR="00DD659A" w14:paraId="51B0AA99" w14:textId="77777777">
        <w:trPr>
          <w:jc w:val="center"/>
        </w:trPr>
        <w:tc>
          <w:tcPr>
            <w:tcW w:w="1728" w:type="dxa"/>
          </w:tcPr>
          <w:p w14:paraId="45AEBD1D" w14:textId="77777777" w:rsidR="00DD659A" w:rsidRDefault="00000000">
            <w:pPr>
              <w:spacing w:before="60" w:after="60" w:line="240" w:lineRule="auto"/>
            </w:pPr>
            <w:r>
              <w:rPr>
                <w:b/>
                <w:sz w:val="19"/>
              </w:rPr>
              <w:t xml:space="preserve">Supervised Machine </w:t>
            </w:r>
            <w:r>
              <w:rPr>
                <w:b/>
                <w:sz w:val="19"/>
              </w:rPr>
              <w:lastRenderedPageBreak/>
              <w:t>Learning (GBM)</w:t>
            </w:r>
          </w:p>
        </w:tc>
        <w:tc>
          <w:tcPr>
            <w:tcW w:w="1872" w:type="dxa"/>
          </w:tcPr>
          <w:p w14:paraId="5B99DB13" w14:textId="77777777" w:rsidR="00DD659A" w:rsidRDefault="00000000">
            <w:pPr>
              <w:spacing w:before="60" w:after="60" w:line="240" w:lineRule="auto"/>
            </w:pPr>
            <w:r>
              <w:rPr>
                <w:sz w:val="19"/>
              </w:rPr>
              <w:lastRenderedPageBreak/>
              <w:t xml:space="preserve">Non-linear decision trees: Gradient Boosting </w:t>
            </w:r>
            <w:r>
              <w:rPr>
                <w:sz w:val="19"/>
              </w:rPr>
              <w:lastRenderedPageBreak/>
              <w:t>(HistGBM) minimizing Tweedie loss</w:t>
            </w:r>
          </w:p>
        </w:tc>
        <w:tc>
          <w:tcPr>
            <w:tcW w:w="1872" w:type="dxa"/>
          </w:tcPr>
          <w:p w14:paraId="38764411" w14:textId="77777777" w:rsidR="00DD659A" w:rsidRDefault="00000000">
            <w:pPr>
              <w:spacing w:before="60" w:after="60" w:line="240" w:lineRule="auto"/>
            </w:pPr>
            <w:r>
              <w:rPr>
                <w:sz w:val="19"/>
              </w:rPr>
              <w:lastRenderedPageBreak/>
              <w:t xml:space="preserve">Captures non-linear delays, aircraft gauge, and weather; </w:t>
            </w:r>
            <w:r>
              <w:rPr>
                <w:sz w:val="19"/>
              </w:rPr>
              <w:lastRenderedPageBreak/>
              <w:t>fast inference; auditable rules.</w:t>
            </w:r>
          </w:p>
        </w:tc>
        <w:tc>
          <w:tcPr>
            <w:tcW w:w="2016" w:type="dxa"/>
          </w:tcPr>
          <w:p w14:paraId="2C1E03B0" w14:textId="77777777" w:rsidR="00DD659A" w:rsidRDefault="00000000">
            <w:pPr>
              <w:spacing w:before="60" w:after="60" w:line="240" w:lineRule="auto"/>
            </w:pPr>
            <w:r>
              <w:rPr>
                <w:sz w:val="19"/>
              </w:rPr>
              <w:lastRenderedPageBreak/>
              <w:t xml:space="preserve">Susceptible to "Empty Checkpoint Fallacy" during </w:t>
            </w:r>
            <w:r>
              <w:rPr>
                <w:sz w:val="19"/>
              </w:rPr>
              <w:lastRenderedPageBreak/>
              <w:t>flight delays; overfits to local terminal geometry.</w:t>
            </w:r>
          </w:p>
        </w:tc>
        <w:tc>
          <w:tcPr>
            <w:tcW w:w="1872" w:type="dxa"/>
          </w:tcPr>
          <w:p w14:paraId="168043AB" w14:textId="77777777" w:rsidR="00DD659A" w:rsidRDefault="00000000">
            <w:pPr>
              <w:spacing w:before="60" w:after="60" w:line="240" w:lineRule="auto"/>
            </w:pPr>
            <w:r>
              <w:rPr>
                <w:sz w:val="19"/>
              </w:rPr>
              <w:lastRenderedPageBreak/>
              <w:t xml:space="preserve">Hopfe et al. (2024); Ribeiro et al. </w:t>
            </w:r>
            <w:r>
              <w:rPr>
                <w:sz w:val="19"/>
              </w:rPr>
              <w:lastRenderedPageBreak/>
              <w:t>(2025); Chen &amp; Guestrin (2016).</w:t>
            </w:r>
          </w:p>
        </w:tc>
      </w:tr>
      <w:tr w:rsidR="00DD659A" w14:paraId="5D66EF56" w14:textId="77777777">
        <w:trPr>
          <w:jc w:val="center"/>
        </w:trPr>
        <w:tc>
          <w:tcPr>
            <w:tcW w:w="1728" w:type="dxa"/>
          </w:tcPr>
          <w:p w14:paraId="018D8142" w14:textId="77777777" w:rsidR="00DD659A" w:rsidRDefault="00000000">
            <w:pPr>
              <w:spacing w:before="60" w:after="60" w:line="240" w:lineRule="auto"/>
            </w:pPr>
            <w:r>
              <w:rPr>
                <w:b/>
                <w:sz w:val="19"/>
              </w:rPr>
              <w:lastRenderedPageBreak/>
              <w:t>Deep Neural Networks (LSTM / GRU)</w:t>
            </w:r>
          </w:p>
        </w:tc>
        <w:tc>
          <w:tcPr>
            <w:tcW w:w="1872" w:type="dxa"/>
          </w:tcPr>
          <w:p w14:paraId="2CA47401" w14:textId="77777777" w:rsidR="00DD659A" w:rsidRDefault="00000000">
            <w:pPr>
              <w:spacing w:before="60" w:after="60" w:line="240" w:lineRule="auto"/>
            </w:pPr>
            <w:r>
              <w:rPr>
                <w:sz w:val="19"/>
              </w:rPr>
              <w:t>Recurrent hidden state: Gated recurrent units h_t = σ(Whh·h_t-1 + Wxh·x_t + b)</w:t>
            </w:r>
          </w:p>
        </w:tc>
        <w:tc>
          <w:tcPr>
            <w:tcW w:w="1872" w:type="dxa"/>
          </w:tcPr>
          <w:p w14:paraId="3C031897" w14:textId="77777777" w:rsidR="00DD659A" w:rsidRDefault="00000000">
            <w:pPr>
              <w:spacing w:before="60" w:after="60" w:line="240" w:lineRule="auto"/>
            </w:pPr>
            <w:r>
              <w:rPr>
                <w:sz w:val="19"/>
              </w:rPr>
              <w:t>Directly models complex long-sequence dependencies without manual feature engineering.</w:t>
            </w:r>
          </w:p>
        </w:tc>
        <w:tc>
          <w:tcPr>
            <w:tcW w:w="2016" w:type="dxa"/>
          </w:tcPr>
          <w:p w14:paraId="5DD3301C" w14:textId="77777777" w:rsidR="00DD659A" w:rsidRDefault="00000000">
            <w:pPr>
              <w:spacing w:before="60" w:after="60" w:line="240" w:lineRule="auto"/>
            </w:pPr>
            <w:r>
              <w:rPr>
                <w:sz w:val="19"/>
              </w:rPr>
              <w:t>Complete "black-box" opacity; FSD adoption resistance; severe spatial transfer degradation (&gt;40% error).</w:t>
            </w:r>
          </w:p>
        </w:tc>
        <w:tc>
          <w:tcPr>
            <w:tcW w:w="1872" w:type="dxa"/>
          </w:tcPr>
          <w:p w14:paraId="09E97CD7" w14:textId="77777777" w:rsidR="00DD659A" w:rsidRDefault="00000000">
            <w:pPr>
              <w:spacing w:before="60" w:after="60" w:line="240" w:lineRule="auto"/>
            </w:pPr>
            <w:r>
              <w:rPr>
                <w:sz w:val="19"/>
              </w:rPr>
              <w:t>Hochreiter &amp; Schmidhuber (1997); Adadi &amp; Berrada (2018); Viaña et al. (2024); Wang et al. (2025).</w:t>
            </w:r>
          </w:p>
        </w:tc>
      </w:tr>
      <w:tr w:rsidR="00DD659A" w14:paraId="6D88B4CE" w14:textId="77777777">
        <w:trPr>
          <w:jc w:val="center"/>
        </w:trPr>
        <w:tc>
          <w:tcPr>
            <w:tcW w:w="1728" w:type="dxa"/>
          </w:tcPr>
          <w:p w14:paraId="50F8AF07" w14:textId="77777777" w:rsidR="00DD659A" w:rsidRDefault="00000000">
            <w:pPr>
              <w:spacing w:before="60" w:after="60" w:line="240" w:lineRule="auto"/>
            </w:pPr>
            <w:r>
              <w:rPr>
                <w:b/>
                <w:sz w:val="19"/>
              </w:rPr>
              <w:t>Sequential Two-Stage State-Space Hybrids</w:t>
            </w:r>
          </w:p>
        </w:tc>
        <w:tc>
          <w:tcPr>
            <w:tcW w:w="1872" w:type="dxa"/>
          </w:tcPr>
          <w:p w14:paraId="6F5F71E3" w14:textId="77777777" w:rsidR="00DD659A" w:rsidRDefault="00000000">
            <w:pPr>
              <w:spacing w:before="60" w:after="60" w:line="240" w:lineRule="auto"/>
            </w:pPr>
            <w:r>
              <w:rPr>
                <w:sz w:val="19"/>
              </w:rPr>
              <w:t>Stage 1 Physical Schedule + Stage 2 Tree Residual + Kalman Innovation Feedback</w:t>
            </w:r>
          </w:p>
        </w:tc>
        <w:tc>
          <w:tcPr>
            <w:tcW w:w="1872" w:type="dxa"/>
          </w:tcPr>
          <w:p w14:paraId="3BA10335" w14:textId="77777777" w:rsidR="00DD659A" w:rsidRDefault="00000000">
            <w:pPr>
              <w:spacing w:before="60" w:after="60" w:line="240" w:lineRule="auto"/>
            </w:pPr>
            <w:r>
              <w:rPr>
                <w:sz w:val="19"/>
              </w:rPr>
              <w:t>Superior routine accuracy; high disruption resilience (R_MASE); high cross-airport portability.</w:t>
            </w:r>
          </w:p>
        </w:tc>
        <w:tc>
          <w:tcPr>
            <w:tcW w:w="2016" w:type="dxa"/>
          </w:tcPr>
          <w:p w14:paraId="2B04D7C1" w14:textId="77777777" w:rsidR="00DD659A" w:rsidRDefault="00000000">
            <w:pPr>
              <w:spacing w:before="60" w:after="60" w:line="240" w:lineRule="auto"/>
            </w:pPr>
            <w:r>
              <w:rPr>
                <w:sz w:val="19"/>
              </w:rPr>
              <w:t>Multi-stage training complexity; requires automated ingestion of live prior-hour floor throughput (y_t-1).</w:t>
            </w:r>
          </w:p>
        </w:tc>
        <w:tc>
          <w:tcPr>
            <w:tcW w:w="1872" w:type="dxa"/>
          </w:tcPr>
          <w:p w14:paraId="73D5D63C" w14:textId="77777777" w:rsidR="00DD659A" w:rsidRDefault="00000000">
            <w:pPr>
              <w:spacing w:before="60" w:after="60" w:line="240" w:lineRule="auto"/>
            </w:pPr>
            <w:r>
              <w:rPr>
                <w:sz w:val="19"/>
              </w:rPr>
              <w:t>Brun et al. (2025); Had et al. (2025); Ebert et al. (2021); Wu et al. (2024).</w:t>
            </w:r>
          </w:p>
        </w:tc>
      </w:tr>
    </w:tbl>
    <w:p w14:paraId="308D2A2A" w14:textId="77777777" w:rsidR="00DD659A" w:rsidRDefault="00000000">
      <w:pPr>
        <w:spacing w:before="80" w:after="240" w:line="240" w:lineRule="auto"/>
      </w:pPr>
      <w:r>
        <w:rPr>
          <w:i/>
          <w:sz w:val="20"/>
        </w:rPr>
        <w:t xml:space="preserve">Note. </w:t>
      </w:r>
      <w:r>
        <w:rPr>
          <w:sz w:val="20"/>
        </w:rPr>
        <w:t>Table synthesized from thesis literature review. Taxonomy formalizes the theoretical trade-offs across candidate modeling paradigms evaluated in Chapter IV.</w:t>
      </w:r>
    </w:p>
    <w:p w14:paraId="32975351" w14:textId="77777777" w:rsidR="00DD659A" w:rsidRDefault="00000000">
      <w:r>
        <w:rPr>
          <w:b/>
        </w:rPr>
        <w:t>Post-Pandemic Operational Volatility and the Triad of Operational Evaluation</w:t>
      </w:r>
    </w:p>
    <w:p w14:paraId="72641DE5" w14:textId="77777777" w:rsidR="00DD659A" w:rsidRDefault="00000000">
      <w:r>
        <w:rPr>
          <w:b/>
          <w:i/>
        </w:rPr>
        <w:t>The COVID-19 Catalyst and the Breakdown of Single-Metric Benchmarks</w:t>
      </w:r>
    </w:p>
    <w:p w14:paraId="05DBC15F" w14:textId="77777777" w:rsidR="00DD659A" w:rsidRDefault="00000000">
      <w:pPr>
        <w:ind w:firstLine="720"/>
      </w:pPr>
      <w:r>
        <w:t>While predictive modeling literature historically evaluated forecasting algorithms solely by minimizing point error (such as Root Mean Squared Error [RMSE] or Mean Absolute Error [MAE]) under quiescent conditions, the unprecedented operational shocks of the COVID-19 pandemic revealed that single-metric evaluations are fundamentally inadequate for aviation infrastructure (Li et al., 2023; Sun et al., 2022). The pandemic imposed abrupt, systemic structural breaks on terminal operations: airlines slashed capacity, flight schedules were radically restructured, and terminals witnessed the emergence of decentralized queue structures, physical distancing barriers, and volatile passenger processing times (Mota et al., 2021). As highly tuned historical models collapsed amidst these procedural shifts, it became evident that evaluating a forecasting tool solely on its clear-weather, nominal accuracy fails to capture its true operational viability during real-world disruptions (Li et al., 2023). In volatile modern aviation environments, predictive models must be evaluated across three distinct, complementary operational dimensions:</w:t>
      </w:r>
    </w:p>
    <w:p w14:paraId="5A9611A2" w14:textId="77777777" w:rsidR="00DD659A" w:rsidRDefault="00000000">
      <w:r>
        <w:rPr>
          <w:b/>
          <w:i/>
        </w:rPr>
        <w:t>Dimension 1: Robustness (Routine Operational Accuracy)</w:t>
      </w:r>
    </w:p>
    <w:p w14:paraId="4A2F4F90" w14:textId="77777777" w:rsidR="00DD659A" w:rsidRDefault="00000000">
      <w:pPr>
        <w:ind w:firstLine="720"/>
      </w:pPr>
      <w:r>
        <w:lastRenderedPageBreak/>
        <w:t>Grounded in the operational frameworks of Lin (2022), robustness reflects the consistency, precision, and low dispersion of forecast errors under nominal, on-time operating conditions (the FAA A14 reference benchmark: departure delays &lt; 15 minutes and cancellations = 0). A robust operational model must reliably minimize baseline RMSE without exhibiting high residual variance or excessive computational overhead during everyday hub operations.</w:t>
      </w:r>
    </w:p>
    <w:p w14:paraId="140C2DBE" w14:textId="77777777" w:rsidR="00DD659A" w:rsidRDefault="00000000">
      <w:r>
        <w:rPr>
          <w:b/>
          <w:i/>
        </w:rPr>
        <w:t>Dimension 2: Resilience (Performance Under Severe Disruption)</w:t>
      </w:r>
    </w:p>
    <w:p w14:paraId="3243911D" w14:textId="77777777" w:rsidR="00DD659A" w:rsidRDefault="00000000">
      <w:pPr>
        <w:ind w:firstLine="720"/>
      </w:pPr>
      <w:r>
        <w:t>Formalized by Schultz et al. (2021) and Kazda et al. (2022), resilience evaluates a model's stability and recovery trajectory during severe Irregular Operations (IROPS), such as FAA Ground Delay Programs (GDP; traffic initiatives holding departures at origin gates during destination bottlenecks), severe winter blizzards, and summer convective thunderstorm ground stops (departure delays ≥ 45 minutes or cancellations ≥ 5). Resilient models resist demand collapse, avoid the "Empty Checkpoint Fallacy," maintain error boundedness (R_MASE ≈ 1.00), and demonstrate a rapid Time-to-Recovery (TTR ≤ 4 hours) following acute operational shocks.</w:t>
      </w:r>
    </w:p>
    <w:p w14:paraId="6522DD20" w14:textId="77777777" w:rsidR="00DD659A" w:rsidRDefault="00000000">
      <w:r>
        <w:rPr>
          <w:b/>
          <w:i/>
        </w:rPr>
        <w:t>Dimension 3: Generalizability (Cross-Airport Zero-Shot Portability)</w:t>
      </w:r>
    </w:p>
    <w:p w14:paraId="0589FB6E" w14:textId="77777777" w:rsidR="00DD659A" w:rsidRDefault="00000000">
      <w:pPr>
        <w:ind w:firstLine="720"/>
      </w:pPr>
      <w:r>
        <w:t>Drawing upon the infrastructure transferability principles of Tang et al. (2023) and Güner &amp; Seçkin Codal (2024), generalizability measures the external validity and portability of a model when deployed across structurally diverse airport terminal facilities without requiring site-specific historical recalibration. A generalizable architecture achieves a Relative Transfer Ratio (RTR ≈ 1.00) and minimizes transfer error degradation (ΔMASE ≤ 10%), preventing the costly facility over-fitting typical of complex machine learning systems.</w:t>
      </w:r>
    </w:p>
    <w:p w14:paraId="197F6688" w14:textId="77777777" w:rsidR="00DD659A" w:rsidRDefault="00000000">
      <w:r>
        <w:rPr>
          <w:b/>
          <w:i/>
        </w:rPr>
        <w:t>Theoretical Synthesis, Asymmetric Trade-Offs, and Chapter III Handoff</w:t>
      </w:r>
    </w:p>
    <w:p w14:paraId="478D3264" w14:textId="77777777" w:rsidR="00DD659A" w:rsidRDefault="00000000">
      <w:pPr>
        <w:ind w:firstLine="720"/>
      </w:pPr>
      <w:r>
        <w:t xml:space="preserve">Crucially, this three-dimensional evaluation framework reveals inherent operational trade-offs (H1): no single forecasting paradigm universally dominates all three operational </w:t>
      </w:r>
      <w:r>
        <w:lastRenderedPageBreak/>
        <w:t>dimensions (Hopfe et al., 2024). A model engineered to maximize routine accuracy (Robustness) may collapse during severe weather shocks (Resilience), while a complex architecture tuned to absorb disruption may overfit to local terminal geometry and fail zero-shot spatial deployment (Generalizability). By formalizing these three pillars, this research establishes an objective, domain-grounded evaluation methodology that bridges the gap between theoretical data science and defensible TSA security checkpoint management, providing the direct theoretical handoff to the 4-tier filtering pipeline, the 3-model candidate evaluation suite, and the empirical benchmarks in Chapters III, IV, and V.</w:t>
      </w:r>
    </w:p>
    <w:p w14:paraId="0ED30F02" w14:textId="77777777" w:rsidR="00DD659A" w:rsidRDefault="00000000">
      <w:pPr>
        <w:ind w:firstLine="720"/>
      </w:pPr>
      <w:r>
        <w:t>In summary, this literature review establishes that modeling airport security checkpoint passenger flow requires moving beyond static, volume-centric assumptions toward dynamic, volatility-informed paradigms. Commercial air terminals operate as tightly coupled queuing networks where flight bank clustering, connecting passenger flows, and severe convective weather induce acute arrival burstiness that scales queue delays quadratically under Kingman's principles (Ca^2). The literature demonstrates that isolated analytical approaches are insufficient: deterministic schedules cannot adapt to tactical delay cascades, micro-simulations demand prohibitive calibration overhead, and unconstrained machine learning models fall victim to the Empty Checkpoint Fallacy during severe operational shocks. Conversely, hybrid predictive frameworks that couple deterministic flight schedule baselines with machine learning residual adjustments and recursive error feedback synthesize the structural stability of schedule dynamics with the empirical flexibility of data-driven learning. Evaluating these candidate architectures across the operational triad of nominal robustness, disruption resilience, and zero-shot generalizability provides the theoretical foundation for the empirical methodology and experimental design formulated in Chapter III.</w:t>
      </w:r>
    </w:p>
    <w:p w14:paraId="52C87337" w14:textId="77777777" w:rsidR="00FA05A2" w:rsidRPr="00B6050E" w:rsidRDefault="00000000" w:rsidP="004F6E50">
      <w:pPr>
        <w:contextualSpacing/>
        <w:rPr>
          <w:rFonts w:eastAsia="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q</m:t>
              </m:r>
            </m:sub>
          </m:sSub>
          <m:r>
            <w:rPr>
              <w:rFonts w:ascii="Cambria Math" w:eastAsia="Times New Roman" w:hAnsi="Cambria Math" w:cs="Times New Roman"/>
            </w:rPr>
            <m:t>≈</m:t>
          </m:r>
          <m:d>
            <m:dPr>
              <m:ctrlPr>
                <w:rPr>
                  <w:rFonts w:ascii="Cambria Math" w:eastAsia="Times New Roman" w:hAnsi="Cambria Math" w:cs="Times New Roman"/>
                </w:rPr>
              </m:ctrlPr>
            </m:dPr>
            <m:e>
              <m:f>
                <m:fPr>
                  <m:ctrlPr>
                    <w:rPr>
                      <w:rFonts w:ascii="Cambria Math" w:eastAsia="Times New Roman" w:hAnsi="Cambria Math" w:cs="Times New Roman"/>
                    </w:rPr>
                  </m:ctrlPr>
                </m:fPr>
                <m:num>
                  <m:sSup>
                    <m:sSupPr>
                      <m:ctrlPr>
                        <w:rPr>
                          <w:rFonts w:ascii="Cambria Math" w:eastAsia="Times New Roman" w:hAnsi="Cambria Math" w:cs="Times New Roman"/>
                        </w:rPr>
                      </m:ctrlPr>
                    </m:sSupPr>
                    <m:e>
                      <m:r>
                        <w:rPr>
                          <w:rFonts w:ascii="Cambria Math" w:eastAsia="Times New Roman" w:hAnsi="Cambria Math" w:cs="Times New Roman"/>
                        </w:rPr>
                        <m:t>ρ</m:t>
                      </m:r>
                    </m:e>
                    <m:sup>
                      <m:rad>
                        <m:radPr>
                          <m:degHide m:val="1"/>
                          <m:ctrlPr>
                            <w:rPr>
                              <w:rFonts w:ascii="Cambria Math" w:eastAsia="Times New Roman" w:hAnsi="Cambria Math" w:cs="Times New Roman"/>
                            </w:rPr>
                          </m:ctrlPr>
                        </m:radPr>
                        <m:deg/>
                        <m:e>
                          <m:r>
                            <w:rPr>
                              <w:rFonts w:ascii="Cambria Math" w:eastAsia="Times New Roman" w:hAnsi="Cambria Math" w:cs="Times New Roman"/>
                            </w:rPr>
                            <m:t>2</m:t>
                          </m:r>
                          <m:d>
                            <m:dPr>
                              <m:ctrlPr>
                                <w:rPr>
                                  <w:rFonts w:ascii="Cambria Math" w:eastAsia="Times New Roman" w:hAnsi="Cambria Math" w:cs="Times New Roman"/>
                                </w:rPr>
                              </m:ctrlPr>
                            </m:dPr>
                            <m:e>
                              <m:r>
                                <w:rPr>
                                  <w:rFonts w:ascii="Cambria Math" w:eastAsia="Times New Roman" w:hAnsi="Cambria Math" w:cs="Times New Roman"/>
                                </w:rPr>
                                <m:t>s+1</m:t>
                              </m:r>
                            </m:e>
                          </m:d>
                        </m:e>
                      </m:rad>
                      <m:r>
                        <w:rPr>
                          <w:rFonts w:ascii="Cambria Math" w:eastAsia="Times New Roman" w:hAnsi="Cambria Math" w:cs="Times New Roman"/>
                        </w:rPr>
                        <m:t>-1</m:t>
                      </m:r>
                    </m:sup>
                  </m:sSup>
                </m:num>
                <m:den>
                  <m:r>
                    <w:rPr>
                      <w:rFonts w:ascii="Cambria Math" w:eastAsia="Times New Roman" w:hAnsi="Cambria Math" w:cs="Times New Roman"/>
                    </w:rPr>
                    <m:t>s</m:t>
                  </m:r>
                  <m:d>
                    <m:dPr>
                      <m:ctrlPr>
                        <w:rPr>
                          <w:rFonts w:ascii="Cambria Math" w:eastAsia="Times New Roman" w:hAnsi="Cambria Math" w:cs="Times New Roman"/>
                        </w:rPr>
                      </m:ctrlPr>
                    </m:dPr>
                    <m:e>
                      <m:r>
                        <w:rPr>
                          <w:rFonts w:ascii="Cambria Math" w:eastAsia="Times New Roman" w:hAnsi="Cambria Math" w:cs="Times New Roman"/>
                        </w:rPr>
                        <m:t>1-ρ</m:t>
                      </m:r>
                    </m:e>
                  </m:d>
                </m:den>
              </m:f>
            </m:e>
          </m:d>
          <m:d>
            <m:dPr>
              <m:ctrlPr>
                <w:rPr>
                  <w:rFonts w:ascii="Cambria Math" w:eastAsia="Times New Roman" w:hAnsi="Cambria Math" w:cs="Times New Roman"/>
                </w:rPr>
              </m:ctrlPr>
            </m:dPr>
            <m:e>
              <m:f>
                <m:fPr>
                  <m:ctrlPr>
                    <w:rPr>
                      <w:rFonts w:ascii="Cambria Math" w:eastAsia="Times New Roman" w:hAnsi="Cambria Math" w:cs="Times New Roman"/>
                    </w:rPr>
                  </m:ctrlPr>
                </m:fPr>
                <m:num>
                  <m:sSubSup>
                    <m:sSubSupPr>
                      <m:ctrlPr>
                        <w:rPr>
                          <w:rFonts w:ascii="Cambria Math" w:eastAsia="Times New Roman" w:hAnsi="Cambria Math" w:cs="Times New Roman"/>
                        </w:rPr>
                      </m:ctrlPr>
                    </m:sSubSupPr>
                    <m:e>
                      <m:r>
                        <w:rPr>
                          <w:rFonts w:ascii="Cambria Math" w:eastAsia="Times New Roman" w:hAnsi="Cambria Math" w:cs="Times New Roman"/>
                        </w:rPr>
                        <m:t>C</m:t>
                      </m:r>
                    </m:e>
                    <m:sub>
                      <m:r>
                        <w:rPr>
                          <w:rFonts w:ascii="Cambria Math" w:eastAsia="Times New Roman" w:hAnsi="Cambria Math" w:cs="Times New Roman"/>
                        </w:rPr>
                        <m:t>a</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C</m:t>
                      </m:r>
                    </m:e>
                    <m:sub>
                      <m:r>
                        <w:rPr>
                          <w:rFonts w:ascii="Cambria Math" w:eastAsia="Times New Roman" w:hAnsi="Cambria Math" w:cs="Times New Roman"/>
                        </w:rPr>
                        <m:t>s</m:t>
                      </m:r>
                    </m:sub>
                    <m:sup>
                      <m:r>
                        <w:rPr>
                          <w:rFonts w:ascii="Cambria Math" w:eastAsia="Times New Roman" w:hAnsi="Cambria Math" w:cs="Times New Roman"/>
                        </w:rPr>
                        <m:t>2</m:t>
                      </m:r>
                    </m:sup>
                  </m:sSubSup>
                </m:num>
                <m:den>
                  <m:r>
                    <w:rPr>
                      <w:rFonts w:ascii="Cambria Math" w:eastAsia="Times New Roman" w:hAnsi="Cambria Math" w:cs="Times New Roman"/>
                    </w:rPr>
                    <m:t>2</m:t>
                  </m:r>
                </m:den>
              </m:f>
            </m:e>
          </m:d>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μ</m:t>
              </m:r>
            </m:den>
          </m:f>
          <m:r>
            <m:rPr>
              <m:sty m:val="p"/>
            </m:rPr>
            <w:rPr>
              <w:rFonts w:eastAsia="Times New Roman" w:cs="Times New Roman"/>
            </w:rPr>
            <w:br/>
          </m:r>
        </m:oMath>
      </m:oMathPara>
    </w:p>
    <w:sectPr w:rsidR="00FA05A2" w:rsidRPr="00B6050E"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9T17:25:00Z" w:initials="GL">
    <w:p w14:paraId="036519A7" w14:textId="77777777" w:rsidR="006B5107" w:rsidRDefault="006B5107" w:rsidP="00D705AE">
      <w:r>
        <w:rPr>
          <w:rStyle w:val="CommentReference"/>
        </w:rPr>
        <w:annotationRef/>
      </w:r>
      <w:r>
        <w:rPr>
          <w:sz w:val="20"/>
          <w:szCs w:val="20"/>
        </w:rPr>
        <w:t>Revisit and reword</w:t>
      </w:r>
    </w:p>
  </w:comment>
  <w:comment w:id="1" w:author="Gleich, Leila" w:date="2026-10-10T10:52:00Z" w:initials="GL">
    <w:p w14:paraId="22A1AE90" w14:textId="77777777" w:rsidR="003F28D1" w:rsidRDefault="003F28D1" w:rsidP="003F28D1">
      <w:r>
        <w:rPr>
          <w:rStyle w:val="CommentReference"/>
        </w:rPr>
        <w:annotationRef/>
      </w:r>
      <w:r>
        <w:rPr>
          <w:sz w:val="20"/>
          <w:szCs w:val="20"/>
        </w:rPr>
        <w:t>shorten</w:t>
      </w:r>
    </w:p>
  </w:comment>
  <w:comment w:id="2" w:author="Gleich, Leila" w:date="2026-10-10T10:59:00Z" w:initials="GL">
    <w:p w14:paraId="270B5DCE" w14:textId="77777777" w:rsidR="00EC697D" w:rsidRDefault="00EC697D" w:rsidP="00EC697D">
      <w:r>
        <w:rPr>
          <w:rStyle w:val="CommentReference"/>
        </w:rPr>
        <w:annotationRef/>
      </w:r>
      <w:r>
        <w:rPr>
          <w:sz w:val="20"/>
          <w:szCs w:val="20"/>
        </w:rPr>
        <w:t>too much jargon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6519A7" w15:done="1"/>
  <w15:commentEx w15:paraId="22A1AE90" w15:done="0"/>
  <w15:commentEx w15:paraId="270B5D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1FC2D5" w16cex:dateUtc="2026-10-10T00:25:00Z"/>
  <w16cex:commentExtensible w16cex:durableId="53DF3171" w16cex:dateUtc="2026-10-10T17:52:00Z"/>
  <w16cex:commentExtensible w16cex:durableId="5742E925" w16cex:dateUtc="2026-10-10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6519A7" w16cid:durableId="0E1FC2D5"/>
  <w16cid:commentId w16cid:paraId="22A1AE90" w16cid:durableId="53DF3171"/>
  <w16cid:commentId w16cid:paraId="270B5DCE" w16cid:durableId="5742E9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332436">
    <w:abstractNumId w:val="8"/>
  </w:num>
  <w:num w:numId="2" w16cid:durableId="724260013">
    <w:abstractNumId w:val="6"/>
  </w:num>
  <w:num w:numId="3" w16cid:durableId="991640671">
    <w:abstractNumId w:val="5"/>
  </w:num>
  <w:num w:numId="4" w16cid:durableId="951982675">
    <w:abstractNumId w:val="4"/>
  </w:num>
  <w:num w:numId="5" w16cid:durableId="1922639712">
    <w:abstractNumId w:val="7"/>
  </w:num>
  <w:num w:numId="6" w16cid:durableId="582375938">
    <w:abstractNumId w:val="3"/>
  </w:num>
  <w:num w:numId="7" w16cid:durableId="277031948">
    <w:abstractNumId w:val="2"/>
  </w:num>
  <w:num w:numId="8" w16cid:durableId="151992802">
    <w:abstractNumId w:val="1"/>
  </w:num>
  <w:num w:numId="9" w16cid:durableId="178333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93"/>
    <w:rsid w:val="00034616"/>
    <w:rsid w:val="0006063C"/>
    <w:rsid w:val="0015074B"/>
    <w:rsid w:val="00202AEB"/>
    <w:rsid w:val="0029386F"/>
    <w:rsid w:val="0029639D"/>
    <w:rsid w:val="00326F90"/>
    <w:rsid w:val="003B19C0"/>
    <w:rsid w:val="003F28D1"/>
    <w:rsid w:val="00583472"/>
    <w:rsid w:val="0068078F"/>
    <w:rsid w:val="006B5107"/>
    <w:rsid w:val="007C1EAA"/>
    <w:rsid w:val="00821D05"/>
    <w:rsid w:val="00A811CA"/>
    <w:rsid w:val="00AA1D8D"/>
    <w:rsid w:val="00B47730"/>
    <w:rsid w:val="00C40628"/>
    <w:rsid w:val="00CB0664"/>
    <w:rsid w:val="00DD659A"/>
    <w:rsid w:val="00EC697D"/>
    <w:rsid w:val="00F62CB5"/>
    <w:rsid w:val="00FA05A2"/>
    <w:rsid w:val="00FA5BDB"/>
    <w:rsid w:val="00FC693F"/>
    <w:rsid w:val="00FD7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2BDB1E-7390-D047-887F-C96A62AF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B5107"/>
    <w:rPr>
      <w:sz w:val="16"/>
      <w:szCs w:val="16"/>
    </w:rPr>
  </w:style>
  <w:style w:type="paragraph" w:styleId="CommentText">
    <w:name w:val="annotation text"/>
    <w:basedOn w:val="Normal"/>
    <w:link w:val="CommentTextChar"/>
    <w:uiPriority w:val="99"/>
    <w:semiHidden/>
    <w:unhideWhenUsed/>
    <w:rsid w:val="003F28D1"/>
    <w:pPr>
      <w:spacing w:line="240" w:lineRule="auto"/>
    </w:pPr>
    <w:rPr>
      <w:sz w:val="20"/>
      <w:szCs w:val="20"/>
    </w:rPr>
  </w:style>
  <w:style w:type="character" w:customStyle="1" w:styleId="CommentTextChar">
    <w:name w:val="Comment Text Char"/>
    <w:basedOn w:val="DefaultParagraphFont"/>
    <w:link w:val="CommentText"/>
    <w:uiPriority w:val="99"/>
    <w:semiHidden/>
    <w:rsid w:val="003F28D1"/>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F28D1"/>
    <w:rPr>
      <w:b/>
      <w:bCs/>
    </w:rPr>
  </w:style>
  <w:style w:type="character" w:customStyle="1" w:styleId="CommentSubjectChar">
    <w:name w:val="Comment Subject Char"/>
    <w:basedOn w:val="CommentTextChar"/>
    <w:link w:val="CommentSubject"/>
    <w:uiPriority w:val="99"/>
    <w:semiHidden/>
    <w:rsid w:val="003F28D1"/>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5120</Words>
  <Characters>29189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2</cp:revision>
  <dcterms:created xsi:type="dcterms:W3CDTF">2026-10-10T18:13:00Z</dcterms:created>
  <dcterms:modified xsi:type="dcterms:W3CDTF">2026-10-10T18:13:00Z</dcterms:modified>
  <cp:category/>
</cp:coreProperties>
</file>