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480" w:lineRule="auto"/>
        <w:jc w:val="center"/>
      </w:pPr>
      <w:r>
        <w:rPr>
          <w:rFonts w:ascii="Times New Roman" w:hAnsi="Times New Roman"/>
          <w:b/>
          <w:sz w:val="28"/>
        </w:rPr>
        <w:t>Methodological and Technical Appendices for Chapter II</w:t>
      </w:r>
    </w:p>
    <w:p>
      <w:pPr>
        <w:spacing w:before="360" w:after="240" w:line="480" w:lineRule="auto"/>
        <w:jc w:val="center"/>
      </w:pPr>
      <w:r>
        <w:rPr>
          <w:rFonts w:ascii="Times New Roman" w:hAnsi="Times New Roman"/>
          <w:b/>
          <w:sz w:val="24"/>
        </w:rPr>
        <w:t>Appendix A</w:t>
        <w:br/>
      </w:r>
      <w:r>
        <w:rPr>
          <w:rFonts w:ascii="Times New Roman" w:hAnsi="Times New Roman"/>
          <w:b/>
          <w:sz w:val="24"/>
        </w:rPr>
        <w:t>Queuing Theory Derivations, Heavy-Traffic Approximations, and Volatility Dispersion Formulas</w:t>
      </w:r>
    </w:p>
    <w:p>
      <w:pPr>
        <w:spacing w:before="240" w:after="120" w:line="480" w:lineRule="auto"/>
        <w:jc w:val="left"/>
      </w:pPr>
      <w:r>
        <w:rPr>
          <w:rFonts w:ascii="Times New Roman" w:hAnsi="Times New Roman"/>
          <w:b/>
          <w:sz w:val="24"/>
        </w:rPr>
        <w:t>A.1 Classical Poisson and Kendall Notation Formulations</w:t>
      </w:r>
    </w:p>
    <w:p>
      <w:pPr>
        <w:spacing w:before="0" w:after="120" w:line="480" w:lineRule="auto"/>
        <w:ind w:firstLine="720"/>
        <w:jc w:val="both"/>
      </w:pPr>
      <w:r>
        <w:rPr>
          <w:rFonts w:ascii="Times New Roman" w:hAnsi="Times New Roman"/>
          <w:sz w:val="24"/>
        </w:rPr>
        <w:t>In classical queuing systems, screening facilities are formalized using Kendall notation A/S/c/K/N/D, typically reduced to A/S/s, where A represents the inter-arrival time distribution, S represents the service time distribution, and s denotes the number of parallel servers (screening lanes). In an M/M/s queuing model, arrival intervals follow a Poisson process with arrival rate λ, and service durations adhere to an exponential distribution with service rate μ per active screening lane. The operational traffic intensity (utilization rate) ρ is formulated as:</w:t>
      </w:r>
    </w:p>
    <w:p>
      <w:pPr>
        <w:spacing w:before="120" w:after="120" w:line="360" w:lineRule="auto"/>
        <w:jc w:val="center"/>
      </w:pPr>
      <w:r>
        <w:rPr>
          <w:rFonts w:ascii="Times New Roman" w:hAnsi="Times New Roman"/>
          <w:i/>
          <w:sz w:val="22"/>
        </w:rPr>
        <w:t>ρ = λ / (s · μ)</w:t>
      </w:r>
    </w:p>
    <w:p>
      <w:pPr>
        <w:spacing w:before="0" w:after="120" w:line="480" w:lineRule="auto"/>
        <w:ind w:firstLine="720"/>
        <w:jc w:val="both"/>
      </w:pPr>
      <w:r>
        <w:rPr>
          <w:rFonts w:ascii="Times New Roman" w:hAnsi="Times New Roman"/>
          <w:sz w:val="24"/>
        </w:rPr>
        <w:t>Under steady-state equilibrium (ρ &lt; 1.0), the probability of zero entities in the system P_0 and the expected waiting time in queue W_q are derived from Erlang-C formulations:</w:t>
      </w:r>
    </w:p>
    <w:p>
      <w:pPr>
        <w:spacing w:before="120" w:after="120" w:line="360" w:lineRule="auto"/>
        <w:jc w:val="center"/>
      </w:pPr>
      <w:r>
        <w:rPr>
          <w:rFonts w:ascii="Times New Roman" w:hAnsi="Times New Roman"/>
          <w:i/>
          <w:sz w:val="22"/>
        </w:rPr>
        <w:t>P_0 = [ ∑_{n=0}^{s-1} ((s·ρ)^n / n!) + ((s·ρ)^s / (s! · (1 - ρ))) ]^(-1)</w:t>
      </w:r>
    </w:p>
    <w:p>
      <w:pPr>
        <w:spacing w:before="120" w:after="120" w:line="360" w:lineRule="auto"/>
        <w:jc w:val="center"/>
      </w:pPr>
      <w:r>
        <w:rPr>
          <w:rFonts w:ascii="Times New Roman" w:hAnsi="Times New Roman"/>
          <w:i/>
          <w:sz w:val="22"/>
        </w:rPr>
        <w:t>W_q = [ (s·ρ)^s / (s! · (1 - ρ)^2 · s · μ) ] · P_0</w:t>
      </w:r>
    </w:p>
    <w:p>
      <w:pPr>
        <w:spacing w:before="240" w:after="120" w:line="480" w:lineRule="auto"/>
        <w:jc w:val="left"/>
      </w:pPr>
      <w:r>
        <w:rPr>
          <w:rFonts w:ascii="Times New Roman" w:hAnsi="Times New Roman"/>
          <w:b/>
          <w:sz w:val="24"/>
        </w:rPr>
        <w:t>A.2 Non-Homogeneous Poisson Processes (NHPP)</w:t>
      </w:r>
    </w:p>
    <w:p>
      <w:pPr>
        <w:spacing w:before="0" w:after="120" w:line="480" w:lineRule="auto"/>
        <w:ind w:firstLine="720"/>
        <w:jc w:val="both"/>
      </w:pPr>
      <w:r>
        <w:rPr>
          <w:rFonts w:ascii="Times New Roman" w:hAnsi="Times New Roman"/>
          <w:sz w:val="24"/>
        </w:rPr>
        <w:t>To accommodate the time-varying nature of airline flight schedules, Non-Homogeneous Poisson Processes (NHPP) replace static arrival rate λ with an integrable, deterministic time-dependent rate function λ(t). The expected cumulative arrival count m(t) over interval [0, t] is formulated as:</w:t>
      </w:r>
    </w:p>
    <w:p>
      <w:pPr>
        <w:spacing w:before="120" w:after="120" w:line="360" w:lineRule="auto"/>
        <w:jc w:val="center"/>
      </w:pPr>
      <w:r>
        <w:rPr>
          <w:rFonts w:ascii="Times New Roman" w:hAnsi="Times New Roman"/>
          <w:i/>
          <w:sz w:val="22"/>
        </w:rPr>
        <w:t>m(t) = ∫_0^t λ(u) du</w:t>
      </w:r>
    </w:p>
    <w:p>
      <w:pPr>
        <w:spacing w:before="0" w:after="120" w:line="480" w:lineRule="auto"/>
        <w:ind w:firstLine="720"/>
        <w:jc w:val="both"/>
      </w:pPr>
      <w:r>
        <w:rPr>
          <w:rFonts w:ascii="Times New Roman" w:hAnsi="Times New Roman"/>
          <w:sz w:val="24"/>
        </w:rPr>
        <w:t>While NHPP accommodates diurnal wave patterns, it remains fundamentally bounded by the assumption of independent increments, failing to account for intra-bank passenger correlations where ticketed passenger cohorts arrive in tight, non-independent clusters.</w:t>
      </w:r>
    </w:p>
    <w:p>
      <w:pPr>
        <w:spacing w:before="240" w:after="120" w:line="480" w:lineRule="auto"/>
        <w:jc w:val="left"/>
      </w:pPr>
      <w:r>
        <w:rPr>
          <w:rFonts w:ascii="Times New Roman" w:hAnsi="Times New Roman"/>
          <w:b/>
          <w:sz w:val="24"/>
        </w:rPr>
        <w:t>A.3 Heavy-Traffic Queuing and the Kingman / Allen-Cunneen Approximations</w:t>
      </w:r>
    </w:p>
    <w:p>
      <w:pPr>
        <w:spacing w:before="0" w:after="120" w:line="480" w:lineRule="auto"/>
        <w:ind w:firstLine="720"/>
        <w:jc w:val="both"/>
      </w:pPr>
      <w:r>
        <w:rPr>
          <w:rFonts w:ascii="Times New Roman" w:hAnsi="Times New Roman"/>
          <w:sz w:val="24"/>
        </w:rPr>
        <w:t>In heavy-traffic regimes where lane utilization approaches maximum saturation (ρ → 1.0), the Allen-Cunneen approximation for general G/G/s screening facilities demonstrates that expected waiting times scale linearly not with mean volume, but with arrival and service volatility:</w:t>
      </w:r>
    </w:p>
    <w:p>
      <w:pPr>
        <w:spacing w:before="120" w:after="120" w:line="360" w:lineRule="auto"/>
        <w:jc w:val="center"/>
      </w:pPr>
      <w:r>
        <w:rPr>
          <w:rFonts w:ascii="Times New Roman" w:hAnsi="Times New Roman"/>
          <w:i/>
          <w:sz w:val="22"/>
        </w:rPr>
        <w:t>W_q ≈ [ (C_a^2 + C_s^2) / 2 ] · [ ρ / (1 - ρ) ] · (1 / (s · μ))</w:t>
      </w:r>
    </w:p>
    <w:p>
      <w:pPr>
        <w:spacing w:before="0" w:after="120" w:line="480" w:lineRule="auto"/>
        <w:ind w:firstLine="720"/>
        <w:jc w:val="both"/>
      </w:pPr>
      <w:r>
        <w:rPr>
          <w:rFonts w:ascii="Times New Roman" w:hAnsi="Times New Roman"/>
          <w:sz w:val="24"/>
        </w:rPr>
        <w:t>where C_a^2 = Var(T_a) / [E(T_a)]^2 is the squared coefficient of variation of inter-arrival times, and C_s^2 = Var(T_s) / [E(T_s)]^2 is the squared coefficient of variation of screening durations. As utilization ρ approaches 1.0 during flight bank departures, the non-linear scaling multiplier [ρ / (1 - ρ)] amplifies arrival volatility C_a^2 exponentially, triggering terminal crowd surges.</w:t>
      </w:r>
    </w:p>
    <w:p>
      <w:pPr>
        <w:spacing w:before="240" w:after="120" w:line="480" w:lineRule="auto"/>
        <w:jc w:val="left"/>
      </w:pPr>
      <w:r>
        <w:rPr>
          <w:rFonts w:ascii="Times New Roman" w:hAnsi="Times New Roman"/>
          <w:b/>
          <w:sz w:val="24"/>
        </w:rPr>
        <w:t>A.4 Tweedie-Poisson Compound Dispersion Mechanics</w:t>
      </w:r>
    </w:p>
    <w:p>
      <w:pPr>
        <w:spacing w:before="0" w:after="120" w:line="480" w:lineRule="auto"/>
        <w:ind w:firstLine="720"/>
        <w:jc w:val="both"/>
      </w:pPr>
      <w:r>
        <w:rPr>
          <w:rFonts w:ascii="Times New Roman" w:hAnsi="Times New Roman"/>
          <w:sz w:val="24"/>
        </w:rPr>
        <w:t>The relationship between passenger arrival volume and intraday volatility is governed by compound Poisson dispersion. Checkpoint hourly arrival counts Y_t follow an exponential dispersion model where the variance scales as a power function of the mean volume:</w:t>
      </w:r>
    </w:p>
    <w:p>
      <w:pPr>
        <w:spacing w:before="120" w:after="120" w:line="360" w:lineRule="auto"/>
        <w:jc w:val="center"/>
      </w:pPr>
      <w:r>
        <w:rPr>
          <w:rFonts w:ascii="Times New Roman" w:hAnsi="Times New Roman"/>
          <w:i/>
          <w:sz w:val="22"/>
        </w:rPr>
        <w:t>Var(Y_t) = ϕ · [E(Y_t)]^p</w:t>
      </w:r>
    </w:p>
    <w:p>
      <w:pPr>
        <w:spacing w:before="0" w:after="120" w:line="480" w:lineRule="auto"/>
        <w:ind w:firstLine="720"/>
        <w:jc w:val="both"/>
      </w:pPr>
      <w:r>
        <w:rPr>
          <w:rFonts w:ascii="Times New Roman" w:hAnsi="Times New Roman"/>
          <w:sz w:val="24"/>
        </w:rPr>
        <w:t>where p ∈ (1, 2) represents a Tweedie compound Poisson-gamma distribution, and ϕ is the dispersion scale parameter. Because intraday variance σ_{TSA,hr} naturally expands alongside total scheduled seats, published flight schedules provide an accurate baseline predictor for routine volume. Conversely, multi-day volatility σ_{TSA,7d} is driven by disruption volatility (flight cancellation rates, delay spreads, and gate holds).</w:t>
      </w:r>
    </w:p>
    <w:p>
      <w:pPr>
        <w:spacing w:before="360" w:after="240" w:line="480" w:lineRule="auto"/>
        <w:jc w:val="center"/>
      </w:pPr>
      <w:r>
        <w:rPr>
          <w:rFonts w:ascii="Times New Roman" w:hAnsi="Times New Roman"/>
          <w:b/>
          <w:sz w:val="24"/>
        </w:rPr>
        <w:t>Appendix B</w:t>
        <w:br/>
      </w:r>
      <w:r>
        <w:rPr>
          <w:rFonts w:ascii="Times New Roman" w:hAnsi="Times New Roman"/>
          <w:b/>
          <w:sz w:val="24"/>
        </w:rPr>
        <w:t>Comparative Modeling Paradigm Taxonomy for Airport Screening Facilities</w:t>
      </w:r>
    </w:p>
    <w:p>
      <w:pPr>
        <w:spacing w:before="0" w:after="120" w:line="480" w:lineRule="auto"/>
        <w:ind w:firstLine="720"/>
        <w:jc w:val="both"/>
      </w:pPr>
      <w:r>
        <w:rPr>
          <w:rFonts w:ascii="Times New Roman" w:hAnsi="Times New Roman"/>
          <w:sz w:val="24"/>
        </w:rPr>
        <w:t>This taxonomy formalizes the theoretical trade-offs across candidate modeling paradigms evaluated in the literature, providing the analytical rationale for the three candidate models investigated in this thesis.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val="single" w:sz="12" w:color="000000"/>
              <w:bottom w:val="single" w:sz="8" w:color="000000"/>
            </w:tcBorders>
          </w:tcPr>
          <w:p>
            <w:pPr>
              <w:jc w:val="center"/>
            </w:pPr>
            <w:r>
              <w:rPr>
                <w:b/>
              </w:rPr>
              <w:t>Paradigm</w:t>
            </w:r>
          </w:p>
        </w:tc>
        <w:tc>
          <w:tcPr>
            <w:tcW w:type="dxa" w:w="1560"/>
            <w:tcBorders>
              <w:top w:val="single" w:sz="12" w:color="000000"/>
              <w:bottom w:val="single" w:sz="8" w:color="000000"/>
            </w:tcBorders>
          </w:tcPr>
          <w:p>
            <w:pPr>
              <w:jc w:val="center"/>
            </w:pPr>
            <w:r>
              <w:rPr>
                <w:b/>
              </w:rPr>
              <w:t>Primary Strengths</w:t>
            </w:r>
          </w:p>
        </w:tc>
        <w:tc>
          <w:tcPr>
            <w:tcW w:type="dxa" w:w="1560"/>
            <w:tcBorders>
              <w:top w:val="single" w:sz="12" w:color="000000"/>
              <w:bottom w:val="single" w:sz="8" w:color="000000"/>
            </w:tcBorders>
          </w:tcPr>
          <w:p>
            <w:pPr>
              <w:jc w:val="center"/>
            </w:pPr>
            <w:r>
              <w:rPr>
                <w:b/>
              </w:rPr>
              <w:t>Operational Failure Modes</w:t>
            </w:r>
          </w:p>
        </w:tc>
        <w:tc>
          <w:tcPr>
            <w:tcW w:type="dxa" w:w="1560"/>
            <w:tcBorders>
              <w:top w:val="single" w:sz="12" w:color="000000"/>
              <w:bottom w:val="single" w:sz="8" w:color="000000"/>
            </w:tcBorders>
          </w:tcPr>
          <w:p>
            <w:pPr>
              <w:jc w:val="center"/>
            </w:pPr>
            <w:r>
              <w:rPr>
                <w:b/>
              </w:rPr>
              <w:t>Latency</w:t>
            </w:r>
          </w:p>
        </w:tc>
        <w:tc>
          <w:tcPr>
            <w:tcW w:type="dxa" w:w="1560"/>
            <w:tcBorders>
              <w:top w:val="single" w:sz="12" w:color="000000"/>
              <w:bottom w:val="single" w:sz="8" w:color="000000"/>
            </w:tcBorders>
          </w:tcPr>
          <w:p>
            <w:pPr>
              <w:jc w:val="center"/>
            </w:pPr>
            <w:r>
              <w:rPr>
                <w:b/>
              </w:rPr>
              <w:t>Interpretability</w:t>
            </w:r>
          </w:p>
        </w:tc>
        <w:tc>
          <w:tcPr>
            <w:tcW w:type="dxa" w:w="1560"/>
            <w:tcBorders>
              <w:top w:val="single" w:sz="12" w:color="000000"/>
              <w:bottom w:val="single" w:sz="8" w:color="000000"/>
            </w:tcBorders>
          </w:tcPr>
          <w:p>
            <w:pPr>
              <w:jc w:val="center"/>
            </w:pPr>
            <w:r>
              <w:rPr>
                <w:b/>
              </w:rPr>
              <w:t>Thesis Role</w:t>
            </w:r>
          </w:p>
        </w:tc>
      </w:tr>
      <w:tr>
        <w:tc>
          <w:tcPr>
            <w:tcW w:type="dxa" w:w="1560"/>
          </w:tcPr>
          <w:p>
            <w:r>
              <w:rPr>
                <w:sz w:val="19"/>
              </w:rPr>
              <w:t>Classical Queuing (M/M/s, G/G/s)</w:t>
            </w:r>
          </w:p>
        </w:tc>
        <w:tc>
          <w:tcPr>
            <w:tcW w:type="dxa" w:w="1560"/>
          </w:tcPr>
          <w:p>
            <w:r>
              <w:rPr>
                <w:sz w:val="19"/>
              </w:rPr>
              <w:t>Closed-form math; minimal data required; instantaneous computation</w:t>
            </w:r>
          </w:p>
        </w:tc>
        <w:tc>
          <w:tcPr>
            <w:tcW w:type="dxa" w:w="1560"/>
          </w:tcPr>
          <w:p>
            <w:r>
              <w:rPr>
                <w:sz w:val="19"/>
              </w:rPr>
              <w:t>Assumes steady-state λ; fails under flight banks and connecting passenger leakage</w:t>
            </w:r>
          </w:p>
        </w:tc>
        <w:tc>
          <w:tcPr>
            <w:tcW w:type="dxa" w:w="1560"/>
          </w:tcPr>
          <w:p>
            <w:r>
              <w:rPr>
                <w:sz w:val="19"/>
              </w:rPr>
              <w:t>Sub-second</w:t>
            </w:r>
          </w:p>
        </w:tc>
        <w:tc>
          <w:tcPr>
            <w:tcW w:type="dxa" w:w="1560"/>
          </w:tcPr>
          <w:p>
            <w:r>
              <w:rPr>
                <w:sz w:val="19"/>
              </w:rPr>
              <w:t>High (Glass-Box formulas)</w:t>
            </w:r>
          </w:p>
        </w:tc>
        <w:tc>
          <w:tcPr>
            <w:tcW w:type="dxa" w:w="1560"/>
          </w:tcPr>
          <w:p>
            <w:r>
              <w:rPr>
                <w:sz w:val="19"/>
              </w:rPr>
              <w:t>Theoretical foundation</w:t>
            </w:r>
          </w:p>
        </w:tc>
      </w:tr>
      <w:tr>
        <w:tc>
          <w:tcPr>
            <w:tcW w:type="dxa" w:w="1560"/>
          </w:tcPr>
          <w:p>
            <w:r>
              <w:rPr>
                <w:sz w:val="19"/>
              </w:rPr>
              <w:t>Discrete Event Simulation (DES / ARENA)</w:t>
            </w:r>
          </w:p>
        </w:tc>
        <w:tc>
          <w:tcPr>
            <w:tcW w:type="dxa" w:w="1560"/>
          </w:tcPr>
          <w:p>
            <w:r>
              <w:rPr>
                <w:sz w:val="19"/>
              </w:rPr>
              <w:t>High physical fidelity; granular modeling of passenger divestiture and lanes</w:t>
            </w:r>
          </w:p>
        </w:tc>
        <w:tc>
          <w:tcPr>
            <w:tcW w:type="dxa" w:w="1560"/>
          </w:tcPr>
          <w:p>
            <w:r>
              <w:rPr>
                <w:sz w:val="19"/>
              </w:rPr>
              <w:t>Calibration brittleness; passive traveler assumptions; heavy computational latency</w:t>
            </w:r>
          </w:p>
        </w:tc>
        <w:tc>
          <w:tcPr>
            <w:tcW w:type="dxa" w:w="1560"/>
          </w:tcPr>
          <w:p>
            <w:r>
              <w:rPr>
                <w:sz w:val="19"/>
              </w:rPr>
              <w:t>High (&gt;15 min)</w:t>
            </w:r>
          </w:p>
        </w:tc>
        <w:tc>
          <w:tcPr>
            <w:tcW w:type="dxa" w:w="1560"/>
          </w:tcPr>
          <w:p>
            <w:r>
              <w:rPr>
                <w:sz w:val="19"/>
              </w:rPr>
              <w:t>Moderate (Logical process rules)</w:t>
            </w:r>
          </w:p>
        </w:tc>
        <w:tc>
          <w:tcPr>
            <w:tcW w:type="dxa" w:w="1560"/>
          </w:tcPr>
          <w:p>
            <w:r>
              <w:rPr>
                <w:sz w:val="19"/>
              </w:rPr>
              <w:t>Offline capacity planning</w:t>
            </w:r>
          </w:p>
        </w:tc>
      </w:tr>
      <w:tr>
        <w:tc>
          <w:tcPr>
            <w:tcW w:type="dxa" w:w="1560"/>
          </w:tcPr>
          <w:p>
            <w:r>
              <w:rPr>
                <w:sz w:val="19"/>
              </w:rPr>
              <w:t>Statistical Time Series (ARIMA / SARIMA)</w:t>
            </w:r>
          </w:p>
        </w:tc>
        <w:tc>
          <w:tcPr>
            <w:tcW w:type="dxa" w:w="1560"/>
          </w:tcPr>
          <w:p>
            <w:r>
              <w:rPr>
                <w:sz w:val="19"/>
              </w:rPr>
              <w:t>Captures diurnal seasonality and past arrival autocorrelation</w:t>
            </w:r>
          </w:p>
        </w:tc>
        <w:tc>
          <w:tcPr>
            <w:tcW w:type="dxa" w:w="1560"/>
          </w:tcPr>
          <w:p>
            <w:r>
              <w:rPr>
                <w:sz w:val="19"/>
              </w:rPr>
              <w:t>Univariate blindness; cannot ingest real-time flight delays, gate holds, or weather shocks</w:t>
            </w:r>
          </w:p>
        </w:tc>
        <w:tc>
          <w:tcPr>
            <w:tcW w:type="dxa" w:w="1560"/>
          </w:tcPr>
          <w:p>
            <w:r>
              <w:rPr>
                <w:sz w:val="19"/>
              </w:rPr>
              <w:t>Low (&lt;1 sec)</w:t>
            </w:r>
          </w:p>
        </w:tc>
        <w:tc>
          <w:tcPr>
            <w:tcW w:type="dxa" w:w="1560"/>
          </w:tcPr>
          <w:p>
            <w:r>
              <w:rPr>
                <w:sz w:val="19"/>
              </w:rPr>
              <w:t>Moderate (Autoregressive weights)</w:t>
            </w:r>
          </w:p>
        </w:tc>
        <w:tc>
          <w:tcPr>
            <w:tcW w:type="dxa" w:w="1560"/>
          </w:tcPr>
          <w:p>
            <w:r>
              <w:rPr>
                <w:sz w:val="19"/>
              </w:rPr>
              <w:t>Non-parametric benchmark</w:t>
            </w:r>
          </w:p>
        </w:tc>
      </w:tr>
      <w:tr>
        <w:tc>
          <w:tcPr>
            <w:tcW w:type="dxa" w:w="1560"/>
          </w:tcPr>
          <w:p>
            <w:r>
              <w:rPr>
                <w:sz w:val="19"/>
              </w:rPr>
              <w:t>Deep Sequence Models (LSTM / GRU / FINM)</w:t>
            </w:r>
          </w:p>
        </w:tc>
        <w:tc>
          <w:tcPr>
            <w:tcW w:type="dxa" w:w="1560"/>
          </w:tcPr>
          <w:p>
            <w:r>
              <w:rPr>
                <w:sz w:val="19"/>
              </w:rPr>
              <w:t>Learns complex non-linear temporal interactions and multi-scale features</w:t>
            </w:r>
          </w:p>
        </w:tc>
        <w:tc>
          <w:tcPr>
            <w:tcW w:type="dxa" w:w="1560"/>
          </w:tcPr>
          <w:p>
            <w:r>
              <w:rPr>
                <w:sz w:val="19"/>
              </w:rPr>
              <w:t>Black-box opacity; facility-specific over-fitting; acute spatial transfer collapse (&gt;40%)</w:t>
            </w:r>
          </w:p>
        </w:tc>
        <w:tc>
          <w:tcPr>
            <w:tcW w:type="dxa" w:w="1560"/>
          </w:tcPr>
          <w:p>
            <w:r>
              <w:rPr>
                <w:sz w:val="19"/>
              </w:rPr>
              <w:t>Moderate (1-5 sec)</w:t>
            </w:r>
          </w:p>
        </w:tc>
        <w:tc>
          <w:tcPr>
            <w:tcW w:type="dxa" w:w="1560"/>
          </w:tcPr>
          <w:p>
            <w:r>
              <w:rPr>
                <w:sz w:val="19"/>
              </w:rPr>
              <w:t>Low (Opaque tensor weights)</w:t>
            </w:r>
          </w:p>
        </w:tc>
        <w:tc>
          <w:tcPr>
            <w:tcW w:type="dxa" w:w="1560"/>
          </w:tcPr>
          <w:p>
            <w:r>
              <w:rPr>
                <w:sz w:val="19"/>
              </w:rPr>
              <w:t>Comparative evaluation</w:t>
            </w:r>
          </w:p>
        </w:tc>
      </w:tr>
      <w:tr>
        <w:tc>
          <w:tcPr>
            <w:tcW w:type="dxa" w:w="1560"/>
          </w:tcPr>
          <w:p>
            <w:r>
              <w:rPr>
                <w:sz w:val="19"/>
              </w:rPr>
              <w:t>Supervised Tree Ensembles (GBM / Random Forest)</w:t>
            </w:r>
          </w:p>
        </w:tc>
        <w:tc>
          <w:tcPr>
            <w:tcW w:type="dxa" w:w="1560"/>
          </w:tcPr>
          <w:p>
            <w:r>
              <w:rPr>
                <w:sz w:val="19"/>
              </w:rPr>
              <w:t>Captures non-linear delay thresholds; robust to outliers; auditable decision rules</w:t>
            </w:r>
          </w:p>
        </w:tc>
        <w:tc>
          <w:tcPr>
            <w:tcW w:type="dxa" w:w="1560"/>
          </w:tcPr>
          <w:p>
            <w:r>
              <w:rPr>
                <w:sz w:val="19"/>
              </w:rPr>
              <w:t>Purely empirical; ignores physical flight schedule geometry if trained on raw dates</w:t>
            </w:r>
          </w:p>
        </w:tc>
        <w:tc>
          <w:tcPr>
            <w:tcW w:type="dxa" w:w="1560"/>
          </w:tcPr>
          <w:p>
            <w:r>
              <w:rPr>
                <w:sz w:val="19"/>
              </w:rPr>
              <w:t>Sub-second</w:t>
            </w:r>
          </w:p>
        </w:tc>
        <w:tc>
          <w:tcPr>
            <w:tcW w:type="dxa" w:w="1560"/>
          </w:tcPr>
          <w:p>
            <w:r>
              <w:rPr>
                <w:sz w:val="19"/>
              </w:rPr>
              <w:t>High (Feature splits &amp; thresholds)</w:t>
            </w:r>
          </w:p>
        </w:tc>
        <w:tc>
          <w:tcPr>
            <w:tcW w:type="dxa" w:w="1560"/>
          </w:tcPr>
          <w:p>
            <w:r>
              <w:rPr>
                <w:sz w:val="19"/>
              </w:rPr>
              <w:t>Model 2 (Disruption Learning)</w:t>
            </w:r>
          </w:p>
        </w:tc>
      </w:tr>
      <w:tr>
        <w:tc>
          <w:tcPr>
            <w:tcW w:type="dxa" w:w="1560"/>
            <w:tcBorders>
              <w:bottom w:val="single" w:sz="12" w:color="000000"/>
            </w:tcBorders>
          </w:tcPr>
          <w:p>
            <w:r>
              <w:rPr>
                <w:sz w:val="19"/>
              </w:rPr>
              <w:t>Dynamic Two-Stage Hybrid (Schedule + Real-Time)</w:t>
            </w:r>
          </w:p>
        </w:tc>
        <w:tc>
          <w:tcPr>
            <w:tcW w:type="dxa" w:w="1560"/>
            <w:tcBorders>
              <w:bottom w:val="single" w:sz="12" w:color="000000"/>
            </w:tcBorders>
          </w:tcPr>
          <w:p>
            <w:r>
              <w:rPr>
                <w:sz w:val="19"/>
              </w:rPr>
              <w:t>Unites physical flight schedules, tree residual adjustments, and live sensor feedback</w:t>
            </w:r>
          </w:p>
        </w:tc>
        <w:tc>
          <w:tcPr>
            <w:tcW w:type="dxa" w:w="1560"/>
            <w:tcBorders>
              <w:bottom w:val="single" w:sz="12" w:color="000000"/>
            </w:tcBorders>
          </w:tcPr>
          <w:p>
            <w:r>
              <w:rPr>
                <w:sz w:val="19"/>
              </w:rPr>
              <w:t>Requires multi-source data ingestion pipeline (schedules + delays + live counts)</w:t>
            </w:r>
          </w:p>
        </w:tc>
        <w:tc>
          <w:tcPr>
            <w:tcW w:type="dxa" w:w="1560"/>
            <w:tcBorders>
              <w:bottom w:val="single" w:sz="12" w:color="000000"/>
            </w:tcBorders>
          </w:tcPr>
          <w:p>
            <w:r>
              <w:rPr>
                <w:sz w:val="19"/>
              </w:rPr>
              <w:t>Sub-second</w:t>
            </w:r>
          </w:p>
        </w:tc>
        <w:tc>
          <w:tcPr>
            <w:tcW w:type="dxa" w:w="1560"/>
            <w:tcBorders>
              <w:bottom w:val="single" w:sz="12" w:color="000000"/>
            </w:tcBorders>
          </w:tcPr>
          <w:p>
            <w:r>
              <w:rPr>
                <w:sz w:val="19"/>
              </w:rPr>
              <w:t>High (Modular decomposition)</w:t>
            </w:r>
          </w:p>
        </w:tc>
        <w:tc>
          <w:tcPr>
            <w:tcW w:type="dxa" w:w="1560"/>
            <w:tcBorders>
              <w:bottom w:val="single" w:sz="12" w:color="000000"/>
            </w:tcBorders>
          </w:tcPr>
          <w:p>
            <w:r>
              <w:rPr>
                <w:sz w:val="19"/>
              </w:rPr>
              <w:t>Model 3 (Thesis Architecture)</w:t>
            </w:r>
          </w:p>
        </w:tc>
      </w:tr>
    </w:tbl>
    <w:p>
      <w:pPr>
        <w:spacing w:before="120"/>
      </w:pPr>
    </w:p>
    <w:p>
      <w:pPr>
        <w:spacing w:before="360" w:after="240" w:line="480" w:lineRule="auto"/>
        <w:jc w:val="center"/>
      </w:pPr>
      <w:r>
        <w:rPr>
          <w:rFonts w:ascii="Times New Roman" w:hAnsi="Times New Roman"/>
          <w:b/>
          <w:sz w:val="24"/>
        </w:rPr>
        <w:t>Appendix C</w:t>
        <w:br/>
      </w:r>
      <w:r>
        <w:rPr>
          <w:rFonts w:ascii="Times New Roman" w:hAnsi="Times New Roman"/>
          <w:b/>
          <w:sz w:val="24"/>
        </w:rPr>
        <w:t>Passenger Arrival Distribution Curves and DB1B Connecting Deflation Methodology</w:t>
      </w:r>
    </w:p>
    <w:p>
      <w:pPr>
        <w:spacing w:before="240" w:after="120" w:line="480" w:lineRule="auto"/>
        <w:jc w:val="left"/>
      </w:pPr>
      <w:r>
        <w:rPr>
          <w:rFonts w:ascii="Times New Roman" w:hAnsi="Times New Roman"/>
          <w:b/>
          <w:sz w:val="24"/>
        </w:rPr>
        <w:t>C.1 ACRP Report 40 Empirical Arrival Density Function</w:t>
      </w:r>
    </w:p>
    <w:p>
      <w:pPr>
        <w:spacing w:before="0" w:after="120" w:line="480" w:lineRule="auto"/>
        <w:ind w:firstLine="720"/>
        <w:jc w:val="both"/>
      </w:pPr>
      <w:r>
        <w:rPr>
          <w:rFonts w:ascii="Times New Roman" w:hAnsi="Times New Roman"/>
          <w:sz w:val="24"/>
        </w:rPr>
        <w:t>In accordance with Airport Cooperative Research Program (ACRP) Report 40 (Airport Passenger Terminal Planning and Design; Transportation Research Board [TRB], 2010), commercial passenger arrival lead times prior to scheduled domestic departure follow an empirical lognormal distribution peaking between 90 and 120 minutes prior to pushback. The probability density function f(t) representing passenger arrival proportion at lead time t (minutes prior to departure) is formulated as:</w:t>
      </w:r>
    </w:p>
    <w:p>
      <w:pPr>
        <w:spacing w:before="120" w:after="120" w:line="360" w:lineRule="auto"/>
        <w:jc w:val="center"/>
      </w:pPr>
      <w:r>
        <w:rPr>
          <w:rFonts w:ascii="Times New Roman" w:hAnsi="Times New Roman"/>
          <w:i/>
          <w:sz w:val="22"/>
        </w:rPr>
        <w:t>f(t; μ_arr, σ_arr) = [ 1 / (t · σ_arr · √(2π)) ] · exp[ - (ln(t) - μ_arr)^2 / (2 · σ_arr^2) ]</w:t>
      </w:r>
    </w:p>
    <w:p>
      <w:pPr>
        <w:spacing w:before="0" w:after="120" w:line="480" w:lineRule="auto"/>
        <w:ind w:firstLine="720"/>
        <w:jc w:val="both"/>
      </w:pPr>
      <w:r>
        <w:rPr>
          <w:rFonts w:ascii="Times New Roman" w:hAnsi="Times New Roman"/>
          <w:sz w:val="24"/>
        </w:rPr>
        <w:t>where empirical parameters calibrated from TSA terminal observations yield μ_arr = 4.65 and σ_arr = 0.32, generating an arrival profile where 78.4% of passengers arrive between 60 and 150 minutes prior to domestic departures.</w:t>
      </w:r>
    </w:p>
    <w:p>
      <w:pPr>
        <w:spacing w:before="240" w:after="120" w:line="480" w:lineRule="auto"/>
        <w:jc w:val="left"/>
      </w:pPr>
      <w:r>
        <w:rPr>
          <w:rFonts w:ascii="Times New Roman" w:hAnsi="Times New Roman"/>
          <w:b/>
          <w:sz w:val="24"/>
        </w:rPr>
        <w:t>C.2 Bureau of Transportation Statistics (BTS) DB1B Connecting Ticket Deflation</w:t>
      </w:r>
    </w:p>
    <w:p>
      <w:pPr>
        <w:spacing w:before="0" w:after="120" w:line="480" w:lineRule="auto"/>
        <w:ind w:firstLine="720"/>
        <w:jc w:val="both"/>
      </w:pPr>
      <w:r>
        <w:rPr>
          <w:rFonts w:ascii="Times New Roman" w:hAnsi="Times New Roman"/>
          <w:sz w:val="24"/>
        </w:rPr>
        <w:t>Hub-and-spoke airlines schedule dense flight departure banks to maximize connecting transfers. Because transferring passengers arrive on inbound flights and transfer between gates airside, they never pass through landside security screening checkpoints. Directly applying flight seat capacities to checkpoint models produces gross demand overestimation. The true originating checkpoint passenger volume D_orig(f, t) for scheduled flight f is deflated via origin-destination ticket ratios derived from BTS DB1B survey data:</w:t>
      </w:r>
    </w:p>
    <w:p>
      <w:pPr>
        <w:spacing w:before="120" w:after="120" w:line="360" w:lineRule="auto"/>
        <w:jc w:val="center"/>
      </w:pPr>
      <w:r>
        <w:rPr>
          <w:rFonts w:ascii="Times New Roman" w:hAnsi="Times New Roman"/>
          <w:i/>
          <w:sz w:val="22"/>
        </w:rPr>
        <w:t>D_orig(f, t) = Seats(f) · LoadFactor(f) · [ 1 - θ_connect(Airport, Carrier) ] · f(t - SchedDept(f))</w:t>
      </w:r>
    </w:p>
    <w:p>
      <w:pPr>
        <w:spacing w:before="0" w:after="120" w:line="480" w:lineRule="auto"/>
        <w:ind w:firstLine="720"/>
        <w:jc w:val="both"/>
      </w:pPr>
      <w:r>
        <w:rPr>
          <w:rFonts w:ascii="Times New Roman" w:hAnsi="Times New Roman"/>
          <w:sz w:val="24"/>
        </w:rPr>
        <w:t>where θ_connect(Airport, Carrier) is the empirical proportion of connecting passengers for the specific operating airline at that airport hub, derived from quarterly 10% ticket samples in BTS DB1B records.</w:t>
      </w:r>
    </w:p>
    <w:p>
      <w:pPr>
        <w:spacing w:before="360" w:after="240" w:line="480" w:lineRule="auto"/>
        <w:jc w:val="center"/>
      </w:pPr>
      <w:r>
        <w:rPr>
          <w:rFonts w:ascii="Times New Roman" w:hAnsi="Times New Roman"/>
          <w:b/>
          <w:sz w:val="24"/>
        </w:rPr>
        <w:t>Appendix D</w:t>
        <w:br/>
      </w:r>
      <w:r>
        <w:rPr>
          <w:rFonts w:ascii="Times New Roman" w:hAnsi="Times New Roman"/>
          <w:b/>
          <w:sz w:val="24"/>
        </w:rPr>
        <w:t>Operational Disruption Shock Demarcation and Evaluation Triad Metrics</w:t>
      </w:r>
    </w:p>
    <w:p>
      <w:pPr>
        <w:spacing w:before="240" w:after="120" w:line="480" w:lineRule="auto"/>
        <w:jc w:val="left"/>
      </w:pPr>
      <w:r>
        <w:rPr>
          <w:rFonts w:ascii="Times New Roman" w:hAnsi="Times New Roman"/>
          <w:b/>
          <w:sz w:val="24"/>
        </w:rPr>
        <w:t>D.1 Air Traffic Disruption Regimes and Operational Shock Thresholds</w:t>
      </w:r>
    </w:p>
    <w:p>
      <w:pPr>
        <w:spacing w:before="0" w:after="120" w:line="480" w:lineRule="auto"/>
        <w:ind w:firstLine="720"/>
        <w:jc w:val="both"/>
      </w:pPr>
      <w:r>
        <w:rPr>
          <w:rFonts w:ascii="Times New Roman" w:hAnsi="Times New Roman"/>
          <w:sz w:val="24"/>
        </w:rPr>
        <w:t>To evaluate candidate forecasting models across diverse operating environments, terminal operational states are partitioned into two distinct regimes based on FAA operational metrics:</w:t>
      </w:r>
    </w:p>
    <w:p>
      <w:pPr>
        <w:spacing w:before="0" w:after="80" w:line="480" w:lineRule="auto"/>
        <w:ind w:left="720" w:hanging="360"/>
        <w:jc w:val="left"/>
      </w:pPr>
      <w:r>
        <w:rPr>
          <w:b/>
        </w:rPr>
        <w:t xml:space="preserve">•  </w:t>
      </w:r>
      <w:r>
        <w:rPr>
          <w:b/>
        </w:rPr>
        <w:t xml:space="preserve">Nominal Operating Regime (FAA A14 Benchmark): </w:t>
      </w:r>
      <w:r>
        <w:t>Characterized by standard airline schedules where average departure delay across all terminal banks is strictly less than 15 minutes (Delay_dep &lt; 15 min) and flight cancellation count is zero (Cancellations = 0). Represents the baseline operational standard.</w:t>
      </w:r>
    </w:p>
    <w:p>
      <w:pPr>
        <w:spacing w:before="0" w:after="80" w:line="480" w:lineRule="auto"/>
        <w:ind w:left="720" w:hanging="360"/>
        <w:jc w:val="left"/>
      </w:pPr>
      <w:r>
        <w:rPr>
          <w:b/>
        </w:rPr>
        <w:t xml:space="preserve">•  </w:t>
      </w:r>
      <w:r>
        <w:rPr>
          <w:b/>
        </w:rPr>
        <w:t xml:space="preserve">Disrupted Operating Regime (Irregular Operations / IROPS): </w:t>
      </w:r>
      <w:r>
        <w:t>Triggered by FAA Ground Delay Programs (GDP), severe convective weather cells, winter de-icing holds, or terminal security re-screening directives. Quantitatively demarcated when average departure delays exceed 45 minutes (Delay_dep ≥ 45 min) or scheduled flight cancellations exceed 5 flights within an operating bank (Cancellations ≥ 5).</w:t>
      </w:r>
    </w:p>
    <w:p>
      <w:pPr>
        <w:spacing w:before="240" w:after="120" w:line="480" w:lineRule="auto"/>
        <w:jc w:val="left"/>
      </w:pPr>
      <w:r>
        <w:rPr>
          <w:rFonts w:ascii="Times New Roman" w:hAnsi="Times New Roman"/>
          <w:b/>
          <w:sz w:val="24"/>
        </w:rPr>
        <w:t>D.2 The Empty Checkpoint Fallacy and Real-Time Innovation</w:t>
      </w:r>
    </w:p>
    <w:p>
      <w:pPr>
        <w:spacing w:before="0" w:after="120" w:line="480" w:lineRule="auto"/>
        <w:ind w:firstLine="720"/>
        <w:jc w:val="both"/>
      </w:pPr>
      <w:r>
        <w:rPr>
          <w:rFonts w:ascii="Times New Roman" w:hAnsi="Times New Roman"/>
          <w:sz w:val="24"/>
        </w:rPr>
        <w:t>During severe disruption events, static schedule models predict zero passenger throughput because scheduled departures have either departed or been delayed outside the active operating bank. In operational reality, delayed passengers remain stranded in landside lobbies, generating sustained checkpoint surges. Dynamic Two-Stage Hybrid models resolve this fallacy by coupling the schedule baseline with a real-time recursive error correction loop:</w:t>
      </w:r>
    </w:p>
    <w:p>
      <w:pPr>
        <w:spacing w:before="120" w:after="120" w:line="360" w:lineRule="auto"/>
        <w:jc w:val="center"/>
      </w:pPr>
      <w:r>
        <w:rPr>
          <w:rFonts w:ascii="Times New Roman" w:hAnsi="Times New Roman"/>
          <w:i/>
          <w:sz w:val="22"/>
        </w:rPr>
        <w:t>ŷ_{t|t-1} = ŷ_{sched}(t) + R̂_{tree}(X_t) + α · (y_{t-1} - ŷ_{t-1|t-2})</w:t>
      </w:r>
    </w:p>
    <w:p>
      <w:pPr>
        <w:spacing w:before="0" w:after="120" w:line="480" w:lineRule="auto"/>
        <w:ind w:firstLine="720"/>
        <w:jc w:val="both"/>
      </w:pPr>
      <w:r>
        <w:rPr>
          <w:rFonts w:ascii="Times New Roman" w:hAnsi="Times New Roman"/>
          <w:sz w:val="24"/>
        </w:rPr>
        <w:t>where ŷ_{sched}(t) is the convolved, deflated flight schedule baseline, R̂_{tree}(X_t) is the Gradient-Boosted Decision Tree residual prediction driven by operational disruption features, and α ∈ (0, 1) is the recursive error innovation smoothing weight tracking live sensor counts y_{t-1}.</w:t>
      </w:r>
    </w:p>
    <w:p>
      <w:pPr>
        <w:spacing w:before="240" w:after="120" w:line="480" w:lineRule="auto"/>
        <w:jc w:val="left"/>
      </w:pPr>
      <w:r>
        <w:rPr>
          <w:rFonts w:ascii="Times New Roman" w:hAnsi="Times New Roman"/>
          <w:b/>
          <w:sz w:val="24"/>
        </w:rPr>
        <w:t>D.3 Formalization of the Evaluation Triad Metrics</w:t>
      </w:r>
    </w:p>
    <w:p>
      <w:pPr>
        <w:spacing w:before="0" w:after="120" w:line="480" w:lineRule="auto"/>
        <w:ind w:firstLine="720"/>
        <w:jc w:val="both"/>
      </w:pPr>
      <w:r>
        <w:rPr>
          <w:rFonts w:ascii="Times New Roman" w:hAnsi="Times New Roman"/>
          <w:sz w:val="24"/>
        </w:rPr>
        <w:t>The performance of candidate models is evaluated across the governing theoretical triad: Robustness, Resilience, and Generalizability.</w:t>
      </w:r>
    </w:p>
    <w:p>
      <w:pPr>
        <w:spacing w:before="0" w:after="80" w:line="480" w:lineRule="auto"/>
        <w:ind w:left="720" w:hanging="360"/>
        <w:jc w:val="left"/>
      </w:pPr>
      <w:r>
        <w:rPr>
          <w:b/>
        </w:rPr>
        <w:t xml:space="preserve">•  </w:t>
      </w:r>
      <w:r>
        <w:rPr>
          <w:b/>
        </w:rPr>
        <w:t xml:space="preserve">Robustness Ratio (R_MASE,nom): </w:t>
      </w:r>
      <w:r>
        <w:t>Evaluates baseline forecast precision under nominal A14 conditions relative to non-parametric persistence: R_MASE,nom = MASE_model / MASE_persistence. A robust model achieves R_MASE,nom &lt; 0.85 with minimal error variance.</w:t>
      </w:r>
    </w:p>
    <w:p>
      <w:pPr>
        <w:spacing w:before="0" w:after="80" w:line="480" w:lineRule="auto"/>
        <w:ind w:left="720" w:hanging="360"/>
        <w:jc w:val="left"/>
      </w:pPr>
      <w:r>
        <w:rPr>
          <w:b/>
        </w:rPr>
        <w:t xml:space="preserve">•  </w:t>
      </w:r>
      <w:r>
        <w:rPr>
          <w:b/>
        </w:rPr>
        <w:t xml:space="preserve">Resilience Error Ratio (R_MASE,shock): </w:t>
      </w:r>
      <w:r>
        <w:t>Measures forecast error boundedness during severe IROPS: R_MASE,shock = MASE_{shock} / MASE_{nominal}. Resilient architectures maintain R_MASE,shock ≈ 1.00.</w:t>
      </w:r>
    </w:p>
    <w:p>
      <w:pPr>
        <w:spacing w:before="0" w:after="80" w:line="480" w:lineRule="auto"/>
        <w:ind w:left="720" w:hanging="360"/>
        <w:jc w:val="left"/>
      </w:pPr>
      <w:r>
        <w:rPr>
          <w:b/>
        </w:rPr>
        <w:t xml:space="preserve">•  </w:t>
      </w:r>
      <w:r>
        <w:rPr>
          <w:b/>
        </w:rPr>
        <w:t xml:space="preserve">Time-to-Recovery (TTR): </w:t>
      </w:r>
      <w:r>
        <w:t>Measures the duration (in hours) required for model forecast error to return within 1.0 standard deviation of nominal error following shock termination: TTR = inf { t ≥ t_shock : |e_t| ≤ μ_{e,nom} + σ_{e,nom} }.</w:t>
      </w:r>
    </w:p>
    <w:p>
      <w:pPr>
        <w:spacing w:before="0" w:after="80" w:line="480" w:lineRule="auto"/>
        <w:ind w:left="720" w:hanging="360"/>
        <w:jc w:val="left"/>
      </w:pPr>
      <w:r>
        <w:rPr>
          <w:b/>
        </w:rPr>
        <w:t xml:space="preserve">•  </w:t>
      </w:r>
      <w:r>
        <w:rPr>
          <w:b/>
        </w:rPr>
        <w:t xml:space="preserve">Relative Transfer Ratio (RTR): </w:t>
      </w:r>
      <w:r>
        <w:t>Quantifies spatial generalizability across unfamiliar airports: RTR = MASE_{target} / MASE_{source}. High generalizability corresponds to RTR ≈ 1.00 with ΔMASE ≤ 10%.</w:t>
      </w:r>
    </w:p>
    <w:p>
      <w:pPr>
        <w:spacing w:before="360" w:after="240" w:line="480" w:lineRule="auto"/>
        <w:jc w:val="center"/>
      </w:pPr>
      <w:r>
        <w:rPr>
          <w:rFonts w:ascii="Times New Roman" w:hAnsi="Times New Roman"/>
          <w:b/>
          <w:sz w:val="24"/>
        </w:rPr>
        <w:t>Appendix E</w:t>
        <w:br/>
      </w:r>
      <w:r>
        <w:rPr>
          <w:rFonts w:ascii="Times New Roman" w:hAnsi="Times New Roman"/>
          <w:b/>
          <w:sz w:val="24"/>
        </w:rPr>
        <w:t>Multi-Airport Spatial Transferability and Cross-Facility Evaluation Protocols</w:t>
      </w:r>
    </w:p>
    <w:p>
      <w:pPr>
        <w:spacing w:before="240" w:after="120" w:line="480" w:lineRule="auto"/>
        <w:jc w:val="left"/>
      </w:pPr>
      <w:r>
        <w:rPr>
          <w:rFonts w:ascii="Times New Roman" w:hAnsi="Times New Roman"/>
          <w:b/>
          <w:sz w:val="24"/>
        </w:rPr>
        <w:t>E.1 Four-Tier Purposive Filtering Pipeline</w:t>
      </w:r>
    </w:p>
    <w:p>
      <w:pPr>
        <w:spacing w:before="0" w:after="120" w:line="480" w:lineRule="auto"/>
        <w:ind w:firstLine="720"/>
        <w:jc w:val="both"/>
      </w:pPr>
      <w:r>
        <w:rPr>
          <w:rFonts w:ascii="Times New Roman" w:hAnsi="Times New Roman"/>
          <w:sz w:val="24"/>
        </w:rPr>
        <w:t>To test model generalizability without facility-specific overfitting, airports are selected through a four-tier purposive filtering methodology:</w:t>
      </w:r>
    </w:p>
    <w:p>
      <w:pPr>
        <w:spacing w:before="0" w:after="80" w:line="480" w:lineRule="auto"/>
        <w:ind w:left="720" w:hanging="360"/>
        <w:jc w:val="left"/>
      </w:pPr>
      <w:r>
        <w:rPr>
          <w:b/>
        </w:rPr>
        <w:t xml:space="preserve">•  </w:t>
      </w:r>
      <w:r>
        <w:rPr>
          <w:b/>
        </w:rPr>
        <w:t xml:space="preserve">Tier 1 (Macro Filter - Federal Scale): </w:t>
      </w:r>
      <w:r>
        <w:t>Restricts candidate facilities to the Top 25 large-hub US commercial airports by annual passenger enplanements, ensuring robust statistical sample sizes.</w:t>
      </w:r>
    </w:p>
    <w:p>
      <w:pPr>
        <w:spacing w:before="0" w:after="80" w:line="480" w:lineRule="auto"/>
        <w:ind w:left="720" w:hanging="360"/>
        <w:jc w:val="left"/>
      </w:pPr>
      <w:r>
        <w:rPr>
          <w:b/>
        </w:rPr>
        <w:t xml:space="preserve">•  </w:t>
      </w:r>
      <w:r>
        <w:rPr>
          <w:b/>
        </w:rPr>
        <w:t xml:space="preserve">Tier 2 (Structural Filter - Physical Independence): </w:t>
      </w:r>
      <w:r>
        <w:t>Selects airports featuring physically decentralized terminal layouts where individual concourses and security checkpoints operate independently.</w:t>
      </w:r>
    </w:p>
    <w:p>
      <w:pPr>
        <w:spacing w:before="0" w:after="80" w:line="480" w:lineRule="auto"/>
        <w:ind w:left="720" w:hanging="360"/>
        <w:jc w:val="left"/>
      </w:pPr>
      <w:r>
        <w:rPr>
          <w:b/>
        </w:rPr>
        <w:t xml:space="preserve">•  </w:t>
      </w:r>
      <w:r>
        <w:rPr>
          <w:b/>
        </w:rPr>
        <w:t xml:space="preserve">Tier 3 (Carrier Exclusivity Filter): </w:t>
      </w:r>
      <w:r>
        <w:t>Identifies screening checkpoints dominated by a single anchor carrier (e.g., Delta at ATL Terminal South, American at DFW Terminal D, United at ORD Terminal 1), ensuring direct correspondence between published carrier flight schedules and checkpoint demand.</w:t>
      </w:r>
    </w:p>
    <w:p>
      <w:pPr>
        <w:spacing w:before="0" w:after="80" w:line="480" w:lineRule="auto"/>
        <w:ind w:left="720" w:hanging="360"/>
        <w:jc w:val="left"/>
      </w:pPr>
      <w:r>
        <w:rPr>
          <w:b/>
        </w:rPr>
        <w:t xml:space="preserve">•  </w:t>
      </w:r>
      <w:r>
        <w:rPr>
          <w:b/>
        </w:rPr>
        <w:t xml:space="preserve">Tier 4 (Factorial Cohort Matrix): </w:t>
      </w:r>
      <w:r>
        <w:t>Constructs a balanced 9-airport factorial evaluation cohort crossing hub operational role (Connecting Hub vs. Origin &amp; Destination [O&amp;D]) with geographical climate vulnerability (Convective Thunderstorm, Winter Ice, Coastal Marine).</w:t>
      </w:r>
    </w:p>
    <w:p>
      <w:pPr>
        <w:spacing w:before="240" w:after="120" w:line="480" w:lineRule="auto"/>
        <w:jc w:val="left"/>
      </w:pPr>
      <w:r>
        <w:rPr>
          <w:rFonts w:ascii="Times New Roman" w:hAnsi="Times New Roman"/>
          <w:b/>
          <w:sz w:val="24"/>
        </w:rPr>
        <w:t>E.2 Zero-Shot Spatial Transfer Protocol</w:t>
      </w:r>
    </w:p>
    <w:p>
      <w:pPr>
        <w:spacing w:before="0" w:after="120" w:line="480" w:lineRule="auto"/>
        <w:ind w:firstLine="720"/>
        <w:jc w:val="both"/>
      </w:pPr>
      <w:r>
        <w:rPr>
          <w:rFonts w:ascii="Times New Roman" w:hAnsi="Times New Roman"/>
          <w:sz w:val="24"/>
        </w:rPr>
        <w:t>Under the spatial transfer protocol, models trained exclusively on data from source facilities are deployed to target facilities without retraining model weights or updating baseline hyperparameters. Spatial transfer degradation ΔMASE is evaluated to ensure that operational frameworks achieve generalizability across diverse commercial terminal layouts.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