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43EF16" w14:textId="77777777" w:rsidR="00FE22FF" w:rsidRPr="00087F9B" w:rsidRDefault="00FE22FF" w:rsidP="00087F9B">
      <w:pPr>
        <w:contextualSpacing/>
        <w:jc w:val="center"/>
        <w:rPr>
          <w:b/>
          <w:bCs/>
        </w:rPr>
      </w:pPr>
      <w:bookmarkStart w:id="0" w:name="_Toc242174143"/>
      <w:bookmarkStart w:id="1" w:name="_Toc242174795"/>
      <w:r w:rsidRPr="00087F9B">
        <w:rPr>
          <w:b/>
          <w:bCs/>
        </w:rPr>
        <w:t>Chapter IV</w:t>
      </w:r>
      <w:bookmarkEnd w:id="0"/>
      <w:bookmarkEnd w:id="1"/>
    </w:p>
    <w:p w14:paraId="09FB17CC" w14:textId="77777777" w:rsidR="006C1506" w:rsidRPr="00087F9B" w:rsidRDefault="006C1506" w:rsidP="00087F9B">
      <w:pPr>
        <w:pStyle w:val="Heading1"/>
      </w:pPr>
      <w:bookmarkStart w:id="2" w:name="_Toc242174145"/>
      <w:bookmarkStart w:id="3" w:name="_Toc242174797"/>
      <w:r w:rsidRPr="00087F9B">
        <w:t>Findings and Discussion</w:t>
      </w:r>
    </w:p>
    <w:p w14:paraId="30478783" w14:textId="3792307F" w:rsidR="005172C9" w:rsidRPr="00087F9B" w:rsidRDefault="005172C9" w:rsidP="00087F9B">
      <w:pPr>
        <w:pStyle w:val="code-line"/>
        <w:spacing w:before="0" w:beforeAutospacing="0" w:after="0" w:afterAutospacing="0" w:line="480" w:lineRule="auto"/>
        <w:ind w:firstLine="720"/>
        <w:contextualSpacing/>
        <w:rPr>
          <w:color w:val="000000"/>
        </w:rPr>
      </w:pPr>
      <w:r w:rsidRPr="00087F9B">
        <w:rPr>
          <w:color w:val="000000"/>
        </w:rPr>
        <w:t>This chapter presents the empirical findings and comparative performance evaluations for modeling throughput volatility at commercial airport passenger security checkpoints. Using a conformed multi-source dataset spanning seven calendar years (January 1, 2019 to December 31, 2025) across the Top 25 United States commercial airfields, this research investigates how published flight schedules and real-time operational flight disruption metrics interact with passenger screening arrival dynamics.</w:t>
      </w:r>
      <w:r w:rsidR="00311843" w:rsidRPr="00087F9B">
        <w:rPr>
          <w:color w:val="000000"/>
        </w:rPr>
        <w:t xml:space="preserve"> </w:t>
      </w:r>
      <w:r w:rsidRPr="00087F9B">
        <w:rPr>
          <w:color w:val="000000"/>
        </w:rPr>
        <w:t>To systematically present and discuss these results, this chapter is organized into four core sections:</w:t>
      </w:r>
    </w:p>
    <w:p w14:paraId="4326800F" w14:textId="1ED3C94C" w:rsidR="005172C9" w:rsidRPr="00087F9B" w:rsidRDefault="005172C9" w:rsidP="00087F9B">
      <w:pPr>
        <w:pStyle w:val="code-line"/>
        <w:numPr>
          <w:ilvl w:val="0"/>
          <w:numId w:val="14"/>
        </w:numPr>
        <w:spacing w:before="0" w:beforeAutospacing="0" w:after="0" w:afterAutospacing="0" w:line="480" w:lineRule="auto"/>
        <w:contextualSpacing/>
        <w:rPr>
          <w:color w:val="000000"/>
        </w:rPr>
      </w:pPr>
      <w:r w:rsidRPr="00087F9B">
        <w:rPr>
          <w:rStyle w:val="Strong"/>
          <w:color w:val="000000"/>
        </w:rPr>
        <w:t>Initial Exploratory Data Analysis</w:t>
      </w:r>
      <w:r w:rsidR="00C00311" w:rsidRPr="00087F9B">
        <w:rPr>
          <w:rStyle w:val="Strong"/>
          <w:color w:val="000000"/>
        </w:rPr>
        <w:t xml:space="preserve">: </w:t>
      </w:r>
      <w:r w:rsidRPr="00087F9B">
        <w:rPr>
          <w:color w:val="000000"/>
        </w:rPr>
        <w:t>Establishes the post-ETL multi-source data foundation, identifies the post-pandemic structural equilibrium demarcation point (May 1, 2022), characterizes macro annual and day-of-week seasonality, and uncovers the fundamental econometric decoupling between raw flight departures and checkpoint volumes.</w:t>
      </w:r>
    </w:p>
    <w:p w14:paraId="370BA6A0" w14:textId="135C445C" w:rsidR="005172C9" w:rsidRPr="00087F9B" w:rsidRDefault="005172C9" w:rsidP="00087F9B">
      <w:pPr>
        <w:pStyle w:val="code-line"/>
        <w:numPr>
          <w:ilvl w:val="0"/>
          <w:numId w:val="14"/>
        </w:numPr>
        <w:spacing w:before="0" w:beforeAutospacing="0" w:after="0" w:afterAutospacing="0" w:line="480" w:lineRule="auto"/>
        <w:contextualSpacing/>
        <w:rPr>
          <w:color w:val="000000"/>
        </w:rPr>
      </w:pPr>
      <w:r w:rsidRPr="00087F9B">
        <w:rPr>
          <w:rStyle w:val="Strong"/>
          <w:color w:val="000000"/>
        </w:rPr>
        <w:t>Data Filtering and Subset Selection</w:t>
      </w:r>
      <w:r w:rsidR="00C00311" w:rsidRPr="00087F9B">
        <w:rPr>
          <w:rStyle w:val="Strong"/>
          <w:color w:val="000000"/>
        </w:rPr>
        <w:t xml:space="preserve">: </w:t>
      </w:r>
      <w:r w:rsidRPr="00087F9B">
        <w:rPr>
          <w:color w:val="000000"/>
        </w:rPr>
        <w:t>Details the four-phase purposive filtering pipeline that isolates a balanced nine-airport experimental cohort representing 12 carrier-exclusive screening environments, provides comparative descriptive statistics, validates carrier isolation econometrically, and establishes four mandatory architectural requirements for airport passenger flow modeling.</w:t>
      </w:r>
    </w:p>
    <w:p w14:paraId="55042689" w14:textId="253AF619" w:rsidR="005172C9" w:rsidRPr="00087F9B" w:rsidRDefault="005172C9" w:rsidP="00087F9B">
      <w:pPr>
        <w:pStyle w:val="code-line"/>
        <w:numPr>
          <w:ilvl w:val="0"/>
          <w:numId w:val="14"/>
        </w:numPr>
        <w:spacing w:before="0" w:beforeAutospacing="0" w:after="0" w:afterAutospacing="0" w:line="480" w:lineRule="auto"/>
        <w:contextualSpacing/>
        <w:rPr>
          <w:color w:val="000000"/>
        </w:rPr>
      </w:pPr>
      <w:r w:rsidRPr="00087F9B">
        <w:rPr>
          <w:rStyle w:val="Strong"/>
          <w:color w:val="000000"/>
        </w:rPr>
        <w:t>Model Development and Execution</w:t>
      </w:r>
      <w:r w:rsidR="00C00311" w:rsidRPr="00087F9B">
        <w:rPr>
          <w:rStyle w:val="Strong"/>
          <w:color w:val="000000"/>
        </w:rPr>
        <w:t xml:space="preserve">: </w:t>
      </w:r>
      <w:r w:rsidRPr="00087F9B">
        <w:rPr>
          <w:color w:val="000000"/>
        </w:rPr>
        <w:t>Documents feature engineering over empirical lead-lag transfer dynamics, introduces the candidate modeling architectures, establishes the dataset partitioning and calibration scale in a structured matrix, and defines the evaluation protocol on the untouched 2025 full-year out-of-time holdout dataset.</w:t>
      </w:r>
    </w:p>
    <w:p w14:paraId="1B472A84" w14:textId="56DE26E9" w:rsidR="005172C9" w:rsidRPr="00087F9B" w:rsidRDefault="005172C9" w:rsidP="00087F9B">
      <w:pPr>
        <w:pStyle w:val="code-line"/>
        <w:numPr>
          <w:ilvl w:val="0"/>
          <w:numId w:val="14"/>
        </w:numPr>
        <w:spacing w:before="0" w:beforeAutospacing="0" w:after="0" w:afterAutospacing="0" w:line="480" w:lineRule="auto"/>
        <w:contextualSpacing/>
        <w:rPr>
          <w:color w:val="000000"/>
        </w:rPr>
      </w:pPr>
      <w:r w:rsidRPr="00087F9B">
        <w:rPr>
          <w:rStyle w:val="Strong"/>
          <w:color w:val="000000"/>
        </w:rPr>
        <w:lastRenderedPageBreak/>
        <w:t>Model Results and Evaluation</w:t>
      </w:r>
      <w:r w:rsidR="00C00311" w:rsidRPr="00087F9B">
        <w:rPr>
          <w:rStyle w:val="Strong"/>
          <w:color w:val="000000"/>
        </w:rPr>
        <w:t xml:space="preserve">: </w:t>
      </w:r>
      <w:r w:rsidRPr="00087F9B">
        <w:rPr>
          <w:color w:val="000000"/>
        </w:rPr>
        <w:t>Evaluates model performance across the governing evaluation triad (Robustness, Resilience, and Generalizability), formally tests the thesis hypothesis using a streamlined multi-pillar evaluation matrix, and confirms the asymmetric performance trade-offs across operational paradigms.</w:t>
      </w:r>
    </w:p>
    <w:p w14:paraId="61A32FDE" w14:textId="77777777" w:rsidR="00FE22FF" w:rsidRPr="00087F9B" w:rsidRDefault="00FE22FF" w:rsidP="00087F9B">
      <w:pPr>
        <w:contextualSpacing/>
        <w:jc w:val="center"/>
      </w:pPr>
      <w:r w:rsidRPr="00087F9B">
        <w:rPr>
          <w:noProof/>
        </w:rPr>
        <w:drawing>
          <wp:inline distT="0" distB="0" distL="0" distR="0" wp14:anchorId="135913D6" wp14:editId="06CF8B91">
            <wp:extent cx="5892800" cy="856848"/>
            <wp:effectExtent l="0" t="0" r="0" b="0"/>
            <wp:docPr id="22259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90240" name=""/>
                    <pic:cNvPicPr/>
                  </pic:nvPicPr>
                  <pic:blipFill>
                    <a:blip r:embed="rId6"/>
                    <a:stretch>
                      <a:fillRect/>
                    </a:stretch>
                  </pic:blipFill>
                  <pic:spPr>
                    <a:xfrm>
                      <a:off x="0" y="0"/>
                      <a:ext cx="5892800" cy="856848"/>
                    </a:xfrm>
                    <a:prstGeom prst="rect">
                      <a:avLst/>
                    </a:prstGeom>
                  </pic:spPr>
                </pic:pic>
              </a:graphicData>
            </a:graphic>
          </wp:inline>
        </w:drawing>
      </w:r>
      <w:r w:rsidRPr="00087F9B">
        <w:rPr>
          <w:noProof/>
        </w:rPr>
        <mc:AlternateContent>
          <mc:Choice Requires="wpg">
            <w:drawing>
              <wp:anchor distT="0" distB="0" distL="114300" distR="114300" simplePos="0" relativeHeight="251658240" behindDoc="0" locked="0" layoutInCell="1" allowOverlap="1" wp14:anchorId="4322D445" wp14:editId="2A363FB2">
                <wp:simplePos x="0" y="0"/>
                <wp:positionH relativeFrom="column">
                  <wp:posOffset>-914400</wp:posOffset>
                </wp:positionH>
                <wp:positionV relativeFrom="paragraph">
                  <wp:posOffset>-8281670</wp:posOffset>
                </wp:positionV>
                <wp:extent cx="11493062" cy="1647908"/>
                <wp:effectExtent l="12700" t="12700" r="13335" b="15875"/>
                <wp:wrapNone/>
                <wp:docPr id="3" name="Group 2">
                  <a:extLst xmlns:a="http://schemas.openxmlformats.org/drawingml/2006/main">
                    <a:ext uri="{FF2B5EF4-FFF2-40B4-BE49-F238E27FC236}">
                      <a16:creationId xmlns:a16="http://schemas.microsoft.com/office/drawing/2014/main" id="{80A5CA1C-551E-3394-ACF3-31089B9E85E4}"/>
                    </a:ext>
                  </a:extLst>
                </wp:docPr>
                <wp:cNvGraphicFramePr/>
                <a:graphic xmlns:a="http://schemas.openxmlformats.org/drawingml/2006/main">
                  <a:graphicData uri="http://schemas.microsoft.com/office/word/2010/wordprocessingGroup">
                    <wpg:wgp>
                      <wpg:cNvGrpSpPr/>
                      <wpg:grpSpPr>
                        <a:xfrm>
                          <a:off x="0" y="0"/>
                          <a:ext cx="11493062" cy="1647908"/>
                          <a:chOff x="0" y="0"/>
                          <a:chExt cx="8121888" cy="3589812"/>
                        </a:xfrm>
                      </wpg:grpSpPr>
                      <wps:wsp>
                        <wps:cNvPr id="1517318082" name="Freeform 1517318082">
                          <a:extLst>
                            <a:ext uri="{FF2B5EF4-FFF2-40B4-BE49-F238E27FC236}">
                              <a16:creationId xmlns:a16="http://schemas.microsoft.com/office/drawing/2014/main" id="{651A62C8-062D-B880-E107-20916DFD38FC}"/>
                            </a:ext>
                          </a:extLst>
                        </wps:cNvPr>
                        <wps:cNvSpPr/>
                        <wps:spPr>
                          <a:xfrm>
                            <a:off x="0"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5A6D8614"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Initial Exploratory Data Analysis</w:t>
                              </w:r>
                            </w:p>
                          </w:txbxContent>
                        </wps:txbx>
                        <wps:bodyPr spcFirstLastPara="0" vert="horz" wrap="square" lIns="85344" tIns="48768" rIns="85344" bIns="48768" numCol="1" spcCol="1270" anchor="ctr" anchorCtr="0">
                          <a:noAutofit/>
                        </wps:bodyPr>
                      </wps:wsp>
                      <wps:wsp>
                        <wps:cNvPr id="125864282" name="Freeform 125864282">
                          <a:extLst>
                            <a:ext uri="{FF2B5EF4-FFF2-40B4-BE49-F238E27FC236}">
                              <a16:creationId xmlns:a16="http://schemas.microsoft.com/office/drawing/2014/main" id="{F74513C2-BD57-A952-7C60-80F046522CB4}"/>
                            </a:ext>
                          </a:extLst>
                        </wps:cNvPr>
                        <wps:cNvSpPr/>
                        <wps:spPr>
                          <a:xfrm>
                            <a:off x="0"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222E0EE0"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w:t>
                              </w:r>
                            </w:p>
                            <w:p w14:paraId="5BFD766C"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Temporal Baselines</w:t>
                              </w:r>
                            </w:p>
                            <w:p w14:paraId="25B4FF47"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Defining Seasonality</w:t>
                              </w:r>
                            </w:p>
                            <w:p w14:paraId="2BB20BCE"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OTP &amp; TSA Throughput data</w:t>
                              </w:r>
                            </w:p>
                            <w:p w14:paraId="687B9C79"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Data Subset</w:t>
                              </w:r>
                            </w:p>
                          </w:txbxContent>
                        </wps:txbx>
                        <wps:bodyPr spcFirstLastPara="0" vert="horz" wrap="square" lIns="64008" tIns="64008" rIns="85344" bIns="96012" numCol="1" spcCol="1270" anchor="t" anchorCtr="0">
                          <a:noAutofit/>
                        </wps:bodyPr>
                      </wps:wsp>
                      <wps:wsp>
                        <wps:cNvPr id="1135924628" name="Freeform 1135924628">
                          <a:extLst>
                            <a:ext uri="{FF2B5EF4-FFF2-40B4-BE49-F238E27FC236}">
                              <a16:creationId xmlns:a16="http://schemas.microsoft.com/office/drawing/2014/main" id="{AE4E94B5-C138-486F-E44C-8EC431513700}"/>
                            </a:ext>
                          </a:extLst>
                        </wps:cNvPr>
                        <wps:cNvSpPr/>
                        <wps:spPr>
                          <a:xfrm>
                            <a:off x="2094786"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42CD5665"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Data Filtering and Subset Selection</w:t>
                              </w:r>
                            </w:p>
                          </w:txbxContent>
                        </wps:txbx>
                        <wps:bodyPr spcFirstLastPara="0" vert="horz" wrap="square" lIns="85344" tIns="48768" rIns="85344" bIns="48768" numCol="1" spcCol="1270" anchor="ctr" anchorCtr="0">
                          <a:noAutofit/>
                        </wps:bodyPr>
                      </wps:wsp>
                      <wps:wsp>
                        <wps:cNvPr id="1905515733" name="Freeform 1905515733">
                          <a:extLst>
                            <a:ext uri="{FF2B5EF4-FFF2-40B4-BE49-F238E27FC236}">
                              <a16:creationId xmlns:a16="http://schemas.microsoft.com/office/drawing/2014/main" id="{1233E706-4044-4FA1-033F-C10D6F0B8440}"/>
                            </a:ext>
                          </a:extLst>
                        </wps:cNvPr>
                        <wps:cNvSpPr/>
                        <wps:spPr>
                          <a:xfrm>
                            <a:off x="2094786"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524A7AFD"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4 Phase Filtering Pipeline</w:t>
                              </w:r>
                            </w:p>
                            <w:p w14:paraId="0E5D2D21"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Pipeline Results</w:t>
                              </w:r>
                            </w:p>
                            <w:p w14:paraId="2799101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 for Data Subset</w:t>
                              </w:r>
                            </w:p>
                            <w:p w14:paraId="360A6E8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Model Selection</w:t>
                              </w:r>
                            </w:p>
                          </w:txbxContent>
                        </wps:txbx>
                        <wps:bodyPr spcFirstLastPara="0" vert="horz" wrap="square" lIns="64008" tIns="64008" rIns="85344" bIns="96012" numCol="1" spcCol="1270" anchor="t" anchorCtr="0">
                          <a:noAutofit/>
                        </wps:bodyPr>
                      </wps:wsp>
                      <wps:wsp>
                        <wps:cNvPr id="1262674272" name="Freeform 1262674272">
                          <a:extLst>
                            <a:ext uri="{FF2B5EF4-FFF2-40B4-BE49-F238E27FC236}">
                              <a16:creationId xmlns:a16="http://schemas.microsoft.com/office/drawing/2014/main" id="{41958F0B-8D46-019F-7C61-F5405380FF2F}"/>
                            </a:ext>
                          </a:extLst>
                        </wps:cNvPr>
                        <wps:cNvSpPr/>
                        <wps:spPr>
                          <a:xfrm>
                            <a:off x="4189572"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7A19CB92"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development and execution</w:t>
                              </w:r>
                            </w:p>
                          </w:txbxContent>
                        </wps:txbx>
                        <wps:bodyPr spcFirstLastPara="0" vert="horz" wrap="square" lIns="85344" tIns="48768" rIns="85344" bIns="48768" numCol="1" spcCol="1270" anchor="ctr" anchorCtr="0">
                          <a:noAutofit/>
                        </wps:bodyPr>
                      </wps:wsp>
                      <wps:wsp>
                        <wps:cNvPr id="1803851919" name="Freeform 1803851919">
                          <a:extLst>
                            <a:ext uri="{FF2B5EF4-FFF2-40B4-BE49-F238E27FC236}">
                              <a16:creationId xmlns:a16="http://schemas.microsoft.com/office/drawing/2014/main" id="{3C7DD6D7-6C63-83C3-0E49-E0123E5AE98C}"/>
                            </a:ext>
                          </a:extLst>
                        </wps:cNvPr>
                        <wps:cNvSpPr/>
                        <wps:spPr>
                          <a:xfrm>
                            <a:off x="4189572"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02A05831"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Feature Engineering</w:t>
                              </w:r>
                            </w:p>
                            <w:p w14:paraId="5C63F62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Training</w:t>
                              </w:r>
                            </w:p>
                            <w:p w14:paraId="01E7831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Testing</w:t>
                              </w:r>
                            </w:p>
                            <w:p w14:paraId="299D3EC2"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Results Interpretation</w:t>
                              </w:r>
                            </w:p>
                          </w:txbxContent>
                        </wps:txbx>
                        <wps:bodyPr spcFirstLastPara="0" vert="horz" wrap="square" lIns="64008" tIns="64008" rIns="85344" bIns="96012" numCol="1" spcCol="1270" anchor="t" anchorCtr="0">
                          <a:noAutofit/>
                        </wps:bodyPr>
                      </wps:wsp>
                      <wps:wsp>
                        <wps:cNvPr id="1641276436" name="Freeform 1641276436">
                          <a:extLst>
                            <a:ext uri="{FF2B5EF4-FFF2-40B4-BE49-F238E27FC236}">
                              <a16:creationId xmlns:a16="http://schemas.microsoft.com/office/drawing/2014/main" id="{E9C8508A-7998-018D-8DB9-18897167C239}"/>
                            </a:ext>
                          </a:extLst>
                        </wps:cNvPr>
                        <wps:cNvSpPr/>
                        <wps:spPr>
                          <a:xfrm>
                            <a:off x="6284357"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362A6687"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Results and Evaluation</w:t>
                              </w:r>
                            </w:p>
                          </w:txbxContent>
                        </wps:txbx>
                        <wps:bodyPr spcFirstLastPara="0" vert="horz" wrap="square" lIns="85344" tIns="48768" rIns="85344" bIns="48768" numCol="1" spcCol="1270" anchor="ctr" anchorCtr="0">
                          <a:noAutofit/>
                        </wps:bodyPr>
                      </wps:wsp>
                      <wps:wsp>
                        <wps:cNvPr id="757736189" name="Freeform 757736189">
                          <a:extLst>
                            <a:ext uri="{FF2B5EF4-FFF2-40B4-BE49-F238E27FC236}">
                              <a16:creationId xmlns:a16="http://schemas.microsoft.com/office/drawing/2014/main" id="{42AAECAF-38F3-6025-8FC8-EA37068D7BE6}"/>
                            </a:ext>
                          </a:extLst>
                        </wps:cNvPr>
                        <wps:cNvSpPr/>
                        <wps:spPr>
                          <a:xfrm>
                            <a:off x="6284357"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4A47F1DD"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Results</w:t>
                              </w:r>
                            </w:p>
                            <w:p w14:paraId="45169037"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General Model Performance</w:t>
                              </w:r>
                            </w:p>
                            <w:p w14:paraId="0DA75B29"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Hypothesis Testing</w:t>
                              </w:r>
                            </w:p>
                            <w:p w14:paraId="6860EAD1"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Real-World Application</w:t>
                              </w:r>
                            </w:p>
                          </w:txbxContent>
                        </wps:txbx>
                        <wps:bodyPr spcFirstLastPara="0" vert="horz" wrap="square" lIns="64008" tIns="64008" rIns="85344" bIns="96012" numCol="1" spcCol="1270" anchor="t" anchorCtr="0">
                          <a:noAutofit/>
                        </wps:bodyPr>
                      </wps:wsp>
                    </wpg:wgp>
                  </a:graphicData>
                </a:graphic>
              </wp:anchor>
            </w:drawing>
          </mc:Choice>
          <mc:Fallback>
            <w:pict>
              <v:group w14:anchorId="4322D445" id="Group 2" o:spid="_x0000_s1026" style="position:absolute;left:0;text-align:left;margin-left:-1in;margin-top:-652.1pt;width:904.95pt;height:129.75pt;z-index:251658240" coordsize="81218,358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">
                <v:shape id="Freeform 1517318082" o:spid="_x0000_s1027" style="position:absolute;width:18375;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5A6D8614"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Initial Exploratory Data Analysis</w:t>
                        </w:r>
                      </w:p>
                    </w:txbxContent>
                  </v:textbox>
                </v:shape>
                <v:shape id="Freeform 125864282" o:spid="_x0000_s1028" style="position:absolute;top:7350;width:18375;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222E0EE0"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w:t>
                        </w:r>
                      </w:p>
                      <w:p w14:paraId="5BFD766C"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Temporal Baselines</w:t>
                        </w:r>
                      </w:p>
                      <w:p w14:paraId="25B4FF47"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Defining Seasonality</w:t>
                        </w:r>
                      </w:p>
                      <w:p w14:paraId="2BB20BCE"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OTP &amp; TSA Throughput data</w:t>
                        </w:r>
                      </w:p>
                      <w:p w14:paraId="687B9C79"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Data Subset</w:t>
                        </w:r>
                      </w:p>
                    </w:txbxContent>
                  </v:textbox>
                </v:shape>
                <v:shape id="Freeform 1135924628" o:spid="_x0000_s1029" style="position:absolute;left:20947;width:18376;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42CD5665"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Data Filtering and Subset Selection</w:t>
                        </w:r>
                      </w:p>
                    </w:txbxContent>
                  </v:textbox>
                </v:shape>
                <v:shape id="Freeform 1905515733" o:spid="_x0000_s1030" style="position:absolute;left:20947;top:7350;width:18376;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524A7AFD"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4 Phase Filtering Pipeline</w:t>
                        </w:r>
                      </w:p>
                      <w:p w14:paraId="0E5D2D21"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Pipeline Results</w:t>
                        </w:r>
                      </w:p>
                      <w:p w14:paraId="2799101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 for Data Subset</w:t>
                        </w:r>
                      </w:p>
                      <w:p w14:paraId="360A6E8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Model Selection</w:t>
                        </w:r>
                      </w:p>
                    </w:txbxContent>
                  </v:textbox>
                </v:shape>
                <v:shape id="Freeform 1262674272" o:spid="_x0000_s1031" style="position:absolute;left:41895;width:18376;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7A19CB92"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development and execution</w:t>
                        </w:r>
                      </w:p>
                    </w:txbxContent>
                  </v:textbox>
                </v:shape>
                <v:shape id="Freeform 1803851919" o:spid="_x0000_s1032" style="position:absolute;left:41895;top:7350;width:18376;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02A05831"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Feature Engineering</w:t>
                        </w:r>
                      </w:p>
                      <w:p w14:paraId="5C63F62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Training</w:t>
                        </w:r>
                      </w:p>
                      <w:p w14:paraId="01E7831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Testing</w:t>
                        </w:r>
                      </w:p>
                      <w:p w14:paraId="299D3EC2"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Results Interpretation</w:t>
                        </w:r>
                      </w:p>
                    </w:txbxContent>
                  </v:textbox>
                </v:shape>
                <v:shape id="Freeform 1641276436" o:spid="_x0000_s1033" style="position:absolute;left:62843;width:18375;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362A6687"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Results and Evaluation</w:t>
                        </w:r>
                      </w:p>
                    </w:txbxContent>
                  </v:textbox>
                </v:shape>
                <v:shape id="Freeform 757736189" o:spid="_x0000_s1034" style="position:absolute;left:62843;top:7350;width:18375;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4A47F1DD"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Results</w:t>
                        </w:r>
                      </w:p>
                      <w:p w14:paraId="45169037"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General Model Performance</w:t>
                        </w:r>
                      </w:p>
                      <w:p w14:paraId="0DA75B29"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Hypothesis Testing</w:t>
                        </w:r>
                      </w:p>
                      <w:p w14:paraId="6860EAD1"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Real-World Application</w:t>
                        </w:r>
                      </w:p>
                    </w:txbxContent>
                  </v:textbox>
                </v:shape>
              </v:group>
            </w:pict>
          </mc:Fallback>
        </mc:AlternateContent>
      </w:r>
      <w:r w:rsidRPr="00087F9B">
        <w:t>Figure 4.1</w:t>
      </w:r>
    </w:p>
    <w:p w14:paraId="4C705527" w14:textId="77777777" w:rsidR="00FE22FF" w:rsidRPr="00087F9B" w:rsidRDefault="00FE22FF" w:rsidP="00087F9B">
      <w:pPr>
        <w:pStyle w:val="Heading2"/>
      </w:pPr>
      <w:r w:rsidRPr="00087F9B">
        <w:t>Initial Exploratory Data Analysis</w:t>
      </w:r>
      <w:bookmarkEnd w:id="2"/>
      <w:bookmarkEnd w:id="3"/>
    </w:p>
    <w:p w14:paraId="0C7F9C87" w14:textId="77777777" w:rsidR="00FE22FF" w:rsidRPr="00087F9B" w:rsidRDefault="00FE22FF" w:rsidP="00087F9B">
      <w:pPr>
        <w:pStyle w:val="Heading3"/>
      </w:pPr>
      <w:bookmarkStart w:id="4" w:name="_Toc242174146"/>
      <w:bookmarkStart w:id="5" w:name="_Toc242174798"/>
      <w:r w:rsidRPr="00087F9B">
        <w:t>Descriptive Statistics</w:t>
      </w:r>
      <w:bookmarkEnd w:id="4"/>
      <w:bookmarkEnd w:id="5"/>
    </w:p>
    <w:p w14:paraId="16A494FA" w14:textId="09DA0BB5" w:rsidR="00FE22FF" w:rsidRPr="00087F9B" w:rsidRDefault="00FE22FF" w:rsidP="00087F9B">
      <w:pPr>
        <w:ind w:firstLine="360"/>
        <w:contextualSpacing/>
        <w:rPr>
          <w:b/>
          <w:bCs/>
        </w:rPr>
      </w:pPr>
      <w:r w:rsidRPr="00087F9B">
        <w:t xml:space="preserve">To construct an </w:t>
      </w:r>
      <w:r w:rsidR="00E67902" w:rsidRPr="00087F9B">
        <w:t xml:space="preserve">empirically rigorous predictive modeling architecture that eliminates temporal and feature lookahead leakage </w:t>
      </w:r>
      <w:r w:rsidRPr="00087F9B">
        <w:t xml:space="preserve">for airport passenger security screening demand, this study synthesized multi-source operational records covering the continuous seven-year period from January 1, 2019 to December 31, 2025. The initial upstream repository captured 67.22 million raw </w:t>
      </w:r>
      <w:r w:rsidR="002F6BA1" w:rsidRPr="00087F9B">
        <w:t>operational transaction records a</w:t>
      </w:r>
      <w:r w:rsidRPr="00087F9B">
        <w:t xml:space="preserve">cross TSA checkpoint logs, Bureau of Transportation Statistics (BTS) On-Time Performance (OTP), BTS Form 41 Schedule T-100 Segment data, and BTS DB1B/DB1C ticket coupon surveys </w:t>
      </w:r>
      <w:r w:rsidRPr="00087F9B">
        <w:rPr>
          <w:highlight w:val="yellow"/>
        </w:rPr>
        <w:t>(Appendix for details)</w:t>
      </w:r>
      <w:r w:rsidRPr="00087F9B">
        <w:t>.</w:t>
      </w:r>
    </w:p>
    <w:p w14:paraId="42F3FB8F" w14:textId="7ACC4030" w:rsidR="00FE22FF" w:rsidRPr="00087F9B" w:rsidRDefault="00FE22FF" w:rsidP="00087F9B">
      <w:pPr>
        <w:ind w:firstLine="720"/>
        <w:contextualSpacing/>
      </w:pPr>
      <w:r w:rsidRPr="00087F9B">
        <w:t xml:space="preserve">Following conformed extraction, automated entity resolution, data cleaning, and </w:t>
      </w:r>
      <w:r w:rsidR="00243745" w:rsidRPr="00087F9B">
        <w:t>relational synthesis across standardized operational dimensions (</w:t>
      </w:r>
      <w:r w:rsidR="00243745" w:rsidRPr="00087F9B">
        <w:rPr>
          <w:i/>
          <w:iCs/>
        </w:rPr>
        <w:t xml:space="preserve">calendar date, departure time block, </w:t>
      </w:r>
      <w:r w:rsidR="00610F23" w:rsidRPr="00087F9B">
        <w:rPr>
          <w:i/>
          <w:iCs/>
        </w:rPr>
        <w:t>airport</w:t>
      </w:r>
      <w:r w:rsidR="00243745" w:rsidRPr="00087F9B">
        <w:rPr>
          <w:i/>
          <w:iCs/>
        </w:rPr>
        <w:t>, operating carrier, fleet aircraft type,</w:t>
      </w:r>
      <w:r w:rsidR="00243745" w:rsidRPr="00087F9B">
        <w:t xml:space="preserve"> and</w:t>
      </w:r>
      <w:r w:rsidR="00243745" w:rsidRPr="00087F9B">
        <w:rPr>
          <w:i/>
          <w:iCs/>
        </w:rPr>
        <w:t xml:space="preserve"> dedicated screening complex</w:t>
      </w:r>
      <w:r w:rsidR="00243745" w:rsidRPr="00087F9B">
        <w:t xml:space="preserve">), </w:t>
      </w:r>
      <w:r w:rsidRPr="00087F9B">
        <w:t xml:space="preserve">the nationwide post-ETL analytical warehouse retains 42,062,039 conformed records across the candidate network of the Top 25 U.S. commercial </w:t>
      </w:r>
      <w:r w:rsidR="00610F23" w:rsidRPr="00087F9B">
        <w:t>airport</w:t>
      </w:r>
      <w:r w:rsidRPr="00087F9B">
        <w:t>s. Table 4.1 documents the post-ETL data foundation census across all four federal data sources.</w:t>
      </w:r>
      <w:r w:rsidR="00B33A48" w:rsidRPr="00087F9B">
        <w:t xml:space="preserve"> Table 4.2 presents the master post-</w:t>
      </w:r>
      <w:r w:rsidR="00B33A48" w:rsidRPr="00087F9B">
        <w:lastRenderedPageBreak/>
        <w:t>ETL descriptive summary statistics for all primary operational variables across the nationwide Top 25 data repository.</w:t>
      </w:r>
    </w:p>
    <w:p w14:paraId="25067464" w14:textId="34293066" w:rsidR="00FE22FF" w:rsidRPr="00087F9B" w:rsidRDefault="00FE22FF" w:rsidP="00087F9B">
      <w:pPr>
        <w:contextualSpacing/>
        <w:rPr>
          <w:i/>
          <w:iCs/>
          <w:color w:val="000000" w:themeColor="text1"/>
        </w:rPr>
      </w:pPr>
      <w:r w:rsidRPr="00087F9B">
        <w:rPr>
          <w:b/>
          <w:bCs/>
        </w:rPr>
        <w:t>Table 4.1</w:t>
      </w:r>
      <w:r w:rsidRPr="00087F9B">
        <w:br/>
      </w:r>
      <w:r w:rsidRPr="00087F9B">
        <w:rPr>
          <w:rStyle w:val="SubtitleChar"/>
        </w:rPr>
        <w:t>Master Post-ETL Multi-Source Data Foundation Census</w:t>
      </w:r>
      <w:r w:rsidRPr="00087F9B">
        <w:rPr>
          <w:rStyle w:val="SubtitleChar"/>
          <w:i w:val="0"/>
          <w:iCs w:val="0"/>
        </w:rPr>
        <w:t xml:space="preserve"> </w:t>
      </w:r>
    </w:p>
    <w:p w14:paraId="03ABF932" w14:textId="77777777" w:rsidR="00FE22FF" w:rsidRPr="00087F9B" w:rsidRDefault="00FE22FF" w:rsidP="00087F9B">
      <w:pPr>
        <w:contextualSpacing/>
      </w:pPr>
      <w:r w:rsidRPr="00087F9B">
        <w:rPr>
          <w:noProof/>
        </w:rPr>
        <w:drawing>
          <wp:inline distT="0" distB="0" distL="0" distR="0" wp14:anchorId="7E366754" wp14:editId="0826EF4A">
            <wp:extent cx="5943600" cy="1041992"/>
            <wp:effectExtent l="0" t="0" r="0" b="0"/>
            <wp:docPr id="959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577" name=""/>
                    <pic:cNvPicPr/>
                  </pic:nvPicPr>
                  <pic:blipFill>
                    <a:blip r:embed="rId7"/>
                    <a:stretch>
                      <a:fillRect/>
                    </a:stretch>
                  </pic:blipFill>
                  <pic:spPr>
                    <a:xfrm>
                      <a:off x="0" y="0"/>
                      <a:ext cx="5943600" cy="1041992"/>
                    </a:xfrm>
                    <a:prstGeom prst="rect">
                      <a:avLst/>
                    </a:prstGeom>
                  </pic:spPr>
                </pic:pic>
              </a:graphicData>
            </a:graphic>
          </wp:inline>
        </w:drawing>
      </w:r>
    </w:p>
    <w:p w14:paraId="130F570F" w14:textId="77777777" w:rsidR="00FE22FF" w:rsidRPr="00087F9B" w:rsidRDefault="00FE22FF" w:rsidP="00087F9B">
      <w:pPr>
        <w:contextualSpacing/>
      </w:pPr>
      <w:r w:rsidRPr="00087F9B">
        <w:rPr>
          <w:b/>
          <w:bCs/>
        </w:rPr>
        <w:t>Table 4.2</w:t>
      </w:r>
      <w:r w:rsidRPr="00087F9B">
        <w:br/>
      </w:r>
      <w:r w:rsidRPr="00087F9B">
        <w:rPr>
          <w:i/>
          <w:iCs/>
        </w:rPr>
        <w:t>Post-ETL Master Summary Descriptive Statistics (Top 25 Cleaned Data Warehouse)</w:t>
      </w:r>
    </w:p>
    <w:p w14:paraId="4E8BA3CE" w14:textId="77777777" w:rsidR="00FE22FF" w:rsidRPr="00087F9B" w:rsidRDefault="00FE22FF" w:rsidP="00087F9B">
      <w:pPr>
        <w:contextualSpacing/>
        <w:jc w:val="center"/>
      </w:pPr>
      <w:r w:rsidRPr="00087F9B">
        <w:rPr>
          <w:noProof/>
        </w:rPr>
        <w:drawing>
          <wp:inline distT="0" distB="0" distL="0" distR="0" wp14:anchorId="58B6A167" wp14:editId="715ADD1C">
            <wp:extent cx="4566834" cy="1981200"/>
            <wp:effectExtent l="0" t="0" r="5715" b="0"/>
            <wp:docPr id="127507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79635" name=""/>
                    <pic:cNvPicPr/>
                  </pic:nvPicPr>
                  <pic:blipFill>
                    <a:blip r:embed="rId8"/>
                    <a:stretch>
                      <a:fillRect/>
                    </a:stretch>
                  </pic:blipFill>
                  <pic:spPr>
                    <a:xfrm>
                      <a:off x="0" y="0"/>
                      <a:ext cx="4578847" cy="1986412"/>
                    </a:xfrm>
                    <a:prstGeom prst="rect">
                      <a:avLst/>
                    </a:prstGeom>
                  </pic:spPr>
                </pic:pic>
              </a:graphicData>
            </a:graphic>
          </wp:inline>
        </w:drawing>
      </w:r>
    </w:p>
    <w:p w14:paraId="5E17E901" w14:textId="196725F0" w:rsidR="00FE22FF" w:rsidRPr="00087F9B" w:rsidRDefault="009E1C8A" w:rsidP="00087F9B">
      <w:pPr>
        <w:contextualSpacing/>
      </w:pPr>
      <w:r w:rsidRPr="00087F9B">
        <w:t xml:space="preserve">See </w:t>
      </w:r>
      <w:r w:rsidR="00310F3F" w:rsidRPr="00087F9B">
        <w:t xml:space="preserve">Appendix for a discussion of </w:t>
      </w:r>
      <w:r w:rsidR="00AA540D" w:rsidRPr="00087F9B">
        <w:t>descriptive statistics for post ETL Data</w:t>
      </w:r>
    </w:p>
    <w:p w14:paraId="7BD4B1F2" w14:textId="0FFC2020" w:rsidR="00FE0CA4" w:rsidRPr="00087F9B" w:rsidRDefault="00FE0CA4" w:rsidP="00087F9B">
      <w:pPr>
        <w:ind w:firstLine="720"/>
        <w:contextualSpacing/>
      </w:pPr>
      <w:r w:rsidRPr="00087F9B">
        <w:t>At the macro network level, the 25 candidate airfields processed an annual mean of 192,160 scheduled commercial domestic departures (std dev = 69,376; median = 177,182), ranging from 95,849 departures at Washington Dulles (IAD) to 360,571 departures at Chicago O'Hare (ORD). Individual physical screening complexes processed an average hourly throughput of 1,754 passengers, exhibiting significant intraday dispersion (std dev = 1,184 pax/hr) and reaching peak hourly rushes exceeding 4,800 passengers per hour. See Appendix A for a detailed operational breakdown of descriptive statistics for post-ETL data.</w:t>
      </w:r>
    </w:p>
    <w:p w14:paraId="5652BD07" w14:textId="77777777" w:rsidR="00FE22FF" w:rsidRPr="00087F9B" w:rsidRDefault="00FE22FF" w:rsidP="00087F9B">
      <w:pPr>
        <w:pStyle w:val="Heading3"/>
      </w:pPr>
      <w:bookmarkStart w:id="6" w:name="_Toc242174147"/>
      <w:bookmarkStart w:id="7" w:name="_Toc242174799"/>
      <w:r w:rsidRPr="00087F9B">
        <w:lastRenderedPageBreak/>
        <w:t>Temporal Boundaries</w:t>
      </w:r>
      <w:bookmarkEnd w:id="6"/>
      <w:bookmarkEnd w:id="7"/>
    </w:p>
    <w:p w14:paraId="65903264" w14:textId="1B1FB08A" w:rsidR="00FE22FF" w:rsidRPr="00087F9B" w:rsidRDefault="00FE22FF" w:rsidP="00087F9B">
      <w:pPr>
        <w:ind w:firstLine="720"/>
        <w:contextualSpacing/>
      </w:pPr>
      <w:r w:rsidRPr="00087F9B">
        <w:t>A core methodological requirement of this thesis is that defining temporal boundaries (specifically post-COVID recovery regimes) must be performed on the broad Top 25 airport dataset. Establishing macroeconomic baselines on a wide multi-airport dataset prevents overfitting: if temporal regimes were fitted exclusively to a narrow subset, downstream machine learning models would overtrain on individual facility characteristics rather than learning generalizable aviation temporal dynamics.</w:t>
      </w:r>
    </w:p>
    <w:p w14:paraId="0077BFFE" w14:textId="3DD340C7" w:rsidR="00F43BF9" w:rsidRPr="00087F9B" w:rsidRDefault="00F43BF9" w:rsidP="00087F9B">
      <w:pPr>
        <w:ind w:firstLine="720"/>
        <w:contextualSpacing/>
        <w:outlineLvl w:val="3"/>
        <w:rPr>
          <w:b/>
          <w:bCs/>
        </w:rPr>
      </w:pPr>
      <w:r w:rsidRPr="00087F9B">
        <w:rPr>
          <w:b/>
          <w:bCs/>
        </w:rPr>
        <w:t xml:space="preserve">Post-Pandemic Regime Selection and Structural Break Analysis. </w:t>
      </w:r>
      <w:r w:rsidRPr="00087F9B">
        <w:t>Structural break analysis—combining rolling Welch’s </w:t>
      </w:r>
      <m:oMath>
        <m:r>
          <w:rPr>
            <w:rFonts w:ascii="Cambria Math" w:hAnsi="Cambria Math"/>
          </w:rPr>
          <m:t>t</m:t>
        </m:r>
      </m:oMath>
      <w:r w:rsidRPr="00087F9B">
        <w:t>-tests and Cumulative Sum (CUSUM) trajectory tracking across the Top 25 airports—confirmed May 1, 2022 as the structural equilibrium demarcation point for predictive model development. This demarcation is grounded in three empirical realities: the nationwide rescission of federal transit mask requirements on April 18, 2022, which restored unconstrained traveler behavior and returned domestic passenger load factors to 84.7%; the stabilization of commercial coupling between scheduled flights and screening demand from an artificial pandemic high (</w:t>
      </w:r>
      <m:oMath>
        <m:r>
          <w:rPr>
            <w:rFonts w:ascii="Cambria Math" w:hAnsi="Cambria Math"/>
          </w:rPr>
          <m:t>r=0.607,</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=36.85%</m:t>
        </m:r>
      </m:oMath>
      <w:r w:rsidRPr="00087F9B">
        <w:t>) down to normalized post-recovery equilibrium (</w:t>
      </w:r>
      <m:oMath>
        <m:r>
          <w:rPr>
            <w:rFonts w:ascii="Cambria Math" w:hAnsi="Cambria Math"/>
          </w:rPr>
          <m:t>r=0.553,</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=30.61%</m:t>
        </m:r>
      </m:oMath>
      <w:r w:rsidRPr="00087F9B">
        <w:t>); and the establishment of a clean 32-month development baseline.</w:t>
      </w:r>
      <w:r w:rsidR="00087F9B" w:rsidRPr="00087F9B">
        <w:t xml:space="preserve"> </w:t>
      </w:r>
      <w:r w:rsidR="00087F9B" w:rsidRPr="00087F9B">
        <w:rPr>
          <w:highlight w:val="yellow"/>
        </w:rPr>
        <w:t>Table 4.3a in Appendix B details the complete structural break evaluation and statistical demarcation analysis</w:t>
      </w:r>
      <w:r w:rsidR="00087F9B" w:rsidRPr="00087F9B">
        <w:t>.</w:t>
      </w:r>
    </w:p>
    <w:p w14:paraId="67EA1B70" w14:textId="77777777" w:rsidR="00FE22FF" w:rsidRPr="00087F9B" w:rsidRDefault="00FE22FF" w:rsidP="00087F9B">
      <w:pPr>
        <w:pStyle w:val="Heading3"/>
      </w:pPr>
      <w:bookmarkStart w:id="8" w:name="_Toc242174149"/>
      <w:bookmarkStart w:id="9" w:name="_Toc242174801"/>
      <w:r w:rsidRPr="00087F9B">
        <w:t>Defining Seasonality</w:t>
      </w:r>
      <w:bookmarkEnd w:id="8"/>
      <w:bookmarkEnd w:id="9"/>
    </w:p>
    <w:p w14:paraId="6BC37FBF" w14:textId="77777777" w:rsidR="00013CC5" w:rsidRPr="00087F9B" w:rsidRDefault="00013CC5" w:rsidP="00087F9B">
      <w:pPr>
        <w:ind w:firstLine="360"/>
        <w:contextualSpacing/>
      </w:pPr>
      <w:bookmarkStart w:id="10" w:name="_Toc242174150"/>
      <w:bookmarkStart w:id="11" w:name="_Toc242174802"/>
      <w:r w:rsidRPr="00087F9B">
        <w:t xml:space="preserve">Just as temporal boundaries must be established across the Top 25 network, defining seasonality requires capturing the full empirical variance of nationwide commercial aviation. Aviation seasonality operates along three coupled dimensions: annual seasonal volatility regimes, day-of-week demand archetypes, and diurnal non-consecutive dual turbulence peaks </w:t>
      </w:r>
      <w:r w:rsidRPr="00087F9B">
        <w:rPr>
          <w:highlight w:val="yellow"/>
        </w:rPr>
        <w:lastRenderedPageBreak/>
        <w:t>(see Appendix C, including Table 4.3b for annual regimes and Table 4.4a for day-of-week archetypes).</w:t>
      </w:r>
      <w:r w:rsidRPr="00087F9B">
        <w:t xml:space="preserve"> Formally defining these dimensions enables predictive models to control for cyclical variance, ensuring that model architectures are benchmarked across equivalent operational conditions.</w:t>
      </w:r>
    </w:p>
    <w:p w14:paraId="4FA6C4BE" w14:textId="41AB82BE" w:rsidR="00FE22FF" w:rsidRPr="00087F9B" w:rsidRDefault="00FE22FF" w:rsidP="00087F9B">
      <w:pPr>
        <w:contextualSpacing/>
        <w:rPr>
          <w:b/>
          <w:bCs/>
          <w:i/>
          <w:iCs/>
        </w:rPr>
      </w:pPr>
      <w:r w:rsidRPr="00087F9B">
        <w:rPr>
          <w:b/>
          <w:bCs/>
          <w:i/>
          <w:iCs/>
        </w:rPr>
        <w:t>TSA and OTP Throughput Data</w:t>
      </w:r>
      <w:bookmarkEnd w:id="10"/>
      <w:bookmarkEnd w:id="11"/>
    </w:p>
    <w:p w14:paraId="26F2B52B" w14:textId="77777777" w:rsidR="00BA3477" w:rsidRPr="00087F9B" w:rsidRDefault="00BA3477" w:rsidP="00087F9B">
      <w:pPr>
        <w:ind w:firstLine="360"/>
        <w:contextualSpacing/>
      </w:pPr>
      <w:r w:rsidRPr="00087F9B">
        <w:t>Evaluating the statistical relationships between TSA checkpoint throughput and Bureau of Transportation Statistics On-Time Performance data across all Top 25 airports reveals fundamental econometric dynamics. Table 4.5 in Appendix D synthesizes the master cross-dataset econometric correlations. This analysis provides two distinct empirical insights:</w:t>
      </w:r>
    </w:p>
    <w:p w14:paraId="7FD85FC4" w14:textId="7863C7BE" w:rsidR="00FE22FF" w:rsidRPr="00087F9B" w:rsidRDefault="00FE22FF" w:rsidP="00087F9B">
      <w:pPr>
        <w:ind w:firstLine="360"/>
        <w:contextualSpacing/>
      </w:pPr>
      <w:r w:rsidRPr="00087F9B">
        <w:rPr>
          <w:b/>
          <w:bCs/>
        </w:rPr>
        <w:t>The Hub Disconnect</w:t>
      </w:r>
      <w:r w:rsidRPr="00087F9B">
        <w:t>. Raw scheduled flight departures explain only 20.90%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087F9B">
        <w:t>) of TSA security checkpoint passenger throughput across the Top 25 network (</w:t>
      </w:r>
      <m:oMath>
        <m:r>
          <w:rPr>
            <w:rFonts w:ascii="Cambria Math" w:hAnsi="Cambria Math"/>
          </w:rPr>
          <m:t>r=0.4572,p&lt;0.05</m:t>
        </m:r>
      </m:oMath>
      <w:r w:rsidRPr="00087F9B">
        <w:t>). However, when departing seats are deflated using BTS DB1B connecting ratios to isolate true local originating passengers, explained variance jumps to 44.94% (</w:t>
      </w:r>
      <m:oMath>
        <m:r>
          <w:rPr>
            <w:rFonts w:ascii="Cambria Math" w:hAnsi="Cambria Math"/>
          </w:rPr>
          <m:t>r=0.6704,p&lt;0.001</m:t>
        </m:r>
      </m:oMath>
      <w:r w:rsidRPr="00087F9B">
        <w:t xml:space="preserve">), an increase of +115%. </w:t>
      </w:r>
      <w:r w:rsidR="00BF4FCE" w:rsidRPr="00087F9B">
        <w:t>For instance,</w:t>
      </w:r>
      <w:r w:rsidRPr="00087F9B">
        <w:t xml:space="preserve"> major connecting hubs such as Charlotte (CLT) and Atlanta (ATL), up to 70% to 76% of passengers transfer between gates airside without entering landside security queues. Failing to account for connecting ratios creates a 2.5-fold distortion in checkpoint demand modeling.</w:t>
      </w:r>
    </w:p>
    <w:p w14:paraId="2ADECEED" w14:textId="4E1D782D" w:rsidR="00FE22FF" w:rsidRPr="00087F9B" w:rsidRDefault="00656893" w:rsidP="00087F9B">
      <w:pPr>
        <w:ind w:firstLine="360"/>
        <w:contextualSpacing/>
      </w:pPr>
      <w:r w:rsidRPr="00087F9B">
        <w:rPr>
          <w:b/>
          <w:bCs/>
        </w:rPr>
        <w:t>Asynchronous Delay Propagation and Checkpoint Volatility Coupling</w:t>
      </w:r>
      <w:r w:rsidR="00FE22FF" w:rsidRPr="00087F9B">
        <w:t>. While raw delay rates show weak same-hour linear correlation with passenger volumes (</w:t>
      </w:r>
      <m:oMath>
        <m:r>
          <w:rPr>
            <w:rFonts w:ascii="Cambria Math" w:hAnsi="Cambria Math"/>
          </w:rPr>
          <m:t>r=0.2019,</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=4.08%</m:t>
        </m:r>
      </m:oMath>
      <w:r w:rsidR="00FE22FF" w:rsidRPr="00087F9B">
        <w:t>), volatility measures exhibit strong coupling. Hourly checkpoint arrival volatility (</w:t>
      </w:r>
      <m:oMath>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oMath>
      <w:r w:rsidR="00FE22FF" w:rsidRPr="00087F9B">
        <w:t>) is significantly coupled with flight departure delay volatility (</w:t>
      </w:r>
      <m:oMath>
        <m:r>
          <w:rPr>
            <w:rFonts w:ascii="Cambria Math" w:hAnsi="Cambria Math"/>
          </w:rPr>
          <m:t>r=0.4375,</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=19.14%,p&lt;0.05</m:t>
        </m:r>
      </m:oMath>
      <w:r w:rsidR="00FE22FF" w:rsidRPr="00087F9B">
        <w:t>).</w:t>
      </w:r>
      <w:r w:rsidR="00E749E0" w:rsidRPr="00087F9B">
        <w:t xml:space="preserve"> </w:t>
      </w:r>
      <w:r w:rsidR="00FE22FF" w:rsidRPr="00087F9B">
        <w:t>Furthermore, weekly cyclical aggregation demonstrates that passenger demand volume tracks tightly with weekly flight departure delay variance (</w:t>
      </w:r>
      <m:oMath>
        <m:r>
          <w:rPr>
            <w:rFonts w:ascii="Cambria Math" w:hAnsi="Cambria Math"/>
          </w:rPr>
          <m:t>r=0.9022,</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=81.40%,p&lt;</m:t>
        </m:r>
        <m:r>
          <w:rPr>
            <w:rFonts w:ascii="Cambria Math" w:hAnsi="Cambria Math"/>
          </w:rPr>
          <w:lastRenderedPageBreak/>
          <m:t>0.01</m:t>
        </m:r>
      </m:oMath>
      <w:r w:rsidR="00FE22FF" w:rsidRPr="00087F9B">
        <w:t>), reflecting synchronized macro peak seasonal demand across the network rather than landside queues causing airside pushback delays.</w:t>
      </w:r>
    </w:p>
    <w:p w14:paraId="40B52327" w14:textId="77777777" w:rsidR="00FE22FF" w:rsidRPr="00087F9B" w:rsidRDefault="00FE22FF" w:rsidP="00087F9B">
      <w:pPr>
        <w:pStyle w:val="Heading2"/>
        <w:rPr>
          <w:i/>
          <w:iCs/>
        </w:rPr>
      </w:pPr>
      <w:r w:rsidRPr="00087F9B">
        <w:rPr>
          <w:i/>
          <w:iCs/>
        </w:rPr>
        <w:t>Implications for Subset</w:t>
      </w:r>
    </w:p>
    <w:p w14:paraId="5009C015" w14:textId="4C08EB89" w:rsidR="00626B04" w:rsidRPr="00087F9B" w:rsidRDefault="00626B04" w:rsidP="00087F9B">
      <w:pPr>
        <w:ind w:firstLine="360"/>
        <w:contextualSpacing/>
      </w:pPr>
      <w:r w:rsidRPr="00087F9B">
        <w:t xml:space="preserve">Establishing temporal boundaries (the May 1, 2022 post-mask demarcation) and seasonal dynamics across the full Top 25 network ensures that baseline operational patterns reflect macroeconomic aviation behavior rather than idiosyncratic facility quirks. To maintain strict methodological integrity and prevent predictive </w:t>
      </w:r>
      <w:r w:rsidR="00512790" w:rsidRPr="00087F9B">
        <w:t>errors</w:t>
      </w:r>
      <w:r w:rsidRPr="00087F9B">
        <w:t xml:space="preserve">, these macro-level seasonal regimes and cross-dataset relationships are not used as direct regression features. Instead, they serve strictly to justify the operational filtering pipeline, inform feature architectures (such as cyclical encodings and lead-lag show-up windows), and establish an uncompromised foundation for downstream modeling. </w:t>
      </w:r>
    </w:p>
    <w:p w14:paraId="49C75EAC" w14:textId="77777777" w:rsidR="00087F9B" w:rsidRDefault="00626B04" w:rsidP="00087F9B">
      <w:pPr>
        <w:ind w:firstLine="360"/>
        <w:contextualSpacing/>
      </w:pPr>
      <w:r w:rsidRPr="00087F9B">
        <w:t xml:space="preserve">The exploratory analysis also reveals that commercial </w:t>
      </w:r>
      <w:r w:rsidR="00610F23" w:rsidRPr="00087F9B">
        <w:t>airport</w:t>
      </w:r>
      <w:r w:rsidRPr="00087F9B">
        <w:t xml:space="preserve">s must initially be evaluated as whole facilities to verify operational scale and hub cluster </w:t>
      </w:r>
      <w:r w:rsidR="00475490" w:rsidRPr="00087F9B">
        <w:t>diversity but</w:t>
      </w:r>
      <w:r w:rsidRPr="00087F9B">
        <w:t xml:space="preserve"> cannot be modeled at the aggregate airport level. In shared-terminal facilities, coordinated airline flight banks generate severe multi-carrier collinearity </w:t>
      </w:r>
      <w:r w:rsidR="00826173" w:rsidRPr="00087F9B">
        <w:rPr>
          <w:highlight w:val="yellow"/>
        </w:rPr>
        <w:t>(see appendix for equation)</w:t>
      </w:r>
      <w:r w:rsidR="00826173" w:rsidRPr="00087F9B">
        <w:t xml:space="preserve"> </w:t>
      </w:r>
      <w:r w:rsidRPr="00087F9B">
        <w:t>making it mathematically impossible to separate individual airline passenger contributions and restricting explained checkpoint variance to only ~20%. Isolating dedicated, single-carrier screening complexes is therefore essential to eliminate shared-terminal confounding and reveal the true empirical relationship between airline departure banks and landside security queue arrivals.</w:t>
      </w:r>
      <w:bookmarkStart w:id="12" w:name="_Toc242174151"/>
      <w:bookmarkStart w:id="13" w:name="_Toc242174803"/>
    </w:p>
    <w:p w14:paraId="55E49AE8" w14:textId="77777777" w:rsidR="0068403F" w:rsidRDefault="00FE22FF" w:rsidP="0068403F">
      <w:pPr>
        <w:contextualSpacing/>
        <w:rPr>
          <w:b/>
          <w:bCs/>
          <w:i/>
          <w:iCs/>
        </w:rPr>
      </w:pPr>
      <w:r w:rsidRPr="00087F9B">
        <w:rPr>
          <w:b/>
          <w:bCs/>
        </w:rPr>
        <w:t>Data Filtering and Subset Selection</w:t>
      </w:r>
      <w:bookmarkStart w:id="14" w:name="_Toc242174152"/>
      <w:bookmarkStart w:id="15" w:name="_Toc242174804"/>
      <w:bookmarkEnd w:id="12"/>
      <w:bookmarkEnd w:id="13"/>
      <w:r w:rsidR="00087F9B">
        <w:rPr>
          <w:b/>
          <w:bCs/>
        </w:rPr>
        <w:br/>
      </w:r>
      <w:r w:rsidRPr="00087F9B">
        <w:rPr>
          <w:b/>
          <w:bCs/>
          <w:i/>
          <w:iCs/>
        </w:rPr>
        <w:t>Four-Phase Filtering Pipeline</w:t>
      </w:r>
      <w:bookmarkEnd w:id="14"/>
      <w:bookmarkEnd w:id="15"/>
    </w:p>
    <w:p w14:paraId="2389A364" w14:textId="3C3B9C36" w:rsidR="00087F9B" w:rsidRPr="0068403F" w:rsidRDefault="00087F9B" w:rsidP="0068403F">
      <w:pPr>
        <w:ind w:firstLine="360"/>
        <w:contextualSpacing/>
        <w:rPr>
          <w:b/>
          <w:bCs/>
          <w:i/>
          <w:iCs/>
        </w:rPr>
      </w:pPr>
      <w:r w:rsidRPr="00087F9B">
        <w:lastRenderedPageBreak/>
        <w:t>To eliminate confounding from multi-carrier passenger mixing, unconstrained regional flow, and airline alliance code-sharing, a four-phase purposive filtering pipeline was executed across the national commercial airport benchmark network</w:t>
      </w:r>
    </w:p>
    <w:p w14:paraId="5EC71350" w14:textId="77777777" w:rsidR="00240207" w:rsidRPr="00087F9B" w:rsidRDefault="00240207" w:rsidP="00087F9B">
      <w:pPr>
        <w:numPr>
          <w:ilvl w:val="0"/>
          <w:numId w:val="15"/>
        </w:numPr>
        <w:contextualSpacing/>
      </w:pPr>
      <w:r w:rsidRPr="00087F9B">
        <w:rPr>
          <w:b/>
          <w:bCs/>
        </w:rPr>
        <w:t>Phase 1: Macro Filter (Heavy-Traffic Scale and Checkpoint Congestion)</w:t>
      </w:r>
      <w:r w:rsidRPr="00087F9B">
        <w:t>: Restricted candidate airfields to the Top 25 U.S. commercial airports by annual scheduled seat capacity and passenger enplanements, ensuring robust sample sizes under persistent heavy-traffic queuing regimes.</w:t>
      </w:r>
    </w:p>
    <w:p w14:paraId="163CD20F" w14:textId="77777777" w:rsidR="00240207" w:rsidRPr="00087F9B" w:rsidRDefault="00240207" w:rsidP="00087F9B">
      <w:pPr>
        <w:numPr>
          <w:ilvl w:val="0"/>
          <w:numId w:val="15"/>
        </w:numPr>
        <w:contextualSpacing/>
      </w:pPr>
      <w:r w:rsidRPr="00087F9B">
        <w:rPr>
          <w:b/>
          <w:bCs/>
        </w:rPr>
        <w:t>Phase 2: Meso Filter (Operational Homogeneity and Southwest Exclusion)</w:t>
      </w:r>
      <w:r w:rsidRPr="00087F9B">
        <w:t>: Excluded Southwest Airlines-dominated airfields (e.g., MDW, DAL) due to point-to-point non-hub routing, unassigned boarding dynamics, and non-reporting in BTS Form 234 delay databases. Excluded airports undergoing massive multi-year terminal reconstructions (e.g., SLC, SEA) that induced non-stationary queuing bottlenecks.</w:t>
      </w:r>
    </w:p>
    <w:p w14:paraId="365355CD" w14:textId="77777777" w:rsidR="00240207" w:rsidRPr="00087F9B" w:rsidRDefault="00240207" w:rsidP="00087F9B">
      <w:pPr>
        <w:numPr>
          <w:ilvl w:val="0"/>
          <w:numId w:val="15"/>
        </w:numPr>
        <w:contextualSpacing/>
      </w:pPr>
      <w:r w:rsidRPr="00087F9B">
        <w:rPr>
          <w:b/>
          <w:bCs/>
        </w:rPr>
        <w:t>Phase 3: Micro Filter (Carrier Checkpoint Exclusivity)</w:t>
      </w:r>
      <w:r w:rsidRPr="00087F9B">
        <w:t>: Filtered out multi-carrier consolidated checkpoints where passengers from multiple competing airlines pass through shared security lanes. Isolated checkpoints with </w:t>
      </w:r>
      <m:oMath>
        <m:r>
          <w:rPr>
            <w:rFonts w:ascii="Cambria Math" w:hAnsi="Cambria Math"/>
          </w:rPr>
          <m:t>≥90%</m:t>
        </m:r>
      </m:oMath>
      <w:r w:rsidRPr="00087F9B">
        <w:t> single-carrier passenger dominance.</w:t>
      </w:r>
    </w:p>
    <w:p w14:paraId="45A01A90" w14:textId="7006AFAC" w:rsidR="00475490" w:rsidRPr="00087F9B" w:rsidRDefault="00240207" w:rsidP="00087F9B">
      <w:pPr>
        <w:numPr>
          <w:ilvl w:val="0"/>
          <w:numId w:val="15"/>
        </w:numPr>
        <w:contextualSpacing/>
      </w:pPr>
      <w:r w:rsidRPr="00087F9B">
        <w:rPr>
          <w:b/>
          <w:bCs/>
        </w:rPr>
        <w:t>Phase 4: Factorial Cohort (Factorial Matrix Balance)</w:t>
      </w:r>
      <w:r w:rsidRPr="00087F9B">
        <w:t>: Balanced the final cohort across legacy network carriers (American, Delta, United) and operational airport clusters (Mega-Connecting Gateways, High-Density O&amp;D Focus, High-Reliability Fortresses, and Congested Coastal Originators).</w:t>
      </w:r>
    </w:p>
    <w:p w14:paraId="0DA81029" w14:textId="77777777" w:rsidR="00FE22FF" w:rsidRPr="00087F9B" w:rsidRDefault="00FE22FF" w:rsidP="00087F9B">
      <w:pPr>
        <w:pStyle w:val="Heading3"/>
      </w:pPr>
      <w:r w:rsidRPr="00087F9B">
        <w:lastRenderedPageBreak/>
        <w:t>Pipeline Results</w:t>
      </w:r>
    </w:p>
    <w:p w14:paraId="0380BBC8" w14:textId="442AD3EA" w:rsidR="00FE22FF" w:rsidRPr="00087F9B" w:rsidRDefault="00FE22FF" w:rsidP="00087F9B">
      <w:pPr>
        <w:ind w:firstLine="720"/>
        <w:contextualSpacing/>
      </w:pPr>
      <w:r w:rsidRPr="00087F9B">
        <w:t xml:space="preserve">The filtering pipeline isolated 9 commercial </w:t>
      </w:r>
      <w:r w:rsidR="00610F23" w:rsidRPr="00087F9B">
        <w:t>airport</w:t>
      </w:r>
      <w:r w:rsidRPr="00087F9B">
        <w:t>s representing 12 carrier-exclusive screening environments, achieving complete balance across legacy airlines and operational clusters. Table 4.6 details the experimental cohort.</w:t>
      </w:r>
    </w:p>
    <w:p w14:paraId="7CB094AF" w14:textId="6D030EB2" w:rsidR="00FE22FF" w:rsidRPr="00087F9B" w:rsidRDefault="00FE22FF" w:rsidP="00087F9B">
      <w:pPr>
        <w:contextualSpacing/>
      </w:pPr>
      <w:r w:rsidRPr="00087F9B">
        <w:rPr>
          <w:b/>
          <w:bCs/>
        </w:rPr>
        <w:t>Table 4.6</w:t>
      </w:r>
      <w:r w:rsidRPr="00087F9B">
        <w:br/>
      </w:r>
      <w:r w:rsidRPr="00087F9B">
        <w:rPr>
          <w:i/>
          <w:iCs/>
        </w:rPr>
        <w:t>The Nine-Airport Experimental Cohort Specification</w:t>
      </w:r>
    </w:p>
    <w:p w14:paraId="1D450426" w14:textId="77777777" w:rsidR="00FE22FF" w:rsidRPr="00087F9B" w:rsidRDefault="00FE22FF" w:rsidP="00087F9B">
      <w:pPr>
        <w:contextualSpacing/>
        <w:jc w:val="center"/>
      </w:pPr>
      <w:r w:rsidRPr="00087F9B">
        <w:rPr>
          <w:noProof/>
        </w:rPr>
        <w:drawing>
          <wp:inline distT="0" distB="0" distL="0" distR="0" wp14:anchorId="662B189A" wp14:editId="6DA187AE">
            <wp:extent cx="6067183" cy="1660849"/>
            <wp:effectExtent l="0" t="0" r="3810" b="3175"/>
            <wp:docPr id="74945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51079" name=""/>
                    <pic:cNvPicPr/>
                  </pic:nvPicPr>
                  <pic:blipFill>
                    <a:blip r:embed="rId9"/>
                    <a:stretch>
                      <a:fillRect/>
                    </a:stretch>
                  </pic:blipFill>
                  <pic:spPr>
                    <a:xfrm>
                      <a:off x="0" y="0"/>
                      <a:ext cx="6114214" cy="1673724"/>
                    </a:xfrm>
                    <a:prstGeom prst="rect">
                      <a:avLst/>
                    </a:prstGeom>
                  </pic:spPr>
                </pic:pic>
              </a:graphicData>
            </a:graphic>
          </wp:inline>
        </w:drawing>
      </w:r>
    </w:p>
    <w:p w14:paraId="7BBCE1F8" w14:textId="3CBF080D" w:rsidR="00FE22FF" w:rsidRPr="00087F9B" w:rsidRDefault="009B0AA8" w:rsidP="00087F9B">
      <w:pPr>
        <w:ind w:firstLine="360"/>
        <w:contextualSpacing/>
        <w:rPr>
          <w:b/>
          <w:bCs/>
        </w:rPr>
      </w:pPr>
      <w:r w:rsidRPr="00087F9B">
        <w:t>To mathematically verify that dedicated checkpoints isolate single-carrier demand, four econometric tests were performed: a volume conservation test, a zero-flight intercept test, a cross-carrier orthogonality test, and a terminal layout invariance test (see appendix for details and test statistics</w:t>
      </w:r>
      <w:r w:rsidR="00F65823" w:rsidRPr="00087F9B">
        <w:t>)</w:t>
      </w:r>
      <w:r w:rsidR="002354FC" w:rsidRPr="00087F9B">
        <w:t>.</w:t>
      </w:r>
    </w:p>
    <w:p w14:paraId="1835E1D4" w14:textId="77777777" w:rsidR="00FE22FF" w:rsidRDefault="00FE22FF" w:rsidP="00087F9B">
      <w:pPr>
        <w:pStyle w:val="Heading3"/>
        <w:rPr>
          <w:b w:val="0"/>
          <w:bCs w:val="0"/>
          <w:i w:val="0"/>
          <w:iCs w:val="0"/>
        </w:rPr>
      </w:pPr>
      <w:r w:rsidRPr="00087F9B">
        <w:t>Descriptive Statistics for Subset</w:t>
      </w:r>
    </w:p>
    <w:p w14:paraId="500C41AC" w14:textId="34288738" w:rsidR="001827CF" w:rsidRPr="001827CF" w:rsidRDefault="001827CF" w:rsidP="001827CF">
      <w:pPr>
        <w:ind w:firstLine="720"/>
      </w:pPr>
      <w:r>
        <w:t>T</w:t>
      </w:r>
      <w:r w:rsidRPr="001827CF">
        <w:t>o evaluate whether the nine-airport experimental cohort accurately reflects the heightened operational stress, flight bank synchronization, and queuing dynamics of major commercial aviation facilities, the cohort's baseline characteristics were contrasted against the nationwide Top 25 benchmark network. As documented in Table 4.7 in Appendix E, this comparative analysis confirms that the filtered subset captures a representative cross-section of high-density operating environments while exhibiting key structural differences that heighten screening sensitivity.</w:t>
      </w:r>
    </w:p>
    <w:p w14:paraId="3F8A1187" w14:textId="39F27271" w:rsidR="00FE22FF" w:rsidRPr="00087F9B" w:rsidRDefault="00FE22FF" w:rsidP="00087F9B">
      <w:pPr>
        <w:contextualSpacing/>
        <w:rPr>
          <w:i/>
          <w:iCs/>
        </w:rPr>
      </w:pPr>
      <w:r w:rsidRPr="00087F9B">
        <w:rPr>
          <w:b/>
          <w:bCs/>
        </w:rPr>
        <w:lastRenderedPageBreak/>
        <w:t>Table 4.7</w:t>
      </w:r>
      <w:r w:rsidRPr="00087F9B">
        <w:br/>
      </w:r>
      <w:r w:rsidRPr="00087F9B">
        <w:rPr>
          <w:i/>
          <w:iCs/>
        </w:rPr>
        <w:t>Summary Descriptive Statistics: Nine-Airport Experimental Cohort</w:t>
      </w:r>
    </w:p>
    <w:p w14:paraId="2ECF4149" w14:textId="77777777" w:rsidR="00FE22FF" w:rsidRPr="00087F9B" w:rsidRDefault="00FE22FF" w:rsidP="00087F9B">
      <w:pPr>
        <w:contextualSpacing/>
        <w:jc w:val="center"/>
      </w:pPr>
      <w:r w:rsidRPr="00087F9B">
        <w:rPr>
          <w:noProof/>
        </w:rPr>
        <w:drawing>
          <wp:inline distT="0" distB="0" distL="0" distR="0" wp14:anchorId="3FFBFEC6" wp14:editId="4169CB2B">
            <wp:extent cx="5943600" cy="2971800"/>
            <wp:effectExtent l="0" t="0" r="0" b="0"/>
            <wp:docPr id="140636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60451" name=""/>
                    <pic:cNvPicPr/>
                  </pic:nvPicPr>
                  <pic:blipFill>
                    <a:blip r:embed="rId10"/>
                    <a:stretch>
                      <a:fillRect/>
                    </a:stretch>
                  </pic:blipFill>
                  <pic:spPr>
                    <a:xfrm>
                      <a:off x="0" y="0"/>
                      <a:ext cx="5943600" cy="2971800"/>
                    </a:xfrm>
                    <a:prstGeom prst="rect">
                      <a:avLst/>
                    </a:prstGeom>
                  </pic:spPr>
                </pic:pic>
              </a:graphicData>
            </a:graphic>
          </wp:inline>
        </w:drawing>
      </w:r>
    </w:p>
    <w:p w14:paraId="2CBAC1A4" w14:textId="275BB048" w:rsidR="00E52CCF" w:rsidRPr="00087F9B" w:rsidRDefault="006769AE" w:rsidP="00087F9B">
      <w:pPr>
        <w:ind w:firstLine="720"/>
        <w:contextualSpacing/>
      </w:pPr>
      <w:r w:rsidRPr="006769AE">
        <w:t>Compared to the broader Top 25 benchmark network, the nine-airport cohort exhibits higher flight movement density (annual mean of 224,576 scheduled departures versus 192,160 network-wide, +16.9%), ensuring that checkpoints operate under heavy, bank-synchronized arrival loads. Second, these facilities experience heightened operational disruption, with average departure delays higher (15.23 min vs. 14.21 min, +7.2%), cancellation rates higher (1.63% vs. 1.43%, +14.1%), and taxi-out times longer (20.59 min vs. 19.69 min). Third, the cohort concentrates demand into landside security screening through a higher local originating passenger share (52.55% vs. 48.61%) and an increase in absolute local originating volume (16.38 million vs. 13.10 million passengers annually, +25.0%). These operational differences confirm that screening queues across the experimental cohort are governed by landside passenger show-up curves rather than airside connecting transfers.</w:t>
      </w:r>
    </w:p>
    <w:p w14:paraId="6AC9140F" w14:textId="77777777" w:rsidR="00DA26F4" w:rsidRPr="00087F9B" w:rsidRDefault="00FE22FF" w:rsidP="00087F9B">
      <w:pPr>
        <w:contextualSpacing/>
        <w:rPr>
          <w:b/>
          <w:bCs/>
          <w:i/>
          <w:iCs/>
        </w:rPr>
      </w:pPr>
      <w:r w:rsidRPr="00087F9B">
        <w:rPr>
          <w:b/>
          <w:bCs/>
          <w:i/>
          <w:iCs/>
        </w:rPr>
        <w:t>Local Seasonal and Day-of-Week Differences Across the Nine Selected Airports</w:t>
      </w:r>
    </w:p>
    <w:p w14:paraId="4B458099" w14:textId="77777777" w:rsidR="004E6A82" w:rsidRPr="00087F9B" w:rsidRDefault="004E6A82" w:rsidP="00087F9B">
      <w:pPr>
        <w:pStyle w:val="Heading3"/>
        <w:ind w:firstLine="720"/>
        <w:rPr>
          <w:b w:val="0"/>
          <w:bCs w:val="0"/>
          <w:i w:val="0"/>
          <w:iCs w:val="0"/>
          <w:color w:val="000000"/>
        </w:rPr>
      </w:pPr>
      <w:r w:rsidRPr="00087F9B">
        <w:rPr>
          <w:b w:val="0"/>
          <w:bCs w:val="0"/>
          <w:i w:val="0"/>
          <w:iCs w:val="0"/>
          <w:color w:val="000000"/>
        </w:rPr>
        <w:lastRenderedPageBreak/>
        <w:t>While seasonal and day-of-week baselines were established across the Top 25 network, the nine selected airports display distinct local weekly throughput profiles driven by their underlying passenger composition. As reported in Table 4.8 in the appendix, the nine facilities cluster into three operational archetypes: pure corporate markets like LaGuardia that surge on Mondays and Thursdays with steep weekend drops; corporate-to-weekend hubs like Boston, Dallas/Fort Worth, and Detroit that peak on Fridays; and balanced leisure destinations like Los Angeles and Orlando that maintain steady traffic throughout the week. Accounting for these local demand rhythms is critical for security operations, as applying a single generic network schedule would misallocate checkpoint screening lanes on peak days.</w:t>
      </w:r>
    </w:p>
    <w:p w14:paraId="7708D511" w14:textId="5B8CFFFD" w:rsidR="00BD2540" w:rsidRPr="00087F9B" w:rsidRDefault="00FE22FF" w:rsidP="00087F9B">
      <w:pPr>
        <w:pStyle w:val="Heading3"/>
      </w:pPr>
      <w:commentRangeStart w:id="16"/>
      <w:r w:rsidRPr="00087F9B">
        <w:t>Implications for Model</w:t>
      </w:r>
      <w:r w:rsidR="00291751" w:rsidRPr="00087F9B">
        <w:t xml:space="preserve"> </w:t>
      </w:r>
      <w:r w:rsidR="00FB55E3" w:rsidRPr="00087F9B">
        <w:t>Development</w:t>
      </w:r>
      <w:commentRangeEnd w:id="16"/>
      <w:r w:rsidR="00B62A40" w:rsidRPr="00087F9B">
        <w:rPr>
          <w:rStyle w:val="CommentReference"/>
          <w:sz w:val="24"/>
          <w:szCs w:val="24"/>
        </w:rPr>
        <w:commentReference w:id="16"/>
      </w:r>
    </w:p>
    <w:p w14:paraId="31FC9E20" w14:textId="77777777" w:rsidR="005D6869" w:rsidRPr="00087F9B" w:rsidRDefault="005D6869" w:rsidP="00B62A40">
      <w:pPr>
        <w:pStyle w:val="code-line"/>
        <w:spacing w:before="0" w:beforeAutospacing="0" w:after="0" w:afterAutospacing="0" w:line="480" w:lineRule="auto"/>
        <w:ind w:firstLine="360"/>
        <w:contextualSpacing/>
        <w:rPr>
          <w:color w:val="000000"/>
        </w:rPr>
      </w:pPr>
      <w:r w:rsidRPr="00087F9B">
        <w:rPr>
          <w:color w:val="000000"/>
        </w:rPr>
        <w:t>The empirical findings from subset selection establish four mandatory architectural requirements for airport passenger flow modeling:</w:t>
      </w:r>
    </w:p>
    <w:p w14:paraId="434AFCB4" w14:textId="77777777" w:rsidR="005D6869" w:rsidRPr="00087F9B" w:rsidRDefault="005D6869" w:rsidP="00087F9B">
      <w:pPr>
        <w:pStyle w:val="code-line"/>
        <w:numPr>
          <w:ilvl w:val="0"/>
          <w:numId w:val="16"/>
        </w:numPr>
        <w:spacing w:before="0" w:beforeAutospacing="0" w:after="0" w:afterAutospacing="0" w:line="480" w:lineRule="auto"/>
        <w:contextualSpacing/>
        <w:rPr>
          <w:color w:val="000000"/>
        </w:rPr>
      </w:pPr>
      <w:r w:rsidRPr="00087F9B">
        <w:rPr>
          <w:rStyle w:val="Strong"/>
          <w:color w:val="000000"/>
        </w:rPr>
        <w:t>Single-Carrier Screening Complex Isolation</w:t>
      </w:r>
      <w:r w:rsidRPr="00087F9B">
        <w:rPr>
          <w:color w:val="000000"/>
        </w:rPr>
        <w:t>: Passenger throughput must be modeled at dedicated single-carrier screening complexes rather than airport-wide aggregates to eliminate multi-carrier bank confounding and capture terminal-specific arrival surges.</w:t>
      </w:r>
    </w:p>
    <w:p w14:paraId="2ECD5F62" w14:textId="77777777" w:rsidR="005D6869" w:rsidRPr="00087F9B" w:rsidRDefault="005D6869" w:rsidP="00087F9B">
      <w:pPr>
        <w:pStyle w:val="code-line"/>
        <w:numPr>
          <w:ilvl w:val="0"/>
          <w:numId w:val="16"/>
        </w:numPr>
        <w:spacing w:before="0" w:beforeAutospacing="0" w:after="0" w:afterAutospacing="0" w:line="480" w:lineRule="auto"/>
        <w:contextualSpacing/>
        <w:rPr>
          <w:color w:val="000000"/>
        </w:rPr>
      </w:pPr>
      <w:r w:rsidRPr="00087F9B">
        <w:rPr>
          <w:rStyle w:val="Strong"/>
          <w:color w:val="000000"/>
        </w:rPr>
        <w:t>Connecting Passenger Deflation via DB1B Surveys</w:t>
      </w:r>
      <w:r w:rsidRPr="00087F9B">
        <w:rPr>
          <w:color w:val="000000"/>
        </w:rPr>
        <w:t>: Departing seat capacity must be deflated by empirical BTS DB1B connecting ratios (</w:t>
      </w:r>
      <m:oMath>
        <m:sSub>
          <m:sSubPr>
            <m:ctrlPr>
              <w:rPr>
                <w:rFonts w:ascii="Cambria Math" w:hAnsi="Cambria Math"/>
              </w:rPr>
            </m:ctrlPr>
          </m:sSubPr>
          <m:e>
            <m:r>
              <w:rPr>
                <w:rFonts w:ascii="Cambria Math" w:hAnsi="Cambria Math"/>
              </w:rPr>
              <m:t>ρ</m:t>
            </m:r>
          </m:e>
          <m:sub>
            <m:r>
              <m:rPr>
                <m:nor/>
              </m:rPr>
              <m:t>connect</m:t>
            </m:r>
          </m:sub>
        </m:sSub>
        <m:r>
          <w:rPr>
            <w:rFonts w:ascii="Cambria Math" w:hAnsi="Cambria Math"/>
          </w:rPr>
          <m:t>=</m:t>
        </m:r>
        <m:sSub>
          <m:sSubPr>
            <m:ctrlPr>
              <w:rPr>
                <w:rFonts w:ascii="Cambria Math" w:hAnsi="Cambria Math"/>
              </w:rPr>
            </m:ctrlPr>
          </m:sSubPr>
          <m:e>
            <m:r>
              <m:rPr>
                <m:nor/>
              </m:rPr>
              <m:t>Pax</m:t>
            </m:r>
          </m:e>
          <m:sub>
            <m:r>
              <m:rPr>
                <m:nor/>
              </m:rPr>
              <m:t>connect</m:t>
            </m:r>
          </m:sub>
        </m:sSub>
        <m:r>
          <w:rPr>
            <w:rFonts w:ascii="Cambria Math" w:hAnsi="Cambria Math"/>
          </w:rPr>
          <m:t>/</m:t>
        </m:r>
        <m:sSub>
          <m:sSubPr>
            <m:ctrlPr>
              <w:rPr>
                <w:rFonts w:ascii="Cambria Math" w:hAnsi="Cambria Math"/>
              </w:rPr>
            </m:ctrlPr>
          </m:sSubPr>
          <m:e>
            <m:r>
              <m:rPr>
                <m:nor/>
              </m:rPr>
              <m:t>Pax</m:t>
            </m:r>
          </m:e>
          <m:sub>
            <m:r>
              <m:rPr>
                <m:nor/>
              </m:rPr>
              <m:t>total</m:t>
            </m:r>
          </m:sub>
        </m:sSub>
      </m:oMath>
      <w:r w:rsidRPr="00087F9B">
        <w:rPr>
          <w:color w:val="000000"/>
        </w:rPr>
        <w:t>), preventing the 2.5-fold (+115%) throughput overprediction that occurs when airside connecting passengers at hubs such as DFW, DTW, and ORD are erroneously assumed to enter landside checkpoints.</w:t>
      </w:r>
    </w:p>
    <w:p w14:paraId="17D0EBD9" w14:textId="77777777" w:rsidR="005D6869" w:rsidRPr="00087F9B" w:rsidRDefault="005D6869" w:rsidP="00087F9B">
      <w:pPr>
        <w:pStyle w:val="code-line"/>
        <w:numPr>
          <w:ilvl w:val="0"/>
          <w:numId w:val="16"/>
        </w:numPr>
        <w:spacing w:before="0" w:beforeAutospacing="0" w:after="0" w:afterAutospacing="0" w:line="480" w:lineRule="auto"/>
        <w:contextualSpacing/>
        <w:rPr>
          <w:color w:val="000000"/>
        </w:rPr>
      </w:pPr>
      <w:r w:rsidRPr="00087F9B">
        <w:rPr>
          <w:rStyle w:val="Strong"/>
          <w:color w:val="000000"/>
        </w:rPr>
        <w:t>Strict Prior-Hour Information Availability</w:t>
      </w:r>
      <w:r w:rsidRPr="00087F9B">
        <w:rPr>
          <w:color w:val="000000"/>
        </w:rPr>
        <w:t>: Models must enforce strict information barriers by using prior-hour operational indicators (lag </w:t>
      </w:r>
      <m:oMath>
        <m:r>
          <w:rPr>
            <w:rFonts w:ascii="Cambria Math" w:hAnsi="Cambria Math"/>
          </w:rPr>
          <m:t>t-1</m:t>
        </m:r>
      </m:oMath>
      <w:r w:rsidRPr="00087F9B">
        <w:rPr>
          <w:color w:val="000000"/>
        </w:rPr>
        <w:t xml:space="preserve">) and tactical cancellations </w:t>
      </w:r>
      <w:r w:rsidRPr="00087F9B">
        <w:rPr>
          <w:color w:val="000000"/>
        </w:rPr>
        <w:lastRenderedPageBreak/>
        <w:t>rather than concurrent departure delays, avoiding lookahead bias since flight delays are unconfirmed until pushback occurs.</w:t>
      </w:r>
    </w:p>
    <w:p w14:paraId="44F4B4FB" w14:textId="4B3246CB" w:rsidR="005D6869" w:rsidRPr="00087F9B" w:rsidRDefault="005D6869" w:rsidP="00087F9B">
      <w:pPr>
        <w:pStyle w:val="code-line"/>
        <w:numPr>
          <w:ilvl w:val="0"/>
          <w:numId w:val="16"/>
        </w:numPr>
        <w:spacing w:before="0" w:beforeAutospacing="0" w:after="0" w:afterAutospacing="0" w:line="480" w:lineRule="auto"/>
        <w:contextualSpacing/>
        <w:rPr>
          <w:color w:val="000000"/>
        </w:rPr>
      </w:pPr>
      <w:r w:rsidRPr="00087F9B">
        <w:rPr>
          <w:rStyle w:val="Strong"/>
          <w:color w:val="000000"/>
        </w:rPr>
        <w:t>Zero-Bounded and Hurdle Formulations</w:t>
      </w:r>
      <w:r w:rsidRPr="00087F9B">
        <w:rPr>
          <w:color w:val="000000"/>
        </w:rPr>
        <w:t>: Airport screening complexes exhibit structural zeros during overnight curfew hours (00:00–03:00) and heavy right-skewed arrival surges during daytime departure banks. Standard linear regression assumes normally distributed continuous errors, which can predict physically impossible negative passengers or fail on zero counts. Predictive formulations must incorporate zero-bounded statistical structures</w:t>
      </w:r>
      <w:r w:rsidR="00293890" w:rsidRPr="00087F9B">
        <w:rPr>
          <w:color w:val="000000"/>
        </w:rPr>
        <w:t xml:space="preserve"> – </w:t>
      </w:r>
      <w:r w:rsidRPr="00087F9B">
        <w:rPr>
          <w:color w:val="000000"/>
        </w:rPr>
        <w:t>such as Tweedie compound Poisson generalized linear models (</w:t>
      </w:r>
      <m:oMath>
        <m:r>
          <w:rPr>
            <w:rFonts w:ascii="Cambria Math" w:hAnsi="Cambria Math"/>
          </w:rPr>
          <m:t>p=1.3</m:t>
        </m:r>
      </m:oMath>
      <w:r w:rsidRPr="00087F9B">
        <w:rPr>
          <w:color w:val="000000"/>
        </w:rPr>
        <w:t>) or two-stage hurdle structures (a logistic model predicting whether the checkpoint is active, followed by a positive count model predicting passenger volume)</w:t>
      </w:r>
      <w:r w:rsidR="00293890" w:rsidRPr="00087F9B">
        <w:rPr>
          <w:color w:val="000000"/>
        </w:rPr>
        <w:t xml:space="preserve"> – </w:t>
      </w:r>
      <w:r w:rsidRPr="00087F9B">
        <w:rPr>
          <w:color w:val="000000"/>
        </w:rPr>
        <w:t>to accommodate positive throughput skewness and structural zeros without generating negative volume forecasts.</w:t>
      </w:r>
    </w:p>
    <w:p w14:paraId="171603F7" w14:textId="77777777" w:rsidR="00FE22FF" w:rsidRPr="00087F9B" w:rsidRDefault="00FE22FF" w:rsidP="00087F9B">
      <w:pPr>
        <w:pStyle w:val="Heading2"/>
      </w:pPr>
      <w:r w:rsidRPr="00087F9B">
        <w:t>Model Development and Execution</w:t>
      </w:r>
    </w:p>
    <w:p w14:paraId="42A2E97B" w14:textId="77777777" w:rsidR="00FE22FF" w:rsidRPr="00087F9B" w:rsidRDefault="00FE22FF" w:rsidP="00087F9B">
      <w:pPr>
        <w:pStyle w:val="Heading3"/>
      </w:pPr>
      <w:r w:rsidRPr="00087F9B">
        <w:t>Feature Engineering</w:t>
      </w:r>
    </w:p>
    <w:p w14:paraId="7EE3E9D9" w14:textId="21875C23" w:rsidR="00FE22FF" w:rsidRPr="00087F9B" w:rsidRDefault="00F10A9D" w:rsidP="00087F9B">
      <w:pPr>
        <w:ind w:firstLine="720"/>
        <w:contextualSpacing/>
      </w:pPr>
      <w:r w:rsidRPr="00087F9B">
        <w:t>A foundational premise of airport passenger flow modeling is that passengers arrive at screening checkpoints well in advance of flight departure times. Testing lead-lag transfer dynamics between scheduled flight departure times and checkpoint throughput reveals severe temporal asynchrony. Table 4.9 summarizes the empirical lead-lag correlation across key pre-departure horizons.</w:t>
      </w:r>
    </w:p>
    <w:p w14:paraId="088F25B1" w14:textId="77777777" w:rsidR="00FE22FF" w:rsidRPr="00087F9B" w:rsidRDefault="00FE22FF" w:rsidP="00087F9B">
      <w:pPr>
        <w:contextualSpacing/>
        <w:rPr>
          <w:i/>
          <w:iCs/>
        </w:rPr>
      </w:pPr>
      <w:r w:rsidRPr="00087F9B">
        <w:rPr>
          <w:b/>
          <w:bCs/>
        </w:rPr>
        <w:t>Table 4.9</w:t>
      </w:r>
      <w:r w:rsidRPr="00087F9B">
        <w:br/>
      </w:r>
      <w:r w:rsidRPr="00087F9B">
        <w:rPr>
          <w:i/>
          <w:iCs/>
        </w:rPr>
        <w:t>Empirical Lead-Lag Transfer Dynamics (Scheduled Flights Versus Checkpoint Demand)</w:t>
      </w:r>
    </w:p>
    <w:p w14:paraId="76A5B484" w14:textId="5F254E29" w:rsidR="00FE22FF" w:rsidRPr="00087F9B" w:rsidRDefault="00E8230F" w:rsidP="00087F9B">
      <w:pPr>
        <w:contextualSpacing/>
      </w:pPr>
      <w:r>
        <w:rPr>
          <w:noProof/>
          <w14:ligatures w14:val="standardContextual"/>
        </w:rPr>
        <w:lastRenderedPageBreak/>
        <w:drawing>
          <wp:inline distT="0" distB="0" distL="0" distR="0" wp14:anchorId="156703CD" wp14:editId="66932F2B">
            <wp:extent cx="6375304" cy="1794076"/>
            <wp:effectExtent l="0" t="0" r="635" b="0"/>
            <wp:docPr id="20436173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17366" name="Picture 2043617366"/>
                    <pic:cNvPicPr/>
                  </pic:nvPicPr>
                  <pic:blipFill>
                    <a:blip r:embed="rId15">
                      <a:extLst>
                        <a:ext uri="{28A0092B-C50C-407E-A947-70E740481C1C}">
                          <a14:useLocalDpi xmlns:a14="http://schemas.microsoft.com/office/drawing/2010/main" val="0"/>
                        </a:ext>
                      </a:extLst>
                    </a:blip>
                    <a:stretch>
                      <a:fillRect/>
                    </a:stretch>
                  </pic:blipFill>
                  <pic:spPr>
                    <a:xfrm>
                      <a:off x="0" y="0"/>
                      <a:ext cx="6385347" cy="1796902"/>
                    </a:xfrm>
                    <a:prstGeom prst="rect">
                      <a:avLst/>
                    </a:prstGeom>
                  </pic:spPr>
                </pic:pic>
              </a:graphicData>
            </a:graphic>
          </wp:inline>
        </w:drawing>
      </w:r>
    </w:p>
    <w:p w14:paraId="4385A24B" w14:textId="77777777" w:rsidR="00313C25" w:rsidRPr="00087F9B" w:rsidRDefault="00313C25" w:rsidP="00087F9B">
      <w:pPr>
        <w:ind w:firstLine="720"/>
        <w:contextualSpacing/>
      </w:pPr>
      <w:r w:rsidRPr="00087F9B">
        <w:t>Unshifted scheduled flights in the same departure hour explain less than 12% of checkpoint throughput variance (r = 0.3403, R² = 11.58%). Explanatory power peaks across the Lead t+1 and Lead t+2 horizons (R² ≈ 24%), corresponding directly to the 90–120 minute modal passenger show-up window established in airport terminal planning guidelines (Airport Cooperative Research Program [ACRP] Report 40; Transportation Research Board, 2010). Convolving scheduled departing seats across a three-hour empirical passenger show-up curve (weights w_1 = 0.35, w_2 = 0.50, and w_3 = 0.15) elevates explained variance to 48.78% (r = 0.6985), and weighting by route load factors further increases explanatory power to 49.85% (r = 0.7061). After scaling by booked load factors and deflating airside connecting passengers who never enter landside security, this transformation converts published flight timetables into an accurate baseline forecast of checkpoint queuing demand. See Appendix F for the complete regression specification and slope parameters across all lead-lag horizons.</w:t>
      </w:r>
    </w:p>
    <w:p w14:paraId="3C552D13" w14:textId="77777777" w:rsidR="00FE22FF" w:rsidRPr="00087F9B" w:rsidRDefault="00FE22FF" w:rsidP="00087F9B">
      <w:pPr>
        <w:pStyle w:val="Heading3"/>
      </w:pPr>
      <w:r w:rsidRPr="00087F9B">
        <w:t>Model Training</w:t>
      </w:r>
    </w:p>
    <w:p w14:paraId="3E685DCA" w14:textId="7A2AB600" w:rsidR="00BA2AE5" w:rsidRPr="00087F9B" w:rsidRDefault="00BA2AE5" w:rsidP="00087F9B">
      <w:pPr>
        <w:pStyle w:val="code-line"/>
        <w:spacing w:before="0" w:beforeAutospacing="0" w:after="0" w:afterAutospacing="0" w:line="480" w:lineRule="auto"/>
        <w:ind w:firstLine="360"/>
        <w:contextualSpacing/>
        <w:rPr>
          <w:color w:val="000000"/>
        </w:rPr>
      </w:pPr>
      <w:r w:rsidRPr="00087F9B">
        <w:rPr>
          <w:color w:val="000000"/>
        </w:rPr>
        <w:t>To test the thesis hypothesis, three candidate predictive models representing distinct operational paradigms were evaluated against an empirical persistence control:</w:t>
      </w:r>
    </w:p>
    <w:p w14:paraId="44E2EC1E" w14:textId="77777777" w:rsidR="00BA2AE5" w:rsidRPr="00087F9B" w:rsidRDefault="00BA2AE5" w:rsidP="00087F9B">
      <w:pPr>
        <w:pStyle w:val="code-line"/>
        <w:numPr>
          <w:ilvl w:val="0"/>
          <w:numId w:val="17"/>
        </w:numPr>
        <w:spacing w:before="0" w:beforeAutospacing="0" w:after="0" w:afterAutospacing="0" w:line="480" w:lineRule="auto"/>
        <w:contextualSpacing/>
        <w:rPr>
          <w:color w:val="000000"/>
        </w:rPr>
      </w:pPr>
      <w:r w:rsidRPr="00087F9B">
        <w:rPr>
          <w:color w:val="000000"/>
        </w:rPr>
        <w:t>Baseline Control Benchmark (Daily Persistence): Assumes today's hourly checkpoint arrival volatility repeats yesterday's observed dispersion (y_t = y_{t-24}).</w:t>
      </w:r>
    </w:p>
    <w:p w14:paraId="50891DA7" w14:textId="77777777" w:rsidR="00BA2AE5" w:rsidRPr="00087F9B" w:rsidRDefault="00BA2AE5" w:rsidP="00087F9B">
      <w:pPr>
        <w:pStyle w:val="code-line"/>
        <w:numPr>
          <w:ilvl w:val="0"/>
          <w:numId w:val="17"/>
        </w:numPr>
        <w:spacing w:before="0" w:beforeAutospacing="0" w:after="0" w:afterAutospacing="0" w:line="480" w:lineRule="auto"/>
        <w:contextualSpacing/>
        <w:rPr>
          <w:color w:val="000000"/>
        </w:rPr>
      </w:pPr>
      <w:r w:rsidRPr="00087F9B">
        <w:rPr>
          <w:color w:val="000000"/>
        </w:rPr>
        <w:lastRenderedPageBreak/>
        <w:t>Model 1 (Deterministic Flight Schedule Model): Projects passenger arrival dispersion by convolving scheduled airline flight departure banks across empirical ACRP Report 40 show-up curves (w_1 = 0.35, w_2 = 0.50, w_3 = 0.15), capturing schedule geometry without requiring machine learning or live delay telemetry.</w:t>
      </w:r>
    </w:p>
    <w:p w14:paraId="374378F1" w14:textId="77777777" w:rsidR="00BA2AE5" w:rsidRPr="00087F9B" w:rsidRDefault="00BA2AE5" w:rsidP="00087F9B">
      <w:pPr>
        <w:pStyle w:val="code-line"/>
        <w:numPr>
          <w:ilvl w:val="0"/>
          <w:numId w:val="17"/>
        </w:numPr>
        <w:spacing w:before="0" w:beforeAutospacing="0" w:after="0" w:afterAutospacing="0" w:line="480" w:lineRule="auto"/>
        <w:contextualSpacing/>
        <w:rPr>
          <w:color w:val="000000"/>
        </w:rPr>
      </w:pPr>
      <w:r w:rsidRPr="00087F9B">
        <w:rPr>
          <w:color w:val="000000"/>
        </w:rPr>
        <w:t>Model 2 (Supervised Machine Learning Model): Uses an automated Gradient-Boosted Decision Tree architecture trained across convolved schedule features and 24 Bureau of Transportation Statistics On-Time Performance operational attributes (cancellations, prior-hour delays, and taxi queues).</w:t>
      </w:r>
    </w:p>
    <w:p w14:paraId="32839742" w14:textId="77777777" w:rsidR="00BA2AE5" w:rsidRPr="00087F9B" w:rsidRDefault="00BA2AE5" w:rsidP="00087F9B">
      <w:pPr>
        <w:pStyle w:val="code-line"/>
        <w:numPr>
          <w:ilvl w:val="0"/>
          <w:numId w:val="17"/>
        </w:numPr>
        <w:spacing w:before="0" w:beforeAutospacing="0" w:after="0" w:afterAutospacing="0" w:line="480" w:lineRule="auto"/>
        <w:contextualSpacing/>
        <w:rPr>
          <w:color w:val="000000"/>
        </w:rPr>
      </w:pPr>
      <w:r w:rsidRPr="00087F9B">
        <w:rPr>
          <w:color w:val="000000"/>
        </w:rPr>
        <w:t>Model 3 (Dynamic Two-Stage Hybrid Model): Couples scheduled flight cycles with live prior-hour recursive error correction (alpha = 0.35) from actual screening counts to sense passenger accumulation during flight delays.</w:t>
      </w:r>
    </w:p>
    <w:p w14:paraId="220C802C" w14:textId="60886F53" w:rsidR="00553B49" w:rsidRDefault="00BA130E" w:rsidP="00087F9B">
      <w:pPr>
        <w:pStyle w:val="code-line"/>
        <w:spacing w:before="0" w:beforeAutospacing="0" w:after="0" w:afterAutospacing="0" w:line="480" w:lineRule="auto"/>
        <w:contextualSpacing/>
        <w:rPr>
          <w:color w:val="000000"/>
        </w:rPr>
      </w:pPr>
      <w:r w:rsidRPr="00087F9B">
        <w:rPr>
          <w:color w:val="000000"/>
        </w:rPr>
        <w:t>Table 4.8</w:t>
      </w:r>
    </w:p>
    <w:p w14:paraId="3BD6D158" w14:textId="50F12556" w:rsidR="00885C18" w:rsidRDefault="00885C18" w:rsidP="00087F9B">
      <w:pPr>
        <w:pStyle w:val="code-line"/>
        <w:spacing w:before="0" w:beforeAutospacing="0" w:after="0" w:afterAutospacing="0" w:line="480" w:lineRule="auto"/>
        <w:contextualSpacing/>
        <w:rPr>
          <w:color w:val="000000"/>
        </w:rPr>
      </w:pPr>
      <w:r>
        <w:rPr>
          <w:color w:val="000000"/>
        </w:rPr>
        <w:t>Model Development Dataset Partitions and Calibration Scale</w:t>
      </w:r>
    </w:p>
    <w:p w14:paraId="7618ED8E" w14:textId="7EB7F003" w:rsidR="00885C18" w:rsidRPr="00087F9B" w:rsidRDefault="00885C18" w:rsidP="00087F9B">
      <w:pPr>
        <w:pStyle w:val="code-line"/>
        <w:spacing w:before="0" w:beforeAutospacing="0" w:after="0" w:afterAutospacing="0" w:line="480" w:lineRule="auto"/>
        <w:contextualSpacing/>
        <w:rPr>
          <w:color w:val="000000"/>
        </w:rPr>
      </w:pPr>
      <w:r>
        <w:rPr>
          <w:noProof/>
          <w:color w:val="000000"/>
          <w14:ligatures w14:val="standardContextual"/>
        </w:rPr>
        <w:drawing>
          <wp:inline distT="0" distB="0" distL="0" distR="0" wp14:anchorId="717FA3F7" wp14:editId="6509C823">
            <wp:extent cx="5943600" cy="2103120"/>
            <wp:effectExtent l="0" t="0" r="0" b="5080"/>
            <wp:docPr id="3945999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99943" name="Picture 394599943"/>
                    <pic:cNvPicPr/>
                  </pic:nvPicPr>
                  <pic:blipFill>
                    <a:blip r:embed="rId16">
                      <a:extLst>
                        <a:ext uri="{28A0092B-C50C-407E-A947-70E740481C1C}">
                          <a14:useLocalDpi xmlns:a14="http://schemas.microsoft.com/office/drawing/2010/main" val="0"/>
                        </a:ext>
                      </a:extLst>
                    </a:blip>
                    <a:stretch>
                      <a:fillRect/>
                    </a:stretch>
                  </pic:blipFill>
                  <pic:spPr>
                    <a:xfrm>
                      <a:off x="0" y="0"/>
                      <a:ext cx="5943600" cy="2103120"/>
                    </a:xfrm>
                    <a:prstGeom prst="rect">
                      <a:avLst/>
                    </a:prstGeom>
                  </pic:spPr>
                </pic:pic>
              </a:graphicData>
            </a:graphic>
          </wp:inline>
        </w:drawing>
      </w:r>
    </w:p>
    <w:p w14:paraId="1B5F44B3" w14:textId="40562DAE" w:rsidR="00E40D42" w:rsidRPr="00087F9B" w:rsidRDefault="00FE22FF" w:rsidP="00087F9B">
      <w:pPr>
        <w:contextualSpacing/>
        <w:rPr>
          <w:b/>
          <w:bCs/>
          <w:i/>
          <w:iCs/>
        </w:rPr>
      </w:pPr>
      <w:r w:rsidRPr="00087F9B">
        <w:rPr>
          <w:b/>
          <w:bCs/>
          <w:i/>
          <w:iCs/>
        </w:rPr>
        <w:t>Model Testing</w:t>
      </w:r>
    </w:p>
    <w:p w14:paraId="57DD2D1D" w14:textId="595BDFAD" w:rsidR="00E43B0D" w:rsidRPr="00087F9B" w:rsidRDefault="00E40D42" w:rsidP="00087F9B">
      <w:pPr>
        <w:ind w:firstLine="360"/>
        <w:contextualSpacing/>
      </w:pPr>
      <w:r w:rsidRPr="00087F9B">
        <w:t>All candidate architectures were evaluated against the untouched 2025 Full-Year Out-of-Time Holdout Dataset</w:t>
      </w:r>
      <w:r w:rsidR="00362FD2" w:rsidRPr="00087F9B">
        <w:t>.</w:t>
      </w:r>
      <w:r w:rsidRPr="00087F9B">
        <w:t xml:space="preserve"> </w:t>
      </w:r>
      <w:r w:rsidR="00366B90" w:rsidRPr="00366B90">
        <w:t xml:space="preserve">An out-of-time holdout dataset is a strictly quarantined block of future operational data that was completely withheld during model training, feature engineering, and </w:t>
      </w:r>
      <w:r w:rsidR="00366B90" w:rsidRPr="00366B90">
        <w:lastRenderedPageBreak/>
        <w:t>hyperparameter tuning. Unlike random train/test splits (which shuffle past and future days together and leak temporal autocorrelation), an out-of-time holdout strictly evaluates prospective, forward-looking forecasting accuracy in real-world deployment.</w:t>
      </w:r>
    </w:p>
    <w:p w14:paraId="5B18A333" w14:textId="77777777" w:rsidR="00E43B0D" w:rsidRPr="00087F9B" w:rsidRDefault="00E43B0D" w:rsidP="00087F9B">
      <w:pPr>
        <w:pStyle w:val="code-line"/>
        <w:spacing w:before="0" w:beforeAutospacing="0" w:after="0" w:afterAutospacing="0" w:line="480" w:lineRule="auto"/>
        <w:ind w:firstLine="360"/>
        <w:contextualSpacing/>
        <w:rPr>
          <w:color w:val="000000"/>
        </w:rPr>
      </w:pPr>
      <w:r w:rsidRPr="00087F9B">
        <w:rPr>
          <w:color w:val="000000"/>
        </w:rPr>
        <w:t>Forecast performance was evaluated against the primary thesis target of </w:t>
      </w:r>
      <w:r w:rsidRPr="00087F9B">
        <w:rPr>
          <w:rStyle w:val="Strong"/>
          <w:color w:val="000000"/>
        </w:rPr>
        <w:t>diurnal throughput volatility</w:t>
      </w:r>
      <w:r w:rsidRPr="00087F9B">
        <w:rPr>
          <w:color w:val="000000"/>
        </w:rPr>
        <w:t> (</w:t>
      </w:r>
      <m:oMath>
        <m:sSub>
          <m:sSubPr>
            <m:ctrlPr>
              <w:rPr>
                <w:rFonts w:ascii="Cambria Math" w:hAnsi="Cambria Math"/>
              </w:rPr>
            </m:ctrlPr>
          </m:sSubPr>
          <m:e>
            <m:r>
              <w:rPr>
                <w:rFonts w:ascii="Cambria Math" w:hAnsi="Cambria Math"/>
              </w:rPr>
              <m:t>σ</m:t>
            </m:r>
          </m:e>
          <m:sub>
            <m:r>
              <m:rPr>
                <m:nor/>
              </m:rPr>
              <m:t>TSA, hr</m:t>
            </m:r>
          </m:sub>
        </m:sSub>
      </m:oMath>
      <w:r w:rsidRPr="00087F9B">
        <w:rPr>
          <w:color w:val="000000"/>
        </w:rPr>
        <w:t>, defined as the hour-to-hour passenger arrival dispersion across the 24 hours of each day, measured in pax/hr standard deviation) alongside scale-free relative volatility (</w:t>
      </w:r>
      <m:oMath>
        <m:r>
          <w:rPr>
            <w:rFonts w:ascii="Cambria Math" w:hAnsi="Cambria Math"/>
          </w:rPr>
          <m:t>C</m:t>
        </m:r>
        <m:sSub>
          <m:sSubPr>
            <m:ctrlPr>
              <w:rPr>
                <w:rFonts w:ascii="Cambria Math" w:hAnsi="Cambria Math"/>
              </w:rPr>
            </m:ctrlPr>
          </m:sSubPr>
          <m:e>
            <m:r>
              <w:rPr>
                <w:rFonts w:ascii="Cambria Math" w:hAnsi="Cambria Math"/>
              </w:rPr>
              <m:t>V</m:t>
            </m:r>
          </m:e>
          <m:sub>
            <m:r>
              <m:rPr>
                <m:nor/>
              </m:rPr>
              <m:t>TSA, hr</m:t>
            </m:r>
          </m:sub>
        </m:sSub>
        <m:r>
          <w:rPr>
            <w:rFonts w:ascii="Cambria Math" w:hAnsi="Cambria Math"/>
          </w:rPr>
          <m:t>=σ/μ</m:t>
        </m:r>
      </m:oMath>
      <w:r w:rsidRPr="00087F9B">
        <w:rPr>
          <w:color w:val="000000"/>
        </w:rPr>
        <w:t>). Models were benchmarked across standard operational performance criteria: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087F9B">
        <w:rPr>
          <w:color w:val="000000"/>
        </w:rPr>
        <w:t>), Root Mean Squared Error (RMSE; pax/hr), Mean Absolute Error (MAE; pax/hr), Mean Absolute Scaled Error (MASE; relative to daily persistence), and Mean Forecast Bias</w:t>
      </w:r>
      <w:r w:rsidRPr="00087F9B">
        <w:rPr>
          <w:color w:val="000000"/>
          <w:highlight w:val="yellow"/>
        </w:rPr>
        <w:t>. Please see Appendix G for details</w:t>
      </w:r>
      <w:r w:rsidRPr="00087F9B">
        <w:rPr>
          <w:color w:val="000000"/>
        </w:rPr>
        <w:t xml:space="preserve"> on how to interpret these standard operational performance criteria.</w:t>
      </w:r>
    </w:p>
    <w:p w14:paraId="37F59F8F" w14:textId="6EF833BC" w:rsidR="00FE22FF" w:rsidRPr="00087F9B" w:rsidRDefault="00FE22FF" w:rsidP="00087F9B">
      <w:pPr>
        <w:pStyle w:val="Heading3"/>
      </w:pPr>
      <w:r w:rsidRPr="00087F9B">
        <w:t>Implications for Final Result</w:t>
      </w:r>
      <w:r w:rsidR="00DE4F0D" w:rsidRPr="00087F9B">
        <w:t xml:space="preserve"> Interpretation</w:t>
      </w:r>
    </w:p>
    <w:p w14:paraId="64F6F6EE" w14:textId="77777777" w:rsidR="00FE22FF" w:rsidRPr="00087F9B" w:rsidRDefault="00FE22FF" w:rsidP="00087F9B">
      <w:pPr>
        <w:ind w:firstLine="360"/>
        <w:contextualSpacing/>
      </w:pPr>
      <w:r w:rsidRPr="00087F9B">
        <w:t>When interpreting model evaluation metrics, several operational realities must be considered:</w:t>
      </w:r>
    </w:p>
    <w:p w14:paraId="716BFB53" w14:textId="77777777" w:rsidR="00FE22FF" w:rsidRPr="00087F9B" w:rsidRDefault="00FE22FF" w:rsidP="00087F9B">
      <w:pPr>
        <w:ind w:firstLine="360"/>
        <w:contextualSpacing/>
      </w:pPr>
      <w:r w:rsidRPr="00087F9B">
        <w:rPr>
          <w:b/>
          <w:bCs/>
        </w:rPr>
        <w:t>Dispersion Scale vs. Volume Scale</w:t>
      </w:r>
      <w:r w:rsidRPr="00087F9B">
        <w:t>. Unlike mean hourly throughput volume (which averages ~1,750 pax/hr across dedicated complexes), diurnal throughput standard deviation (</w:t>
      </w:r>
      <m:oMath>
        <m:sSub>
          <m:sSubPr>
            <m:ctrlPr>
              <w:rPr>
                <w:rFonts w:ascii="Cambria Math" w:hAnsi="Cambria Math"/>
              </w:rPr>
            </m:ctrlPr>
          </m:sSubPr>
          <m:e>
            <m:r>
              <w:rPr>
                <w:rFonts w:ascii="Cambria Math" w:hAnsi="Cambria Math"/>
              </w:rPr>
              <m:t>σ</m:t>
            </m:r>
          </m:e>
          <m:sub>
            <m:r>
              <m:rPr>
                <m:nor/>
              </m:rPr>
              <m:t>TSA, hr</m:t>
            </m:r>
          </m:sub>
        </m:sSub>
      </m:oMath>
      <w:r w:rsidRPr="00087F9B">
        <w:t>) averages 540 to 880 passengers per hour across hub complexes. An RMSE of ~220 pax/hr represents an exceptionally close fit to intraday arrival swings.</w:t>
      </w:r>
    </w:p>
    <w:p w14:paraId="56958A73" w14:textId="77777777" w:rsidR="00FE22FF" w:rsidRPr="00087F9B" w:rsidRDefault="00FE22FF" w:rsidP="00087F9B">
      <w:pPr>
        <w:ind w:firstLine="360"/>
        <w:contextualSpacing/>
      </w:pPr>
      <w:r w:rsidRPr="00087F9B">
        <w:rPr>
          <w:b/>
          <w:bCs/>
        </w:rPr>
        <w:t>MASE as the Primary Standard for Volatility Forecasting</w:t>
      </w:r>
      <w:r w:rsidRPr="00087F9B">
        <w:t>. MASE normalizes errors against daily persistence (</w:t>
      </w:r>
      <m:oMath>
        <m:sSub>
          <m:sSubPr>
            <m:ctrlPr>
              <w:rPr>
                <w:rFonts w:ascii="Cambria Math" w:hAnsi="Cambria Math"/>
              </w:rPr>
            </m:ctrlPr>
          </m:sSubPr>
          <m:e>
            <m:r>
              <m:rPr>
                <m:nor/>
              </m:rPr>
              <m:t>Vol</m:t>
            </m:r>
          </m:e>
          <m:sub>
            <m:r>
              <w:rPr>
                <w:rFonts w:ascii="Cambria Math" w:hAnsi="Cambria Math"/>
              </w:rPr>
              <m:t>t-24</m:t>
            </m:r>
          </m:sub>
        </m:sSub>
      </m:oMath>
      <w:r w:rsidRPr="00087F9B">
        <w:t>). A MASE below 0.85 indicates substantial predictive skill beyond historical patterns, while a MASE below 0.70 represents outstanding accuracy.</w:t>
      </w:r>
    </w:p>
    <w:p w14:paraId="41ED3BD0" w14:textId="24DA762D" w:rsidR="00FE22FF" w:rsidRPr="00087F9B" w:rsidRDefault="00FE22FF" w:rsidP="00087F9B">
      <w:pPr>
        <w:ind w:firstLine="360"/>
        <w:contextualSpacing/>
      </w:pPr>
      <w:r w:rsidRPr="00087F9B">
        <w:rPr>
          <w:b/>
          <w:bCs/>
        </w:rPr>
        <w:t>Conformal Staffing Buffers</w:t>
      </w:r>
      <w:r w:rsidRPr="00087F9B">
        <w:t xml:space="preserve">. </w:t>
      </w:r>
      <w:r w:rsidR="00C61F14" w:rsidRPr="00087F9B">
        <w:t xml:space="preserve">Traditional airport staffing models allocate security screening lanes based solely on average expected passenger volume. However, because queuing delays increase non-linearly whenever passenger arrivals surge, staffing strictly for the average </w:t>
      </w:r>
      <w:r w:rsidR="00C61F14" w:rsidRPr="00087F9B">
        <w:lastRenderedPageBreak/>
        <w:t>guarantees severe line backlogs during peak flight departure banks. To prevent this, airport security administrators can translate predicted throughput volatility directly into a dynamic staffing safety cushion. Rather than opening lanes to match average volume, supervisors add a risk-adjusted buffer proportional to the predicted arrival volatility. This ensures checkpoints maintain sufficient lane capacity to absorb sudden passenger arrival spikes without creating unnecessary, costly over-staffing during calm periods.</w:t>
      </w:r>
    </w:p>
    <w:p w14:paraId="451C72D4" w14:textId="77777777" w:rsidR="00FE22FF" w:rsidRPr="00087F9B" w:rsidRDefault="00FE22FF" w:rsidP="00087F9B">
      <w:pPr>
        <w:pStyle w:val="Heading2"/>
      </w:pPr>
      <w:r w:rsidRPr="00087F9B">
        <w:t>Model Results and Evaluation</w:t>
      </w:r>
    </w:p>
    <w:p w14:paraId="6F6E07CE" w14:textId="77777777" w:rsidR="00FE22FF" w:rsidRPr="00087F9B" w:rsidRDefault="00FE22FF" w:rsidP="00087F9B">
      <w:pPr>
        <w:pStyle w:val="Heading3"/>
      </w:pPr>
      <w:r w:rsidRPr="00087F9B">
        <w:t>Results</w:t>
      </w:r>
    </w:p>
    <w:p w14:paraId="6B2E4D0A" w14:textId="737F4C04" w:rsidR="00FE22FF" w:rsidRPr="00087F9B" w:rsidRDefault="00FE22FF" w:rsidP="00087F9B">
      <w:pPr>
        <w:ind w:firstLine="720"/>
        <w:contextualSpacing/>
      </w:pPr>
      <w:r w:rsidRPr="00087F9B">
        <w:t>Table 4.10 reports the out-of-time evaluation benchmark matrix across the candidate model architectures on the 2025 holdout dataset</w:t>
      </w:r>
      <w:r w:rsidR="00CC77D9" w:rsidRPr="00087F9B">
        <w:t>.</w:t>
      </w:r>
    </w:p>
    <w:p w14:paraId="6A4E655A" w14:textId="77777777" w:rsidR="00FE22FF" w:rsidRPr="00087F9B" w:rsidRDefault="00FE22FF" w:rsidP="00087F9B">
      <w:pPr>
        <w:contextualSpacing/>
        <w:rPr>
          <w:i/>
          <w:iCs/>
        </w:rPr>
      </w:pPr>
      <w:r w:rsidRPr="00087F9B">
        <w:rPr>
          <w:b/>
          <w:bCs/>
        </w:rPr>
        <w:t>Table 4.10</w:t>
      </w:r>
      <w:r w:rsidRPr="00087F9B">
        <w:br/>
      </w:r>
      <w:r w:rsidRPr="00087F9B">
        <w:rPr>
          <w:i/>
          <w:iCs/>
        </w:rPr>
        <w:t>Master Model Benchmark Matrix for TSA Throughput Volatility (2025 Full-Year Holdout)</w:t>
      </w:r>
    </w:p>
    <w:p w14:paraId="5C931D1D" w14:textId="77777777" w:rsidR="00FE22FF" w:rsidRPr="00087F9B" w:rsidRDefault="00FE22FF" w:rsidP="00087F9B">
      <w:pPr>
        <w:contextualSpacing/>
        <w:jc w:val="center"/>
      </w:pPr>
      <w:r w:rsidRPr="00087F9B">
        <w:rPr>
          <w:noProof/>
        </w:rPr>
        <w:drawing>
          <wp:inline distT="0" distB="0" distL="0" distR="0" wp14:anchorId="596C9CD3" wp14:editId="36C93294">
            <wp:extent cx="6247342" cy="1094745"/>
            <wp:effectExtent l="0" t="0" r="1270" b="0"/>
            <wp:docPr id="123799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90203" name=""/>
                    <pic:cNvPicPr/>
                  </pic:nvPicPr>
                  <pic:blipFill>
                    <a:blip r:embed="rId17"/>
                    <a:stretch>
                      <a:fillRect/>
                    </a:stretch>
                  </pic:blipFill>
                  <pic:spPr>
                    <a:xfrm>
                      <a:off x="0" y="0"/>
                      <a:ext cx="6337820" cy="1110600"/>
                    </a:xfrm>
                    <a:prstGeom prst="rect">
                      <a:avLst/>
                    </a:prstGeom>
                  </pic:spPr>
                </pic:pic>
              </a:graphicData>
            </a:graphic>
          </wp:inline>
        </w:drawing>
      </w:r>
    </w:p>
    <w:p w14:paraId="12D0BF33" w14:textId="77777777" w:rsidR="00FE22FF" w:rsidRPr="00087F9B" w:rsidRDefault="00FE22FF" w:rsidP="00087F9B">
      <w:pPr>
        <w:pStyle w:val="Heading3"/>
      </w:pPr>
      <w:bookmarkStart w:id="17" w:name="_Toc242174153"/>
      <w:bookmarkStart w:id="18" w:name="_Toc242174805"/>
      <w:r w:rsidRPr="00087F9B">
        <w:t>General Model Performance Across the 9-Airport Cohort</w:t>
      </w:r>
      <w:bookmarkEnd w:id="17"/>
      <w:bookmarkEnd w:id="18"/>
    </w:p>
    <w:p w14:paraId="6D43BCF3" w14:textId="77777777" w:rsidR="00FE22FF" w:rsidRPr="00087F9B" w:rsidRDefault="00FE22FF" w:rsidP="00087F9B">
      <w:pPr>
        <w:ind w:firstLine="360"/>
        <w:contextualSpacing/>
      </w:pPr>
      <w:r w:rsidRPr="00087F9B">
        <w:t>The empirical results reveal clear performance separations across the modeling paradigms:</w:t>
      </w:r>
    </w:p>
    <w:p w14:paraId="5AB4A3AC" w14:textId="727ADBCE" w:rsidR="00FE22FF" w:rsidRPr="00087F9B" w:rsidRDefault="00FE22FF" w:rsidP="00087F9B">
      <w:pPr>
        <w:ind w:firstLine="360"/>
        <w:contextualSpacing/>
      </w:pPr>
      <w:r w:rsidRPr="00087F9B">
        <w:rPr>
          <w:b/>
          <w:bCs/>
        </w:rPr>
        <w:t>The Deterministic Schedule Baseline (Model 1)</w:t>
      </w:r>
      <w:r w:rsidRPr="00087F9B">
        <w:t xml:space="preserve">. </w:t>
      </w:r>
      <w:r w:rsidR="00AA726E" w:rsidRPr="00087F9B">
        <w:t xml:space="preserve">Relying solely on published flight schedules, Model 1 achieved </w:t>
      </w:r>
      <m:oMath>
        <m:r>
          <m:rPr>
            <m:nor/>
          </m:rPr>
          <m:t>Test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=0.4980</m:t>
        </m:r>
      </m:oMath>
      <w:r w:rsidR="00AA726E" w:rsidRPr="00087F9B">
        <w:t>(</w:t>
      </w:r>
      <m:oMath>
        <m:r>
          <m:rPr>
            <m:nor/>
          </m:rPr>
          <m:t>RMSE</m:t>
        </m:r>
        <m:r>
          <w:rPr>
            <w:rFonts w:ascii="Cambria Math" w:hAnsi="Cambria Math"/>
          </w:rPr>
          <m:t>=313.4</m:t>
        </m:r>
      </m:oMath>
      <w:r w:rsidR="00AA726E" w:rsidRPr="00087F9B">
        <w:t xml:space="preserve"> pax/hr, </w:t>
      </w:r>
      <m:oMath>
        <m:r>
          <m:rPr>
            <m:nor/>
          </m:rPr>
          <m:t>MASE</m:t>
        </m:r>
        <m:r>
          <w:rPr>
            <w:rFonts w:ascii="Cambria Math" w:hAnsi="Cambria Math"/>
          </w:rPr>
          <m:t>=0.945</m:t>
        </m:r>
      </m:oMath>
      <w:r w:rsidR="00AA726E" w:rsidRPr="00087F9B">
        <w:t>). This outperforms daily persistence by 5.5% (</w:t>
      </w:r>
      <m:oMath>
        <m:r>
          <m:rPr>
            <m:nor/>
          </m:rPr>
          <m:t>MASE</m:t>
        </m:r>
        <m:r>
          <w:rPr>
            <w:rFonts w:ascii="Cambria Math" w:hAnsi="Cambria Math"/>
          </w:rPr>
          <m:t>&lt;1.000</m:t>
        </m:r>
      </m:oMath>
      <w:r w:rsidR="00AA726E" w:rsidRPr="00087F9B">
        <w:t>), demonstrating that schedule geometry alone captures approximately half of total checkpoint arrival variance without requiring machine learning infrastructure</w:t>
      </w:r>
      <w:r w:rsidR="00C61F14" w:rsidRPr="00087F9B">
        <w:t xml:space="preserve">. However, because Model 1 is completely blind to live flight delays, it </w:t>
      </w:r>
      <w:r w:rsidR="00C61F14" w:rsidRPr="00087F9B">
        <w:lastRenderedPageBreak/>
        <w:t>consistently under-predicts passenger crowds when delays push travelers into later hours, resulting in a substantial negative forecast bias of -42.1 passengers per hour.</w:t>
      </w:r>
    </w:p>
    <w:p w14:paraId="5EF7DED1" w14:textId="3931E246" w:rsidR="00FE22FF" w:rsidRPr="00087F9B" w:rsidRDefault="00DE4F0D" w:rsidP="00087F9B">
      <w:pPr>
        <w:ind w:firstLine="360"/>
        <w:contextualSpacing/>
      </w:pPr>
      <w:r w:rsidRPr="00087F9B">
        <w:rPr>
          <w:b/>
          <w:bCs/>
        </w:rPr>
        <w:t>Supervised Machine Learning (</w:t>
      </w:r>
      <w:r w:rsidR="00FE22FF" w:rsidRPr="00087F9B">
        <w:rPr>
          <w:b/>
          <w:bCs/>
        </w:rPr>
        <w:t>Model 2)</w:t>
      </w:r>
      <w:r w:rsidR="00FE22FF" w:rsidRPr="00087F9B">
        <w:t xml:space="preserve">. </w:t>
      </w:r>
      <w:r w:rsidR="000C744B" w:rsidRPr="00087F9B">
        <w:t xml:space="preserve">Adding operational flight delays and cancellations elevated explained variance to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=0.6178</m:t>
        </m:r>
      </m:oMath>
      <w:r w:rsidR="000C744B" w:rsidRPr="00087F9B">
        <w:t>(</w:t>
      </w:r>
      <m:oMath>
        <m:r>
          <m:rPr>
            <m:nor/>
          </m:rPr>
          <m:t>RMSE</m:t>
        </m:r>
        <m:r>
          <w:rPr>
            <w:rFonts w:ascii="Cambria Math" w:hAnsi="Cambria Math"/>
          </w:rPr>
          <m:t>=273.5</m:t>
        </m:r>
      </m:oMath>
      <w:r w:rsidR="000C744B" w:rsidRPr="00087F9B">
        <w:t xml:space="preserve"> pax/hr, </w:t>
      </w:r>
      <m:oMath>
        <m:r>
          <m:rPr>
            <m:nor/>
          </m:rPr>
          <m:t>MASE</m:t>
        </m:r>
        <m:r>
          <w:rPr>
            <w:rFonts w:ascii="Cambria Math" w:hAnsi="Cambria Math"/>
          </w:rPr>
          <m:t>=0.779</m:t>
        </m:r>
      </m:oMath>
      <w:r w:rsidR="000C744B" w:rsidRPr="00087F9B">
        <w:t>). Diebold-Mariano tests confirm that Model 2's error reduction over the deterministic schedule baseline is statistically decisive (</w:t>
      </w:r>
      <m:oMath>
        <m:r>
          <w:rPr>
            <w:rFonts w:ascii="Cambria Math" w:hAnsi="Cambria Math"/>
          </w:rPr>
          <m:t>DM=42.15,p&lt;0.0001</m:t>
        </m:r>
      </m:oMath>
      <w:r w:rsidR="000C744B" w:rsidRPr="00087F9B">
        <w:t>).</w:t>
      </w:r>
      <w:r w:rsidR="00FA469F" w:rsidRPr="00087F9B">
        <w:t xml:space="preserve"> Incorporating airline flight disruptions cuts forecast error by 22.1% compared to daily persistence and cuts under-prediction bias in half (-18.4 pax/hr). Because Model 2 relies on macro-operational indicators available hours in advance rather than live sensor feeds, it is highly practical for routine daily lane scheduling.</w:t>
      </w:r>
    </w:p>
    <w:p w14:paraId="1642EA9F" w14:textId="59FFA357" w:rsidR="009576C4" w:rsidRPr="00087F9B" w:rsidRDefault="00FE22FF" w:rsidP="00087F9B">
      <w:pPr>
        <w:contextualSpacing/>
      </w:pPr>
      <w:r w:rsidRPr="00087F9B">
        <w:rPr>
          <w:b/>
          <w:bCs/>
        </w:rPr>
        <w:t>The Dynamic Two-Stage Hybrid (Model 3</w:t>
      </w:r>
      <w:r w:rsidR="000C744B" w:rsidRPr="00087F9B">
        <w:rPr>
          <w:b/>
          <w:bCs/>
        </w:rPr>
        <w:t>):</w:t>
      </w:r>
      <w:r w:rsidR="000C744B" w:rsidRPr="00087F9B">
        <w:t xml:space="preserve"> </w:t>
      </w:r>
      <w:r w:rsidR="006840E8" w:rsidRPr="00087F9B">
        <w:t>Incorporating live prior-hour error feedback from actual checkpoint screening counts yielded the highest overall holdout fit, explaining 75.88% of passenger throughput volatility variance (R² = 0.7588, RMSE = 222.1 pax/hr, MASE = 0.662, Forecast Bias = -4.2 pax/hr). In plain English, the live error feedback loop acts like an automatic safety valve. When severe weather hits and delayed travelers accumulate in terminal lobbies, the model immediately detects that actual passenger throughput exceeds schedule predictions and adjusts its forecast upward. This virtually eliminates systematic forecast bias (-4.2 pax/hr) and delivers a 33.8% error reduction over daily persistence.</w:t>
      </w:r>
    </w:p>
    <w:p w14:paraId="39D3411C" w14:textId="2855B3A7" w:rsidR="00FE22FF" w:rsidRPr="00087F9B" w:rsidRDefault="00FE22FF" w:rsidP="00087F9B">
      <w:pPr>
        <w:pStyle w:val="Heading3"/>
      </w:pPr>
      <w:r w:rsidRPr="00087F9B">
        <w:t>Model Performance and Hypothesis Testing</w:t>
      </w:r>
      <w:r w:rsidR="00FA469F" w:rsidRPr="00087F9B">
        <w:t>s</w:t>
      </w:r>
    </w:p>
    <w:p w14:paraId="09BD5F1B" w14:textId="1D55F65B" w:rsidR="00011A3A" w:rsidRPr="00087F9B" w:rsidRDefault="00011A3A" w:rsidP="00087F9B">
      <w:pPr>
        <w:pStyle w:val="code-line"/>
        <w:spacing w:before="0" w:beforeAutospacing="0" w:after="0" w:afterAutospacing="0" w:line="480" w:lineRule="auto"/>
        <w:ind w:firstLine="720"/>
        <w:contextualSpacing/>
        <w:rPr>
          <w:color w:val="000000"/>
        </w:rPr>
      </w:pPr>
      <w:bookmarkStart w:id="19" w:name="_Toc242174154"/>
      <w:bookmarkStart w:id="20" w:name="_Toc242174806"/>
      <w:r w:rsidRPr="00087F9B">
        <w:rPr>
          <w:color w:val="000000"/>
        </w:rPr>
        <w:t xml:space="preserve">The thesis hypothesis asserts that distinct modeling frameworks exhibit asymmetric performance strengths across operational robustness, resilience, and generalizability, with no single paradigm proving universally superior across all operational regimes. To test this </w:t>
      </w:r>
      <w:r w:rsidRPr="00087F9B">
        <w:rPr>
          <w:color w:val="000000"/>
        </w:rPr>
        <w:lastRenderedPageBreak/>
        <w:t>hypothesis, candidate architectures were evaluated against explicit performance targets defined across three operational dimensions:</w:t>
      </w:r>
    </w:p>
    <w:p w14:paraId="40F63BD7" w14:textId="7ED80222" w:rsidR="00011A3A" w:rsidRPr="00087F9B" w:rsidRDefault="00011A3A" w:rsidP="00087F9B">
      <w:pPr>
        <w:pStyle w:val="code-line"/>
        <w:numPr>
          <w:ilvl w:val="0"/>
          <w:numId w:val="18"/>
        </w:numPr>
        <w:spacing w:before="0" w:beforeAutospacing="0" w:after="0" w:afterAutospacing="0" w:line="480" w:lineRule="auto"/>
        <w:contextualSpacing/>
        <w:rPr>
          <w:color w:val="000000"/>
        </w:rPr>
      </w:pPr>
      <w:r w:rsidRPr="00087F9B">
        <w:rPr>
          <w:color w:val="000000"/>
        </w:rPr>
        <w:t>Robustness: Evaluates how accurately the model forecasts passenger flow during routine, normal operations when flights are on time (target: MASE &lt; 0.700, lowest RMSE).</w:t>
      </w:r>
    </w:p>
    <w:p w14:paraId="41628750" w14:textId="77777777" w:rsidR="00011A3A" w:rsidRPr="00087F9B" w:rsidRDefault="00011A3A" w:rsidP="00087F9B">
      <w:pPr>
        <w:pStyle w:val="code-line"/>
        <w:numPr>
          <w:ilvl w:val="0"/>
          <w:numId w:val="18"/>
        </w:numPr>
        <w:spacing w:before="0" w:beforeAutospacing="0" w:after="0" w:afterAutospacing="0" w:line="480" w:lineRule="auto"/>
        <w:contextualSpacing/>
        <w:rPr>
          <w:color w:val="000000"/>
        </w:rPr>
      </w:pPr>
      <w:r w:rsidRPr="00087F9B">
        <w:rPr>
          <w:color w:val="000000"/>
        </w:rPr>
        <w:t>Resilience: Evaluates how well the model maintains accuracy during severe flight disruptions, such as severe weather ground stops or de-icing halts (target: shock error ratio near 1.00, lowest shock RMSE, and recovery time under 3 hours).</w:t>
      </w:r>
    </w:p>
    <w:p w14:paraId="7BEDEA97" w14:textId="77777777" w:rsidR="00011A3A" w:rsidRPr="00087F9B" w:rsidRDefault="00011A3A" w:rsidP="00087F9B">
      <w:pPr>
        <w:pStyle w:val="code-line"/>
        <w:numPr>
          <w:ilvl w:val="0"/>
          <w:numId w:val="18"/>
        </w:numPr>
        <w:spacing w:before="0" w:beforeAutospacing="0" w:after="0" w:afterAutospacing="0" w:line="480" w:lineRule="auto"/>
        <w:contextualSpacing/>
        <w:rPr>
          <w:color w:val="000000"/>
        </w:rPr>
      </w:pPr>
      <w:r w:rsidRPr="00087F9B">
        <w:rPr>
          <w:color w:val="000000"/>
        </w:rPr>
        <w:t>Generalizability: Evaluates whether a model calibrated on source airports can be deployed to an unfamiliar target airport without retraining (target: transfer error degradation under 10%).</w:t>
      </w:r>
    </w:p>
    <w:p w14:paraId="38677BEB" w14:textId="71C5DD89" w:rsidR="005F026F" w:rsidRPr="00087F9B" w:rsidRDefault="005F026F" w:rsidP="00087F9B">
      <w:pPr>
        <w:pStyle w:val="code-line"/>
        <w:spacing w:before="0" w:beforeAutospacing="0" w:after="0" w:afterAutospacing="0" w:line="480" w:lineRule="auto"/>
        <w:contextualSpacing/>
        <w:rPr>
          <w:color w:val="000000"/>
        </w:rPr>
      </w:pPr>
      <w:r w:rsidRPr="00087F9B">
        <w:rPr>
          <w:color w:val="000000"/>
          <w:highlight w:val="yellow"/>
        </w:rPr>
        <w:t>Table 4.11 presents the formal multi-pillar hypothesis evaluation matrix with clear operational descriptions for each metric.</w:t>
      </w:r>
      <w:r w:rsidR="00456419">
        <w:rPr>
          <w:noProof/>
          <w:color w:val="000000"/>
          <w14:ligatures w14:val="standardContextual"/>
        </w:rPr>
        <w:drawing>
          <wp:inline distT="0" distB="0" distL="0" distR="0" wp14:anchorId="4ED0B420" wp14:editId="0E97A88C">
            <wp:extent cx="5943600" cy="2381250"/>
            <wp:effectExtent l="0" t="0" r="0" b="6350"/>
            <wp:docPr id="19054643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64362" name="Picture 190546436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381250"/>
                    </a:xfrm>
                    <a:prstGeom prst="rect">
                      <a:avLst/>
                    </a:prstGeom>
                  </pic:spPr>
                </pic:pic>
              </a:graphicData>
            </a:graphic>
          </wp:inline>
        </w:drawing>
      </w:r>
    </w:p>
    <w:p w14:paraId="360859FF" w14:textId="250B21D1" w:rsidR="00FE22FF" w:rsidRPr="00087F9B" w:rsidRDefault="00FE22FF" w:rsidP="00087F9B">
      <w:pPr>
        <w:pStyle w:val="Heading3"/>
      </w:pPr>
      <w:r w:rsidRPr="00087F9B">
        <w:t>Empirical Confirmation of Asymmetric Trade-Offs</w:t>
      </w:r>
      <w:bookmarkEnd w:id="19"/>
      <w:bookmarkEnd w:id="20"/>
    </w:p>
    <w:p w14:paraId="0505D77F" w14:textId="315BDE8D" w:rsidR="002B3412" w:rsidRPr="00087F9B" w:rsidRDefault="002B3412" w:rsidP="00087F9B">
      <w:pPr>
        <w:ind w:firstLine="360"/>
        <w:contextualSpacing/>
      </w:pPr>
      <w:r w:rsidRPr="00087F9B">
        <w:t xml:space="preserve">The out-of-time holdout evaluations confirm the thesis hypothesis: no single predictive modeling paradigm is universally superior across all operational regimes. Instead, airport </w:t>
      </w:r>
      <w:r w:rsidRPr="00087F9B">
        <w:lastRenderedPageBreak/>
        <w:t>security demand forecasting is governed by fundamental asymmetric trade-offs across robustness, resilience, and generalizability:</w:t>
      </w:r>
    </w:p>
    <w:p w14:paraId="79715E48" w14:textId="4B5B34CF" w:rsidR="00FE22FF" w:rsidRPr="00087F9B" w:rsidRDefault="00FE22FF" w:rsidP="00087F9B">
      <w:pPr>
        <w:ind w:firstLine="360"/>
        <w:contextualSpacing/>
      </w:pPr>
      <w:r w:rsidRPr="00087F9B">
        <w:rPr>
          <w:b/>
          <w:bCs/>
        </w:rPr>
        <w:t>Dimension 1: Robustness (Nominal &amp; Routine Conditions)</w:t>
      </w:r>
      <w:r w:rsidR="00143FCA" w:rsidRPr="00087F9B">
        <w:t xml:space="preserve">. </w:t>
      </w:r>
      <w:r w:rsidRPr="00087F9B">
        <w:t>Both the Machine Learning model (Model 2) and Dynamic Hybrid (Model 3) achieve the academic target of </w:t>
      </w:r>
      <m:oMath>
        <m:r>
          <m:rPr>
            <m:nor/>
          </m:rPr>
          <m:t>MASE</m:t>
        </m:r>
        <m:r>
          <w:rPr>
            <w:rFonts w:ascii="Cambria Math" w:hAnsi="Cambria Math"/>
          </w:rPr>
          <m:t>&lt;0.70</m:t>
        </m:r>
      </m:oMath>
      <w:r w:rsidRPr="00087F9B">
        <w:t xml:space="preserve"> under routine operations. </w:t>
      </w:r>
      <w:r w:rsidR="00682543" w:rsidRPr="00087F9B">
        <w:t>However, Model 2 achieves this with near-zero computational overhead and requires no real-time checkpoint data feeds, allowing airport managers to generate staffing schedules days in advance rather than waiting on live hourly sensor updates</w:t>
      </w:r>
      <w:r w:rsidRPr="00087F9B">
        <w:t>.</w:t>
      </w:r>
    </w:p>
    <w:p w14:paraId="0D3AD769" w14:textId="01A1D2C9" w:rsidR="00FE22FF" w:rsidRPr="00087F9B" w:rsidRDefault="00FE22FF" w:rsidP="00087F9B">
      <w:pPr>
        <w:ind w:firstLine="360"/>
        <w:contextualSpacing/>
      </w:pPr>
      <w:r w:rsidRPr="00087F9B">
        <w:rPr>
          <w:b/>
          <w:bCs/>
        </w:rPr>
        <w:t>Dimension 2: Resilience (Severe Disruption</w:t>
      </w:r>
      <w:r w:rsidR="00143FCA" w:rsidRPr="00087F9B">
        <w:rPr>
          <w:b/>
          <w:bCs/>
        </w:rPr>
        <w:t xml:space="preserve">). </w:t>
      </w:r>
      <w:r w:rsidRPr="00087F9B">
        <w:t xml:space="preserve">The Dynamic Hybrid Framework (Model 3) is the decisive champion of Resilience. While </w:t>
      </w:r>
      <w:r w:rsidR="004A204C" w:rsidRPr="00087F9B">
        <w:t>the</w:t>
      </w:r>
      <w:r w:rsidRPr="00087F9B">
        <w:t xml:space="preserve"> </w:t>
      </w:r>
      <w:r w:rsidR="004A204C" w:rsidRPr="00087F9B">
        <w:t>M</w:t>
      </w:r>
      <w:r w:rsidRPr="00087F9B">
        <w:t xml:space="preserve">achine </w:t>
      </w:r>
      <w:r w:rsidR="004A204C" w:rsidRPr="00087F9B">
        <w:t>L</w:t>
      </w:r>
      <w:r w:rsidRPr="00087F9B">
        <w:t>earning (Model 2) suffers from the "Empty Checkpoint Fallacy" during delayed flight holds (</w:t>
      </w:r>
      <m:oMath>
        <m:sSub>
          <m:sSubPr>
            <m:ctrlPr>
              <w:rPr>
                <w:rFonts w:ascii="Cambria Math" w:hAnsi="Cambria Math"/>
              </w:rPr>
            </m:ctrlPr>
          </m:sSubPr>
          <m:e>
            <m:r>
              <w:rPr>
                <w:rFonts w:ascii="Cambria Math" w:hAnsi="Cambria Math"/>
              </w:rPr>
              <m:t>R</m:t>
            </m:r>
          </m:e>
          <m:sub>
            <m:r>
              <m:rPr>
                <m:nor/>
              </m:rPr>
              <m:t>MASE</m:t>
            </m:r>
          </m:sub>
        </m:sSub>
        <m:r>
          <w:rPr>
            <w:rFonts w:ascii="Cambria Math" w:hAnsi="Cambria Math"/>
          </w:rPr>
          <m:t>=2.14</m:t>
        </m:r>
      </m:oMath>
      <w:r w:rsidRPr="00087F9B">
        <w:t>), Model 3's recursive error feedback (</w:t>
      </w:r>
      <m:oMath>
        <m:sSub>
          <m:sSubPr>
            <m:ctrlPr>
              <w:rPr>
                <w:rFonts w:ascii="Cambria Math" w:hAnsi="Cambria Math"/>
              </w:rPr>
            </m:ctrlPr>
          </m:sSubPr>
          <m:e>
            <m:r>
              <w:rPr>
                <w:rFonts w:ascii="Cambria Math" w:hAnsi="Cambria Math"/>
              </w:rPr>
              <m:t>e</m:t>
            </m:r>
          </m:e>
          <m:sub>
            <m:r>
              <w:rPr>
                <w:rFonts w:ascii="Cambria Math" w:hAnsi="Cambria Math"/>
              </w:rPr>
              <m:t>t-1</m:t>
            </m:r>
          </m:sub>
        </m:sSub>
      </m:oMath>
      <w:r w:rsidRPr="00087F9B">
        <w:t>) maintains a resilient multiplier of </w:t>
      </w:r>
      <m:oMath>
        <m:sSub>
          <m:sSubPr>
            <m:ctrlPr>
              <w:rPr>
                <w:rFonts w:ascii="Cambria Math" w:hAnsi="Cambria Math"/>
              </w:rPr>
            </m:ctrlPr>
          </m:sSubPr>
          <m:e>
            <m:r>
              <w:rPr>
                <w:rFonts w:ascii="Cambria Math" w:hAnsi="Cambria Math"/>
              </w:rPr>
              <m:t>R</m:t>
            </m:r>
          </m:e>
          <m:sub>
            <m:r>
              <m:rPr>
                <m:nor/>
              </m:rPr>
              <m:t>MASE</m:t>
            </m:r>
          </m:sub>
        </m:sSub>
        <m:r>
          <w:rPr>
            <w:rFonts w:ascii="Cambria Math" w:hAnsi="Cambria Math"/>
          </w:rPr>
          <m:t>=1.05≈1.00</m:t>
        </m:r>
      </m:oMath>
      <w:r w:rsidRPr="00087F9B">
        <w:t> and achieves the fastest Time-to-Recovery (</w:t>
      </w:r>
      <m:oMath>
        <m:r>
          <m:rPr>
            <m:nor/>
          </m:rPr>
          <m:t>TTR</m:t>
        </m:r>
        <m:r>
          <w:rPr>
            <w:rFonts w:ascii="Cambria Math" w:hAnsi="Cambria Math"/>
          </w:rPr>
          <m:t>=2.8</m:t>
        </m:r>
        <m:r>
          <m:rPr>
            <m:nor/>
          </m:rPr>
          <m:t> hours</m:t>
        </m:r>
      </m:oMath>
      <w:r w:rsidRPr="00087F9B">
        <w:t>).</w:t>
      </w:r>
    </w:p>
    <w:p w14:paraId="25669629" w14:textId="7502659D" w:rsidR="00FE22FF" w:rsidRPr="00087F9B" w:rsidRDefault="00FE22FF" w:rsidP="00087F9B">
      <w:pPr>
        <w:ind w:firstLine="360"/>
        <w:contextualSpacing/>
      </w:pPr>
      <w:r w:rsidRPr="00087F9B">
        <w:rPr>
          <w:b/>
          <w:bCs/>
        </w:rPr>
        <w:t>Dimension 3: Generalizability (Zero-Shot Portability)</w:t>
      </w:r>
      <w:r w:rsidR="00143FCA" w:rsidRPr="00087F9B">
        <w:t xml:space="preserve">. </w:t>
      </w:r>
      <w:r w:rsidRPr="00087F9B">
        <w:t>The Deterministic Model (Model 1) is the decisive champion of Generalizability. It successfully meets both stated targets: </w:t>
      </w:r>
      <m:oMath>
        <m:r>
          <m:rPr>
            <m:nor/>
          </m:rPr>
          <m:t>RTR</m:t>
        </m:r>
        <m:r>
          <w:rPr>
            <w:rFonts w:ascii="Cambria Math" w:hAnsi="Cambria Math"/>
          </w:rPr>
          <m:t>=1.04≈1.00</m:t>
        </m:r>
      </m:oMath>
      <w:r w:rsidRPr="00087F9B">
        <w:t> and </w:t>
      </w:r>
      <m:oMath>
        <m:r>
          <m:rPr>
            <m:sty m:val="p"/>
          </m:rPr>
          <w:rPr>
            <w:rFonts w:ascii="Cambria Math" w:hAnsi="Cambria Math"/>
          </w:rPr>
          <m:t>Δ</m:t>
        </m:r>
        <m:r>
          <m:rPr>
            <m:nor/>
          </m:rPr>
          <m:t>MASE</m:t>
        </m:r>
        <m:r>
          <w:rPr>
            <w:rFonts w:ascii="Cambria Math" w:hAnsi="Cambria Math"/>
          </w:rPr>
          <m:t>=+4.0%≤10.0%</m:t>
        </m:r>
      </m:oMath>
      <w:r w:rsidRPr="00087F9B">
        <w:t>. Conversely, the Hybrid model (Model 3) decisively fails the Generalizability targets (</w:t>
      </w:r>
      <m:oMath>
        <m:r>
          <m:rPr>
            <m:nor/>
          </m:rPr>
          <m:t>RTR</m:t>
        </m:r>
        <m:r>
          <w:rPr>
            <w:rFonts w:ascii="Cambria Math" w:hAnsi="Cambria Math"/>
          </w:rPr>
          <m:t>=1.19&gt;1.00,</m:t>
        </m:r>
        <m:r>
          <m:rPr>
            <m:sty m:val="p"/>
          </m:rPr>
          <w:rPr>
            <w:rFonts w:ascii="Cambria Math" w:hAnsi="Cambria Math"/>
          </w:rPr>
          <m:t>Δ</m:t>
        </m:r>
        <m:r>
          <m:rPr>
            <m:nor/>
          </m:rPr>
          <m:t>MASE</m:t>
        </m:r>
        <m:r>
          <w:rPr>
            <w:rFonts w:ascii="Cambria Math" w:hAnsi="Cambria Math"/>
          </w:rPr>
          <m:t>=+21.5%&gt;10.0%</m:t>
        </m:r>
      </m:oMath>
      <w:r w:rsidRPr="00087F9B">
        <w:t xml:space="preserve">) because its decision-tree component overfits to Newark's specific terminal </w:t>
      </w:r>
      <w:r w:rsidR="00732190" w:rsidRPr="00087F9B">
        <w:t>layout</w:t>
      </w:r>
      <w:r w:rsidRPr="00087F9B">
        <w:t xml:space="preserve"> and carrier bank timings.</w:t>
      </w:r>
    </w:p>
    <w:p w14:paraId="2E18A3F3" w14:textId="22DF2304" w:rsidR="00895BAC" w:rsidRPr="00087F9B" w:rsidRDefault="00B113B1" w:rsidP="00087F9B">
      <w:pPr>
        <w:ind w:firstLine="360"/>
        <w:contextualSpacing/>
      </w:pPr>
      <w:r w:rsidRPr="00087F9B">
        <w:t xml:space="preserve">The out-of-time holdout evaluations confirm the thesis hypothesis: no single predictive modeling paradigm is universally superior across all operational regimes. Instead, airport security demand forecasting is governed by fundamental asymmetric trade-offs across robustness, resilience, and generalizability. </w:t>
      </w:r>
      <w:r w:rsidR="00C37DEC" w:rsidRPr="00087F9B">
        <w:t xml:space="preserve">The Dynamic Hybrid model (Model 3) is best during severe flight delays and irregular operations, the Deterministic Schedule model (Model 1) </w:t>
      </w:r>
      <w:r w:rsidR="00C37DEC" w:rsidRPr="00087F9B">
        <w:lastRenderedPageBreak/>
        <w:t>transfers most reliably to new airports without retraining, and the Supervised Machine Learning model (Model 2) is the most practical choice for routine advance staffing. Airport operators and TSA leadership should therefore select their forecasting tool based on daily operating conditions rather than relying on a single method.</w:t>
      </w:r>
    </w:p>
    <w:sectPr w:rsidR="00895BAC" w:rsidRPr="00087F9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6" w:author="Gleich, Leila" w:date="2026-10-10T17:22:00Z" w:initials="GL">
    <w:p w14:paraId="58A27572" w14:textId="77777777" w:rsidR="00B62A40" w:rsidRDefault="00B62A40" w:rsidP="00B62A40">
      <w:r>
        <w:rPr>
          <w:rStyle w:val="CommentReference"/>
        </w:rPr>
        <w:annotationRef/>
      </w:r>
      <w:r>
        <w:rPr>
          <w:sz w:val="20"/>
          <w:szCs w:val="20"/>
        </w:rPr>
        <w:t>needs fixing in. md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8A275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60109AF" w16cex:dateUtc="2026-10-11T00: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8A27572" w16cid:durableId="460109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C04920"/>
    <w:multiLevelType w:val="multilevel"/>
    <w:tmpl w:val="3BD81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BA5511"/>
    <w:multiLevelType w:val="multilevel"/>
    <w:tmpl w:val="8264D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8665D8"/>
    <w:multiLevelType w:val="hybridMultilevel"/>
    <w:tmpl w:val="B8B43F2E"/>
    <w:lvl w:ilvl="0" w:tplc="3E164CEE">
      <w:start w:val="1"/>
      <w:numFmt w:val="bullet"/>
      <w:lvlText w:val="•"/>
      <w:lvlJc w:val="left"/>
      <w:pPr>
        <w:tabs>
          <w:tab w:val="num" w:pos="720"/>
        </w:tabs>
        <w:ind w:left="720" w:hanging="360"/>
      </w:pPr>
      <w:rPr>
        <w:rFonts w:ascii="Arial" w:hAnsi="Arial" w:hint="default"/>
      </w:rPr>
    </w:lvl>
    <w:lvl w:ilvl="1" w:tplc="CD2CB4C4">
      <w:start w:val="1"/>
      <w:numFmt w:val="bullet"/>
      <w:lvlText w:val="•"/>
      <w:lvlJc w:val="left"/>
      <w:pPr>
        <w:tabs>
          <w:tab w:val="num" w:pos="1440"/>
        </w:tabs>
        <w:ind w:left="1440" w:hanging="360"/>
      </w:pPr>
      <w:rPr>
        <w:rFonts w:ascii="Arial" w:hAnsi="Arial" w:hint="default"/>
      </w:rPr>
    </w:lvl>
    <w:lvl w:ilvl="2" w:tplc="38A80CCA" w:tentative="1">
      <w:start w:val="1"/>
      <w:numFmt w:val="bullet"/>
      <w:lvlText w:val="•"/>
      <w:lvlJc w:val="left"/>
      <w:pPr>
        <w:tabs>
          <w:tab w:val="num" w:pos="2160"/>
        </w:tabs>
        <w:ind w:left="2160" w:hanging="360"/>
      </w:pPr>
      <w:rPr>
        <w:rFonts w:ascii="Arial" w:hAnsi="Arial" w:hint="default"/>
      </w:rPr>
    </w:lvl>
    <w:lvl w:ilvl="3" w:tplc="1ED2D03A" w:tentative="1">
      <w:start w:val="1"/>
      <w:numFmt w:val="bullet"/>
      <w:lvlText w:val="•"/>
      <w:lvlJc w:val="left"/>
      <w:pPr>
        <w:tabs>
          <w:tab w:val="num" w:pos="2880"/>
        </w:tabs>
        <w:ind w:left="2880" w:hanging="360"/>
      </w:pPr>
      <w:rPr>
        <w:rFonts w:ascii="Arial" w:hAnsi="Arial" w:hint="default"/>
      </w:rPr>
    </w:lvl>
    <w:lvl w:ilvl="4" w:tplc="D37E461C" w:tentative="1">
      <w:start w:val="1"/>
      <w:numFmt w:val="bullet"/>
      <w:lvlText w:val="•"/>
      <w:lvlJc w:val="left"/>
      <w:pPr>
        <w:tabs>
          <w:tab w:val="num" w:pos="3600"/>
        </w:tabs>
        <w:ind w:left="3600" w:hanging="360"/>
      </w:pPr>
      <w:rPr>
        <w:rFonts w:ascii="Arial" w:hAnsi="Arial" w:hint="default"/>
      </w:rPr>
    </w:lvl>
    <w:lvl w:ilvl="5" w:tplc="34F054C0" w:tentative="1">
      <w:start w:val="1"/>
      <w:numFmt w:val="bullet"/>
      <w:lvlText w:val="•"/>
      <w:lvlJc w:val="left"/>
      <w:pPr>
        <w:tabs>
          <w:tab w:val="num" w:pos="4320"/>
        </w:tabs>
        <w:ind w:left="4320" w:hanging="360"/>
      </w:pPr>
      <w:rPr>
        <w:rFonts w:ascii="Arial" w:hAnsi="Arial" w:hint="default"/>
      </w:rPr>
    </w:lvl>
    <w:lvl w:ilvl="6" w:tplc="B650C78A" w:tentative="1">
      <w:start w:val="1"/>
      <w:numFmt w:val="bullet"/>
      <w:lvlText w:val="•"/>
      <w:lvlJc w:val="left"/>
      <w:pPr>
        <w:tabs>
          <w:tab w:val="num" w:pos="5040"/>
        </w:tabs>
        <w:ind w:left="5040" w:hanging="360"/>
      </w:pPr>
      <w:rPr>
        <w:rFonts w:ascii="Arial" w:hAnsi="Arial" w:hint="default"/>
      </w:rPr>
    </w:lvl>
    <w:lvl w:ilvl="7" w:tplc="91EED93E" w:tentative="1">
      <w:start w:val="1"/>
      <w:numFmt w:val="bullet"/>
      <w:lvlText w:val="•"/>
      <w:lvlJc w:val="left"/>
      <w:pPr>
        <w:tabs>
          <w:tab w:val="num" w:pos="5760"/>
        </w:tabs>
        <w:ind w:left="5760" w:hanging="360"/>
      </w:pPr>
      <w:rPr>
        <w:rFonts w:ascii="Arial" w:hAnsi="Arial" w:hint="default"/>
      </w:rPr>
    </w:lvl>
    <w:lvl w:ilvl="8" w:tplc="C1E86AA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5172A6D"/>
    <w:multiLevelType w:val="multilevel"/>
    <w:tmpl w:val="BACA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07404"/>
    <w:multiLevelType w:val="hybridMultilevel"/>
    <w:tmpl w:val="1BC49404"/>
    <w:lvl w:ilvl="0" w:tplc="E528F55E">
      <w:start w:val="1"/>
      <w:numFmt w:val="bullet"/>
      <w:lvlText w:val="•"/>
      <w:lvlJc w:val="left"/>
      <w:pPr>
        <w:tabs>
          <w:tab w:val="num" w:pos="720"/>
        </w:tabs>
        <w:ind w:left="720" w:hanging="360"/>
      </w:pPr>
      <w:rPr>
        <w:rFonts w:ascii="Arial" w:hAnsi="Arial" w:hint="default"/>
      </w:rPr>
    </w:lvl>
    <w:lvl w:ilvl="1" w:tplc="D238451C">
      <w:start w:val="1"/>
      <w:numFmt w:val="bullet"/>
      <w:lvlText w:val="•"/>
      <w:lvlJc w:val="left"/>
      <w:pPr>
        <w:tabs>
          <w:tab w:val="num" w:pos="1440"/>
        </w:tabs>
        <w:ind w:left="1440" w:hanging="360"/>
      </w:pPr>
      <w:rPr>
        <w:rFonts w:ascii="Arial" w:hAnsi="Arial" w:hint="default"/>
      </w:rPr>
    </w:lvl>
    <w:lvl w:ilvl="2" w:tplc="C5DAF0E0" w:tentative="1">
      <w:start w:val="1"/>
      <w:numFmt w:val="bullet"/>
      <w:lvlText w:val="•"/>
      <w:lvlJc w:val="left"/>
      <w:pPr>
        <w:tabs>
          <w:tab w:val="num" w:pos="2160"/>
        </w:tabs>
        <w:ind w:left="2160" w:hanging="360"/>
      </w:pPr>
      <w:rPr>
        <w:rFonts w:ascii="Arial" w:hAnsi="Arial" w:hint="default"/>
      </w:rPr>
    </w:lvl>
    <w:lvl w:ilvl="3" w:tplc="78AE4B32" w:tentative="1">
      <w:start w:val="1"/>
      <w:numFmt w:val="bullet"/>
      <w:lvlText w:val="•"/>
      <w:lvlJc w:val="left"/>
      <w:pPr>
        <w:tabs>
          <w:tab w:val="num" w:pos="2880"/>
        </w:tabs>
        <w:ind w:left="2880" w:hanging="360"/>
      </w:pPr>
      <w:rPr>
        <w:rFonts w:ascii="Arial" w:hAnsi="Arial" w:hint="default"/>
      </w:rPr>
    </w:lvl>
    <w:lvl w:ilvl="4" w:tplc="20F2271C" w:tentative="1">
      <w:start w:val="1"/>
      <w:numFmt w:val="bullet"/>
      <w:lvlText w:val="•"/>
      <w:lvlJc w:val="left"/>
      <w:pPr>
        <w:tabs>
          <w:tab w:val="num" w:pos="3600"/>
        </w:tabs>
        <w:ind w:left="3600" w:hanging="360"/>
      </w:pPr>
      <w:rPr>
        <w:rFonts w:ascii="Arial" w:hAnsi="Arial" w:hint="default"/>
      </w:rPr>
    </w:lvl>
    <w:lvl w:ilvl="5" w:tplc="E3B67C2A" w:tentative="1">
      <w:start w:val="1"/>
      <w:numFmt w:val="bullet"/>
      <w:lvlText w:val="•"/>
      <w:lvlJc w:val="left"/>
      <w:pPr>
        <w:tabs>
          <w:tab w:val="num" w:pos="4320"/>
        </w:tabs>
        <w:ind w:left="4320" w:hanging="360"/>
      </w:pPr>
      <w:rPr>
        <w:rFonts w:ascii="Arial" w:hAnsi="Arial" w:hint="default"/>
      </w:rPr>
    </w:lvl>
    <w:lvl w:ilvl="6" w:tplc="DEA03AF6" w:tentative="1">
      <w:start w:val="1"/>
      <w:numFmt w:val="bullet"/>
      <w:lvlText w:val="•"/>
      <w:lvlJc w:val="left"/>
      <w:pPr>
        <w:tabs>
          <w:tab w:val="num" w:pos="5040"/>
        </w:tabs>
        <w:ind w:left="5040" w:hanging="360"/>
      </w:pPr>
      <w:rPr>
        <w:rFonts w:ascii="Arial" w:hAnsi="Arial" w:hint="default"/>
      </w:rPr>
    </w:lvl>
    <w:lvl w:ilvl="7" w:tplc="4F2A4C9E" w:tentative="1">
      <w:start w:val="1"/>
      <w:numFmt w:val="bullet"/>
      <w:lvlText w:val="•"/>
      <w:lvlJc w:val="left"/>
      <w:pPr>
        <w:tabs>
          <w:tab w:val="num" w:pos="5760"/>
        </w:tabs>
        <w:ind w:left="5760" w:hanging="360"/>
      </w:pPr>
      <w:rPr>
        <w:rFonts w:ascii="Arial" w:hAnsi="Arial" w:hint="default"/>
      </w:rPr>
    </w:lvl>
    <w:lvl w:ilvl="8" w:tplc="DA06D37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F351F72"/>
    <w:multiLevelType w:val="hybridMultilevel"/>
    <w:tmpl w:val="341C792E"/>
    <w:lvl w:ilvl="0" w:tplc="35C88B92">
      <w:start w:val="1"/>
      <w:numFmt w:val="bullet"/>
      <w:lvlText w:val="•"/>
      <w:lvlJc w:val="left"/>
      <w:pPr>
        <w:tabs>
          <w:tab w:val="num" w:pos="720"/>
        </w:tabs>
        <w:ind w:left="720" w:hanging="360"/>
      </w:pPr>
      <w:rPr>
        <w:rFonts w:ascii="Arial" w:hAnsi="Arial" w:hint="default"/>
      </w:rPr>
    </w:lvl>
    <w:lvl w:ilvl="1" w:tplc="018A436C">
      <w:start w:val="1"/>
      <w:numFmt w:val="bullet"/>
      <w:lvlText w:val="•"/>
      <w:lvlJc w:val="left"/>
      <w:pPr>
        <w:tabs>
          <w:tab w:val="num" w:pos="1440"/>
        </w:tabs>
        <w:ind w:left="1440" w:hanging="360"/>
      </w:pPr>
      <w:rPr>
        <w:rFonts w:ascii="Arial" w:hAnsi="Arial" w:hint="default"/>
      </w:rPr>
    </w:lvl>
    <w:lvl w:ilvl="2" w:tplc="FA2AA54E" w:tentative="1">
      <w:start w:val="1"/>
      <w:numFmt w:val="bullet"/>
      <w:lvlText w:val="•"/>
      <w:lvlJc w:val="left"/>
      <w:pPr>
        <w:tabs>
          <w:tab w:val="num" w:pos="2160"/>
        </w:tabs>
        <w:ind w:left="2160" w:hanging="360"/>
      </w:pPr>
      <w:rPr>
        <w:rFonts w:ascii="Arial" w:hAnsi="Arial" w:hint="default"/>
      </w:rPr>
    </w:lvl>
    <w:lvl w:ilvl="3" w:tplc="4D60ECB0" w:tentative="1">
      <w:start w:val="1"/>
      <w:numFmt w:val="bullet"/>
      <w:lvlText w:val="•"/>
      <w:lvlJc w:val="left"/>
      <w:pPr>
        <w:tabs>
          <w:tab w:val="num" w:pos="2880"/>
        </w:tabs>
        <w:ind w:left="2880" w:hanging="360"/>
      </w:pPr>
      <w:rPr>
        <w:rFonts w:ascii="Arial" w:hAnsi="Arial" w:hint="default"/>
      </w:rPr>
    </w:lvl>
    <w:lvl w:ilvl="4" w:tplc="C1080924" w:tentative="1">
      <w:start w:val="1"/>
      <w:numFmt w:val="bullet"/>
      <w:lvlText w:val="•"/>
      <w:lvlJc w:val="left"/>
      <w:pPr>
        <w:tabs>
          <w:tab w:val="num" w:pos="3600"/>
        </w:tabs>
        <w:ind w:left="3600" w:hanging="360"/>
      </w:pPr>
      <w:rPr>
        <w:rFonts w:ascii="Arial" w:hAnsi="Arial" w:hint="default"/>
      </w:rPr>
    </w:lvl>
    <w:lvl w:ilvl="5" w:tplc="15B63652" w:tentative="1">
      <w:start w:val="1"/>
      <w:numFmt w:val="bullet"/>
      <w:lvlText w:val="•"/>
      <w:lvlJc w:val="left"/>
      <w:pPr>
        <w:tabs>
          <w:tab w:val="num" w:pos="4320"/>
        </w:tabs>
        <w:ind w:left="4320" w:hanging="360"/>
      </w:pPr>
      <w:rPr>
        <w:rFonts w:ascii="Arial" w:hAnsi="Arial" w:hint="default"/>
      </w:rPr>
    </w:lvl>
    <w:lvl w:ilvl="6" w:tplc="632E593E" w:tentative="1">
      <w:start w:val="1"/>
      <w:numFmt w:val="bullet"/>
      <w:lvlText w:val="•"/>
      <w:lvlJc w:val="left"/>
      <w:pPr>
        <w:tabs>
          <w:tab w:val="num" w:pos="5040"/>
        </w:tabs>
        <w:ind w:left="5040" w:hanging="360"/>
      </w:pPr>
      <w:rPr>
        <w:rFonts w:ascii="Arial" w:hAnsi="Arial" w:hint="default"/>
      </w:rPr>
    </w:lvl>
    <w:lvl w:ilvl="7" w:tplc="37B46E1A" w:tentative="1">
      <w:start w:val="1"/>
      <w:numFmt w:val="bullet"/>
      <w:lvlText w:val="•"/>
      <w:lvlJc w:val="left"/>
      <w:pPr>
        <w:tabs>
          <w:tab w:val="num" w:pos="5760"/>
        </w:tabs>
        <w:ind w:left="5760" w:hanging="360"/>
      </w:pPr>
      <w:rPr>
        <w:rFonts w:ascii="Arial" w:hAnsi="Arial" w:hint="default"/>
      </w:rPr>
    </w:lvl>
    <w:lvl w:ilvl="8" w:tplc="5096E1A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13D7DF7"/>
    <w:multiLevelType w:val="multilevel"/>
    <w:tmpl w:val="80ACC8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95505"/>
    <w:multiLevelType w:val="multilevel"/>
    <w:tmpl w:val="C26EA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FE2578"/>
    <w:multiLevelType w:val="multilevel"/>
    <w:tmpl w:val="387E9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5C3E5B"/>
    <w:multiLevelType w:val="multilevel"/>
    <w:tmpl w:val="CB260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C5472F"/>
    <w:multiLevelType w:val="multilevel"/>
    <w:tmpl w:val="3FC49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AA1AB9"/>
    <w:multiLevelType w:val="multilevel"/>
    <w:tmpl w:val="B0CAA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607BD4"/>
    <w:multiLevelType w:val="multilevel"/>
    <w:tmpl w:val="950C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B1036E"/>
    <w:multiLevelType w:val="multilevel"/>
    <w:tmpl w:val="7746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243010"/>
    <w:multiLevelType w:val="hybridMultilevel"/>
    <w:tmpl w:val="42981814"/>
    <w:lvl w:ilvl="0" w:tplc="27AC40BC">
      <w:start w:val="1"/>
      <w:numFmt w:val="bullet"/>
      <w:lvlText w:val="•"/>
      <w:lvlJc w:val="left"/>
      <w:pPr>
        <w:tabs>
          <w:tab w:val="num" w:pos="720"/>
        </w:tabs>
        <w:ind w:left="720" w:hanging="360"/>
      </w:pPr>
      <w:rPr>
        <w:rFonts w:ascii="Arial" w:hAnsi="Arial" w:hint="default"/>
      </w:rPr>
    </w:lvl>
    <w:lvl w:ilvl="1" w:tplc="FDFE9E7C">
      <w:start w:val="1"/>
      <w:numFmt w:val="bullet"/>
      <w:lvlText w:val="•"/>
      <w:lvlJc w:val="left"/>
      <w:pPr>
        <w:tabs>
          <w:tab w:val="num" w:pos="1440"/>
        </w:tabs>
        <w:ind w:left="1440" w:hanging="360"/>
      </w:pPr>
      <w:rPr>
        <w:rFonts w:ascii="Arial" w:hAnsi="Arial" w:hint="default"/>
      </w:rPr>
    </w:lvl>
    <w:lvl w:ilvl="2" w:tplc="A79CB25A" w:tentative="1">
      <w:start w:val="1"/>
      <w:numFmt w:val="bullet"/>
      <w:lvlText w:val="•"/>
      <w:lvlJc w:val="left"/>
      <w:pPr>
        <w:tabs>
          <w:tab w:val="num" w:pos="2160"/>
        </w:tabs>
        <w:ind w:left="2160" w:hanging="360"/>
      </w:pPr>
      <w:rPr>
        <w:rFonts w:ascii="Arial" w:hAnsi="Arial" w:hint="default"/>
      </w:rPr>
    </w:lvl>
    <w:lvl w:ilvl="3" w:tplc="D4B84F2C" w:tentative="1">
      <w:start w:val="1"/>
      <w:numFmt w:val="bullet"/>
      <w:lvlText w:val="•"/>
      <w:lvlJc w:val="left"/>
      <w:pPr>
        <w:tabs>
          <w:tab w:val="num" w:pos="2880"/>
        </w:tabs>
        <w:ind w:left="2880" w:hanging="360"/>
      </w:pPr>
      <w:rPr>
        <w:rFonts w:ascii="Arial" w:hAnsi="Arial" w:hint="default"/>
      </w:rPr>
    </w:lvl>
    <w:lvl w:ilvl="4" w:tplc="D9B45B0E" w:tentative="1">
      <w:start w:val="1"/>
      <w:numFmt w:val="bullet"/>
      <w:lvlText w:val="•"/>
      <w:lvlJc w:val="left"/>
      <w:pPr>
        <w:tabs>
          <w:tab w:val="num" w:pos="3600"/>
        </w:tabs>
        <w:ind w:left="3600" w:hanging="360"/>
      </w:pPr>
      <w:rPr>
        <w:rFonts w:ascii="Arial" w:hAnsi="Arial" w:hint="default"/>
      </w:rPr>
    </w:lvl>
    <w:lvl w:ilvl="5" w:tplc="A71E9ED6" w:tentative="1">
      <w:start w:val="1"/>
      <w:numFmt w:val="bullet"/>
      <w:lvlText w:val="•"/>
      <w:lvlJc w:val="left"/>
      <w:pPr>
        <w:tabs>
          <w:tab w:val="num" w:pos="4320"/>
        </w:tabs>
        <w:ind w:left="4320" w:hanging="360"/>
      </w:pPr>
      <w:rPr>
        <w:rFonts w:ascii="Arial" w:hAnsi="Arial" w:hint="default"/>
      </w:rPr>
    </w:lvl>
    <w:lvl w:ilvl="6" w:tplc="FD16CCE4" w:tentative="1">
      <w:start w:val="1"/>
      <w:numFmt w:val="bullet"/>
      <w:lvlText w:val="•"/>
      <w:lvlJc w:val="left"/>
      <w:pPr>
        <w:tabs>
          <w:tab w:val="num" w:pos="5040"/>
        </w:tabs>
        <w:ind w:left="5040" w:hanging="360"/>
      </w:pPr>
      <w:rPr>
        <w:rFonts w:ascii="Arial" w:hAnsi="Arial" w:hint="default"/>
      </w:rPr>
    </w:lvl>
    <w:lvl w:ilvl="7" w:tplc="E7BCC648" w:tentative="1">
      <w:start w:val="1"/>
      <w:numFmt w:val="bullet"/>
      <w:lvlText w:val="•"/>
      <w:lvlJc w:val="left"/>
      <w:pPr>
        <w:tabs>
          <w:tab w:val="num" w:pos="5760"/>
        </w:tabs>
        <w:ind w:left="5760" w:hanging="360"/>
      </w:pPr>
      <w:rPr>
        <w:rFonts w:ascii="Arial" w:hAnsi="Arial" w:hint="default"/>
      </w:rPr>
    </w:lvl>
    <w:lvl w:ilvl="8" w:tplc="52DE9CE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7BB4CA3"/>
    <w:multiLevelType w:val="hybridMultilevel"/>
    <w:tmpl w:val="7FBAA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7C1E11"/>
    <w:multiLevelType w:val="multilevel"/>
    <w:tmpl w:val="5D7E3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C94584"/>
    <w:multiLevelType w:val="multilevel"/>
    <w:tmpl w:val="1F624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1812535">
    <w:abstractNumId w:val="0"/>
  </w:num>
  <w:num w:numId="2" w16cid:durableId="1898471251">
    <w:abstractNumId w:val="6"/>
  </w:num>
  <w:num w:numId="3" w16cid:durableId="227883628">
    <w:abstractNumId w:val="11"/>
  </w:num>
  <w:num w:numId="4" w16cid:durableId="1855339510">
    <w:abstractNumId w:val="9"/>
  </w:num>
  <w:num w:numId="5" w16cid:durableId="1433086588">
    <w:abstractNumId w:val="13"/>
  </w:num>
  <w:num w:numId="6" w16cid:durableId="1387529332">
    <w:abstractNumId w:val="3"/>
  </w:num>
  <w:num w:numId="7" w16cid:durableId="377510291">
    <w:abstractNumId w:val="17"/>
  </w:num>
  <w:num w:numId="8" w16cid:durableId="214972192">
    <w:abstractNumId w:val="7"/>
  </w:num>
  <w:num w:numId="9" w16cid:durableId="334386063">
    <w:abstractNumId w:val="5"/>
  </w:num>
  <w:num w:numId="10" w16cid:durableId="1081682686">
    <w:abstractNumId w:val="14"/>
  </w:num>
  <w:num w:numId="11" w16cid:durableId="1403942545">
    <w:abstractNumId w:val="2"/>
  </w:num>
  <w:num w:numId="12" w16cid:durableId="1180042847">
    <w:abstractNumId w:val="4"/>
  </w:num>
  <w:num w:numId="13" w16cid:durableId="1403915450">
    <w:abstractNumId w:val="15"/>
  </w:num>
  <w:num w:numId="14" w16cid:durableId="1757359964">
    <w:abstractNumId w:val="1"/>
  </w:num>
  <w:num w:numId="15" w16cid:durableId="527063434">
    <w:abstractNumId w:val="8"/>
  </w:num>
  <w:num w:numId="16" w16cid:durableId="1984116568">
    <w:abstractNumId w:val="10"/>
  </w:num>
  <w:num w:numId="17" w16cid:durableId="19357046">
    <w:abstractNumId w:val="12"/>
  </w:num>
  <w:num w:numId="18" w16cid:durableId="689142058">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leich, Leila">
    <w15:presenceInfo w15:providerId="AD" w15:userId="S::GLEICHL@my.erau.edu::59b27017-6fc6-4403-bb5c-429e2df4ed1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2FF"/>
    <w:rsid w:val="00011A3A"/>
    <w:rsid w:val="00013CC5"/>
    <w:rsid w:val="00021C93"/>
    <w:rsid w:val="000435EA"/>
    <w:rsid w:val="00065476"/>
    <w:rsid w:val="00087F9B"/>
    <w:rsid w:val="000B3680"/>
    <w:rsid w:val="000B7174"/>
    <w:rsid w:val="000C744B"/>
    <w:rsid w:val="00101D58"/>
    <w:rsid w:val="001027AC"/>
    <w:rsid w:val="00107BCB"/>
    <w:rsid w:val="001230AF"/>
    <w:rsid w:val="00143FCA"/>
    <w:rsid w:val="0014663D"/>
    <w:rsid w:val="001676E7"/>
    <w:rsid w:val="001759BF"/>
    <w:rsid w:val="001827CF"/>
    <w:rsid w:val="00182813"/>
    <w:rsid w:val="001C275F"/>
    <w:rsid w:val="001E2A1C"/>
    <w:rsid w:val="00210080"/>
    <w:rsid w:val="002350E6"/>
    <w:rsid w:val="002354FC"/>
    <w:rsid w:val="00240207"/>
    <w:rsid w:val="00243745"/>
    <w:rsid w:val="00273628"/>
    <w:rsid w:val="00283C60"/>
    <w:rsid w:val="00291751"/>
    <w:rsid w:val="00293890"/>
    <w:rsid w:val="00295729"/>
    <w:rsid w:val="002B3412"/>
    <w:rsid w:val="002B3A55"/>
    <w:rsid w:val="002B7944"/>
    <w:rsid w:val="002C3A4F"/>
    <w:rsid w:val="002C555F"/>
    <w:rsid w:val="002F6BA1"/>
    <w:rsid w:val="00303062"/>
    <w:rsid w:val="00306E7C"/>
    <w:rsid w:val="00310F3F"/>
    <w:rsid w:val="00311843"/>
    <w:rsid w:val="00313C25"/>
    <w:rsid w:val="00323EA8"/>
    <w:rsid w:val="00341734"/>
    <w:rsid w:val="00362FD2"/>
    <w:rsid w:val="00366380"/>
    <w:rsid w:val="00366B90"/>
    <w:rsid w:val="003C24F6"/>
    <w:rsid w:val="003C5D05"/>
    <w:rsid w:val="003D2F34"/>
    <w:rsid w:val="003D67B4"/>
    <w:rsid w:val="004018C5"/>
    <w:rsid w:val="00402581"/>
    <w:rsid w:val="00431BEF"/>
    <w:rsid w:val="0045628D"/>
    <w:rsid w:val="00456419"/>
    <w:rsid w:val="00475490"/>
    <w:rsid w:val="0047660D"/>
    <w:rsid w:val="00482852"/>
    <w:rsid w:val="004A204C"/>
    <w:rsid w:val="004A2BD9"/>
    <w:rsid w:val="004A3777"/>
    <w:rsid w:val="004A5CD1"/>
    <w:rsid w:val="004E6A82"/>
    <w:rsid w:val="004E7D0B"/>
    <w:rsid w:val="004F1899"/>
    <w:rsid w:val="00512790"/>
    <w:rsid w:val="00516A28"/>
    <w:rsid w:val="005172C9"/>
    <w:rsid w:val="00517FE5"/>
    <w:rsid w:val="00525542"/>
    <w:rsid w:val="0053527F"/>
    <w:rsid w:val="00540ACC"/>
    <w:rsid w:val="00551D8D"/>
    <w:rsid w:val="00553B49"/>
    <w:rsid w:val="00586F37"/>
    <w:rsid w:val="00597596"/>
    <w:rsid w:val="005D360B"/>
    <w:rsid w:val="005D45DE"/>
    <w:rsid w:val="005D6869"/>
    <w:rsid w:val="005E7E1C"/>
    <w:rsid w:val="005F026F"/>
    <w:rsid w:val="005F4684"/>
    <w:rsid w:val="006062C4"/>
    <w:rsid w:val="00610F23"/>
    <w:rsid w:val="00626B04"/>
    <w:rsid w:val="00643EC5"/>
    <w:rsid w:val="00651CE2"/>
    <w:rsid w:val="00656893"/>
    <w:rsid w:val="0067537F"/>
    <w:rsid w:val="006769AE"/>
    <w:rsid w:val="00682543"/>
    <w:rsid w:val="0068403F"/>
    <w:rsid w:val="006840E8"/>
    <w:rsid w:val="006B1609"/>
    <w:rsid w:val="006C1506"/>
    <w:rsid w:val="006D5FF0"/>
    <w:rsid w:val="006F32B3"/>
    <w:rsid w:val="00704D85"/>
    <w:rsid w:val="00724533"/>
    <w:rsid w:val="00732190"/>
    <w:rsid w:val="0074327F"/>
    <w:rsid w:val="00760008"/>
    <w:rsid w:val="007D7BB2"/>
    <w:rsid w:val="007F537B"/>
    <w:rsid w:val="00801CD1"/>
    <w:rsid w:val="00811A28"/>
    <w:rsid w:val="00816590"/>
    <w:rsid w:val="008248AD"/>
    <w:rsid w:val="00826173"/>
    <w:rsid w:val="008300DD"/>
    <w:rsid w:val="00854018"/>
    <w:rsid w:val="00857917"/>
    <w:rsid w:val="00885C18"/>
    <w:rsid w:val="00895BAC"/>
    <w:rsid w:val="008A3622"/>
    <w:rsid w:val="008C2F51"/>
    <w:rsid w:val="0091382A"/>
    <w:rsid w:val="00947D65"/>
    <w:rsid w:val="009576C4"/>
    <w:rsid w:val="00983825"/>
    <w:rsid w:val="009A52F7"/>
    <w:rsid w:val="009B0AA8"/>
    <w:rsid w:val="009B197A"/>
    <w:rsid w:val="009C20BE"/>
    <w:rsid w:val="009D6EFF"/>
    <w:rsid w:val="009E05EA"/>
    <w:rsid w:val="009E1C8A"/>
    <w:rsid w:val="009F38BB"/>
    <w:rsid w:val="00A1695E"/>
    <w:rsid w:val="00A30342"/>
    <w:rsid w:val="00A32BD6"/>
    <w:rsid w:val="00A34BBD"/>
    <w:rsid w:val="00A44A0F"/>
    <w:rsid w:val="00A507BC"/>
    <w:rsid w:val="00A531B1"/>
    <w:rsid w:val="00A61379"/>
    <w:rsid w:val="00A66DA7"/>
    <w:rsid w:val="00A83C8B"/>
    <w:rsid w:val="00A84568"/>
    <w:rsid w:val="00A97365"/>
    <w:rsid w:val="00AA1954"/>
    <w:rsid w:val="00AA540D"/>
    <w:rsid w:val="00AA726E"/>
    <w:rsid w:val="00AB16B8"/>
    <w:rsid w:val="00AD1DB1"/>
    <w:rsid w:val="00AD36B7"/>
    <w:rsid w:val="00B0640E"/>
    <w:rsid w:val="00B113B1"/>
    <w:rsid w:val="00B2420D"/>
    <w:rsid w:val="00B249F6"/>
    <w:rsid w:val="00B33A48"/>
    <w:rsid w:val="00B62A40"/>
    <w:rsid w:val="00B66396"/>
    <w:rsid w:val="00BA130E"/>
    <w:rsid w:val="00BA2AE5"/>
    <w:rsid w:val="00BA3477"/>
    <w:rsid w:val="00BD2540"/>
    <w:rsid w:val="00BF4FCE"/>
    <w:rsid w:val="00C00311"/>
    <w:rsid w:val="00C36957"/>
    <w:rsid w:val="00C37DEC"/>
    <w:rsid w:val="00C579D2"/>
    <w:rsid w:val="00C61F14"/>
    <w:rsid w:val="00C72409"/>
    <w:rsid w:val="00C8471F"/>
    <w:rsid w:val="00C968B3"/>
    <w:rsid w:val="00CA698F"/>
    <w:rsid w:val="00CB3EC1"/>
    <w:rsid w:val="00CC77D9"/>
    <w:rsid w:val="00CE2501"/>
    <w:rsid w:val="00D02787"/>
    <w:rsid w:val="00D31CD3"/>
    <w:rsid w:val="00D77561"/>
    <w:rsid w:val="00D812EF"/>
    <w:rsid w:val="00D85F41"/>
    <w:rsid w:val="00D87092"/>
    <w:rsid w:val="00D95C0E"/>
    <w:rsid w:val="00DA26F4"/>
    <w:rsid w:val="00DC43FB"/>
    <w:rsid w:val="00DD1A76"/>
    <w:rsid w:val="00DE4F0D"/>
    <w:rsid w:val="00E02FD3"/>
    <w:rsid w:val="00E367F5"/>
    <w:rsid w:val="00E40D42"/>
    <w:rsid w:val="00E43B0D"/>
    <w:rsid w:val="00E52CCF"/>
    <w:rsid w:val="00E67902"/>
    <w:rsid w:val="00E705D6"/>
    <w:rsid w:val="00E749E0"/>
    <w:rsid w:val="00E769F8"/>
    <w:rsid w:val="00E8230F"/>
    <w:rsid w:val="00ED64CD"/>
    <w:rsid w:val="00EF0E75"/>
    <w:rsid w:val="00EF3511"/>
    <w:rsid w:val="00EF680C"/>
    <w:rsid w:val="00F10A9D"/>
    <w:rsid w:val="00F4216A"/>
    <w:rsid w:val="00F43BF9"/>
    <w:rsid w:val="00F465A9"/>
    <w:rsid w:val="00F50F48"/>
    <w:rsid w:val="00F65823"/>
    <w:rsid w:val="00F709E9"/>
    <w:rsid w:val="00FA469F"/>
    <w:rsid w:val="00FB55E3"/>
    <w:rsid w:val="00FE0CA4"/>
    <w:rsid w:val="00FE2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9F72C"/>
  <w15:chartTrackingRefBased/>
  <w15:docId w15:val="{65409B42-675B-E144-B5D2-C6E2BD7D3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2FF"/>
    <w:pPr>
      <w:spacing w:after="0" w:line="480" w:lineRule="auto"/>
    </w:pPr>
    <w:rPr>
      <w:rFonts w:ascii="Times New Roman" w:eastAsia="Times New Roman" w:hAnsi="Times New Roman" w:cs="Times New Roman"/>
      <w:color w:val="000000"/>
      <w:kern w:val="0"/>
      <w14:ligatures w14:val="none"/>
    </w:rPr>
  </w:style>
  <w:style w:type="paragraph" w:styleId="Heading1">
    <w:name w:val="heading 1"/>
    <w:basedOn w:val="Normal"/>
    <w:next w:val="Normal"/>
    <w:link w:val="Heading1Char"/>
    <w:uiPriority w:val="9"/>
    <w:qFormat/>
    <w:rsid w:val="00FE22FF"/>
    <w:pPr>
      <w:keepNext/>
      <w:keepLines/>
      <w:contextualSpacing/>
      <w:jc w:val="center"/>
      <w:outlineLvl w:val="0"/>
    </w:pPr>
    <w:rPr>
      <w:b/>
      <w:bCs/>
      <w:color w:val="000000" w:themeColor="text1"/>
    </w:rPr>
  </w:style>
  <w:style w:type="paragraph" w:styleId="Heading2">
    <w:name w:val="heading 2"/>
    <w:basedOn w:val="Normal"/>
    <w:next w:val="Normal"/>
    <w:link w:val="Heading2Char"/>
    <w:uiPriority w:val="9"/>
    <w:unhideWhenUsed/>
    <w:qFormat/>
    <w:rsid w:val="00FE22FF"/>
    <w:pPr>
      <w:keepNext/>
      <w:keepLines/>
      <w:contextualSpacing/>
      <w:outlineLvl w:val="1"/>
    </w:pPr>
    <w:rPr>
      <w:b/>
      <w:bCs/>
      <w:color w:val="000000" w:themeColor="text1"/>
    </w:rPr>
  </w:style>
  <w:style w:type="paragraph" w:styleId="Heading3">
    <w:name w:val="heading 3"/>
    <w:basedOn w:val="Normal"/>
    <w:next w:val="Normal"/>
    <w:link w:val="Heading3Char"/>
    <w:uiPriority w:val="9"/>
    <w:unhideWhenUsed/>
    <w:qFormat/>
    <w:rsid w:val="00FE22FF"/>
    <w:pPr>
      <w:keepNext/>
      <w:keepLines/>
      <w:contextualSpacing/>
      <w:outlineLvl w:val="2"/>
    </w:pPr>
    <w:rPr>
      <w:b/>
      <w:bCs/>
      <w:i/>
      <w:iCs/>
      <w:color w:val="000000" w:themeColor="text1"/>
    </w:rPr>
  </w:style>
  <w:style w:type="paragraph" w:styleId="Heading4">
    <w:name w:val="heading 4"/>
    <w:basedOn w:val="Normal"/>
    <w:next w:val="Normal"/>
    <w:link w:val="Heading4Char"/>
    <w:uiPriority w:val="9"/>
    <w:semiHidden/>
    <w:unhideWhenUsed/>
    <w:qFormat/>
    <w:rsid w:val="00FE2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2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2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2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2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paragraph" w:styleId="TOC1">
    <w:name w:val="toc 1"/>
    <w:aliases w:val="APA Heading 1"/>
    <w:basedOn w:val="Normal"/>
    <w:next w:val="Normal"/>
    <w:autoRedefine/>
    <w:uiPriority w:val="39"/>
    <w:unhideWhenUsed/>
    <w:rsid w:val="004E7D0B"/>
    <w:pPr>
      <w:spacing w:before="120"/>
      <w:ind w:firstLine="720"/>
      <w:contextualSpacing/>
      <w:jc w:val="center"/>
    </w:pPr>
    <w:rPr>
      <w:b/>
      <w:bCs/>
      <w:iCs/>
    </w:rPr>
  </w:style>
  <w:style w:type="paragraph" w:styleId="TOC2">
    <w:name w:val="toc 2"/>
    <w:aliases w:val="APA Heading 2"/>
    <w:basedOn w:val="Normal"/>
    <w:next w:val="Normal"/>
    <w:autoRedefine/>
    <w:uiPriority w:val="39"/>
    <w:unhideWhenUsed/>
    <w:rsid w:val="004E7D0B"/>
    <w:pPr>
      <w:spacing w:before="120"/>
      <w:ind w:left="240" w:firstLine="720"/>
      <w:contextualSpacing/>
    </w:pPr>
    <w:rPr>
      <w:b/>
      <w:bCs/>
      <w:szCs w:val="22"/>
    </w:rPr>
  </w:style>
  <w:style w:type="paragraph" w:styleId="TOC3">
    <w:name w:val="toc 3"/>
    <w:aliases w:val="APA Heading 3"/>
    <w:basedOn w:val="Normal"/>
    <w:next w:val="Normal"/>
    <w:autoRedefine/>
    <w:uiPriority w:val="39"/>
    <w:unhideWhenUsed/>
    <w:rsid w:val="004E7D0B"/>
    <w:pPr>
      <w:tabs>
        <w:tab w:val="right" w:leader="underscore" w:pos="9350"/>
      </w:tabs>
      <w:ind w:left="480" w:firstLine="720"/>
      <w:contextualSpacing/>
    </w:pPr>
    <w:rPr>
      <w:b/>
      <w:i/>
      <w:noProof/>
    </w:rPr>
  </w:style>
  <w:style w:type="paragraph" w:styleId="TOC4">
    <w:name w:val="toc 4"/>
    <w:aliases w:val="APA Heading 4"/>
    <w:basedOn w:val="Normal"/>
    <w:next w:val="Normal"/>
    <w:autoRedefine/>
    <w:uiPriority w:val="39"/>
    <w:unhideWhenUsed/>
    <w:rsid w:val="004E7D0B"/>
    <w:pPr>
      <w:ind w:left="720" w:firstLine="720"/>
      <w:contextualSpacing/>
    </w:pPr>
    <w:rPr>
      <w:b/>
      <w:szCs w:val="20"/>
    </w:rPr>
  </w:style>
  <w:style w:type="character" w:customStyle="1" w:styleId="Heading1Char">
    <w:name w:val="Heading 1 Char"/>
    <w:basedOn w:val="DefaultParagraphFont"/>
    <w:link w:val="Heading1"/>
    <w:uiPriority w:val="9"/>
    <w:rsid w:val="00FE22FF"/>
    <w:rPr>
      <w:rFonts w:ascii="Times New Roman" w:eastAsia="Times New Roman" w:hAnsi="Times New Roman" w:cs="Times New Roman"/>
      <w:b/>
      <w:bCs/>
      <w:color w:val="000000" w:themeColor="text1"/>
      <w:kern w:val="0"/>
      <w14:ligatures w14:val="none"/>
    </w:rPr>
  </w:style>
  <w:style w:type="character" w:customStyle="1" w:styleId="Heading2Char">
    <w:name w:val="Heading 2 Char"/>
    <w:basedOn w:val="DefaultParagraphFont"/>
    <w:link w:val="Heading2"/>
    <w:uiPriority w:val="9"/>
    <w:rsid w:val="00FE22FF"/>
    <w:rPr>
      <w:rFonts w:ascii="Times New Roman" w:eastAsia="Times New Roman" w:hAnsi="Times New Roman" w:cs="Times New Roman"/>
      <w:b/>
      <w:bCs/>
      <w:color w:val="000000" w:themeColor="text1"/>
      <w:kern w:val="0"/>
      <w14:ligatures w14:val="none"/>
    </w:rPr>
  </w:style>
  <w:style w:type="character" w:customStyle="1" w:styleId="Heading3Char">
    <w:name w:val="Heading 3 Char"/>
    <w:basedOn w:val="DefaultParagraphFont"/>
    <w:link w:val="Heading3"/>
    <w:uiPriority w:val="9"/>
    <w:rsid w:val="00FE22FF"/>
    <w:rPr>
      <w:rFonts w:ascii="Times New Roman" w:eastAsia="Times New Roman" w:hAnsi="Times New Roman" w:cs="Times New Roman"/>
      <w:b/>
      <w:bCs/>
      <w:i/>
      <w:iCs/>
      <w:color w:val="000000" w:themeColor="text1"/>
      <w:kern w:val="0"/>
      <w14:ligatures w14:val="none"/>
    </w:rPr>
  </w:style>
  <w:style w:type="character" w:customStyle="1" w:styleId="Heading4Char">
    <w:name w:val="Heading 4 Char"/>
    <w:basedOn w:val="DefaultParagraphFont"/>
    <w:link w:val="Heading4"/>
    <w:uiPriority w:val="9"/>
    <w:semiHidden/>
    <w:rsid w:val="00FE2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2FF"/>
    <w:rPr>
      <w:rFonts w:eastAsiaTheme="majorEastAsia" w:cstheme="majorBidi"/>
      <w:color w:val="272727" w:themeColor="text1" w:themeTint="D8"/>
    </w:rPr>
  </w:style>
  <w:style w:type="paragraph" w:styleId="Title">
    <w:name w:val="Title"/>
    <w:basedOn w:val="Normal"/>
    <w:next w:val="Normal"/>
    <w:link w:val="TitleChar"/>
    <w:uiPriority w:val="10"/>
    <w:qFormat/>
    <w:rsid w:val="00FE2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CD1"/>
    <w:pPr>
      <w:contextualSpacing/>
    </w:pPr>
    <w:rPr>
      <w:i/>
      <w:iCs/>
      <w:color w:val="000000" w:themeColor="text1"/>
    </w:rPr>
  </w:style>
  <w:style w:type="character" w:customStyle="1" w:styleId="SubtitleChar">
    <w:name w:val="Subtitle Char"/>
    <w:basedOn w:val="DefaultParagraphFont"/>
    <w:link w:val="Subtitle"/>
    <w:uiPriority w:val="11"/>
    <w:rsid w:val="00801CD1"/>
    <w:rPr>
      <w:rFonts w:ascii="Times New Roman" w:eastAsia="Times New Roman" w:hAnsi="Times New Roman" w:cs="Times New Roman"/>
      <w:i/>
      <w:iCs/>
      <w:color w:val="000000" w:themeColor="text1"/>
      <w:kern w:val="0"/>
      <w14:ligatures w14:val="none"/>
    </w:rPr>
  </w:style>
  <w:style w:type="paragraph" w:styleId="Quote">
    <w:name w:val="Quote"/>
    <w:basedOn w:val="Normal"/>
    <w:next w:val="Normal"/>
    <w:link w:val="QuoteChar"/>
    <w:uiPriority w:val="29"/>
    <w:qFormat/>
    <w:rsid w:val="00FE22FF"/>
    <w:pPr>
      <w:spacing w:before="160"/>
      <w:jc w:val="center"/>
    </w:pPr>
    <w:rPr>
      <w:i/>
      <w:iCs/>
      <w:color w:val="404040" w:themeColor="text1" w:themeTint="BF"/>
    </w:rPr>
  </w:style>
  <w:style w:type="character" w:customStyle="1" w:styleId="QuoteChar">
    <w:name w:val="Quote Char"/>
    <w:basedOn w:val="DefaultParagraphFont"/>
    <w:link w:val="Quote"/>
    <w:uiPriority w:val="29"/>
    <w:rsid w:val="00FE22FF"/>
    <w:rPr>
      <w:i/>
      <w:iCs/>
      <w:color w:val="404040" w:themeColor="text1" w:themeTint="BF"/>
    </w:rPr>
  </w:style>
  <w:style w:type="paragraph" w:styleId="ListParagraph">
    <w:name w:val="List Paragraph"/>
    <w:basedOn w:val="Normal"/>
    <w:uiPriority w:val="34"/>
    <w:qFormat/>
    <w:rsid w:val="00FE22FF"/>
    <w:pPr>
      <w:ind w:left="720"/>
      <w:contextualSpacing/>
    </w:pPr>
  </w:style>
  <w:style w:type="character" w:styleId="IntenseEmphasis">
    <w:name w:val="Intense Emphasis"/>
    <w:basedOn w:val="DefaultParagraphFont"/>
    <w:uiPriority w:val="21"/>
    <w:qFormat/>
    <w:rsid w:val="00FE22FF"/>
    <w:rPr>
      <w:i/>
      <w:iCs/>
      <w:color w:val="0F4761" w:themeColor="accent1" w:themeShade="BF"/>
    </w:rPr>
  </w:style>
  <w:style w:type="paragraph" w:styleId="IntenseQuote">
    <w:name w:val="Intense Quote"/>
    <w:basedOn w:val="Normal"/>
    <w:next w:val="Normal"/>
    <w:link w:val="IntenseQuoteChar"/>
    <w:uiPriority w:val="30"/>
    <w:qFormat/>
    <w:rsid w:val="00FE2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2FF"/>
    <w:rPr>
      <w:i/>
      <w:iCs/>
      <w:color w:val="0F4761" w:themeColor="accent1" w:themeShade="BF"/>
    </w:rPr>
  </w:style>
  <w:style w:type="character" w:styleId="IntenseReference">
    <w:name w:val="Intense Reference"/>
    <w:basedOn w:val="DefaultParagraphFont"/>
    <w:uiPriority w:val="32"/>
    <w:qFormat/>
    <w:rsid w:val="00FE22FF"/>
    <w:rPr>
      <w:b/>
      <w:bCs/>
      <w:smallCaps/>
      <w:color w:val="0F4761" w:themeColor="accent1" w:themeShade="BF"/>
      <w:spacing w:val="5"/>
    </w:rPr>
  </w:style>
  <w:style w:type="character" w:styleId="CommentReference">
    <w:name w:val="annotation reference"/>
    <w:basedOn w:val="DefaultParagraphFont"/>
    <w:uiPriority w:val="99"/>
    <w:semiHidden/>
    <w:unhideWhenUsed/>
    <w:rsid w:val="00801CD1"/>
    <w:rPr>
      <w:sz w:val="16"/>
      <w:szCs w:val="16"/>
    </w:rPr>
  </w:style>
  <w:style w:type="paragraph" w:styleId="CommentText">
    <w:name w:val="annotation text"/>
    <w:basedOn w:val="Normal"/>
    <w:link w:val="CommentTextChar"/>
    <w:uiPriority w:val="99"/>
    <w:semiHidden/>
    <w:unhideWhenUsed/>
    <w:rsid w:val="00801CD1"/>
    <w:pPr>
      <w:spacing w:line="240" w:lineRule="auto"/>
    </w:pPr>
    <w:rPr>
      <w:sz w:val="20"/>
      <w:szCs w:val="20"/>
    </w:rPr>
  </w:style>
  <w:style w:type="character" w:customStyle="1" w:styleId="CommentTextChar">
    <w:name w:val="Comment Text Char"/>
    <w:basedOn w:val="DefaultParagraphFont"/>
    <w:link w:val="CommentText"/>
    <w:uiPriority w:val="99"/>
    <w:semiHidden/>
    <w:rsid w:val="00801CD1"/>
    <w:rPr>
      <w:rFonts w:ascii="Times New Roman" w:eastAsia="Times New Roman" w:hAnsi="Times New Roman" w:cs="Times New Roman"/>
      <w:color w:val="000000"/>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01CD1"/>
    <w:rPr>
      <w:b/>
      <w:bCs/>
    </w:rPr>
  </w:style>
  <w:style w:type="character" w:customStyle="1" w:styleId="CommentSubjectChar">
    <w:name w:val="Comment Subject Char"/>
    <w:basedOn w:val="CommentTextChar"/>
    <w:link w:val="CommentSubject"/>
    <w:uiPriority w:val="99"/>
    <w:semiHidden/>
    <w:rsid w:val="00801CD1"/>
    <w:rPr>
      <w:rFonts w:ascii="Times New Roman" w:eastAsia="Times New Roman" w:hAnsi="Times New Roman" w:cs="Times New Roman"/>
      <w:b/>
      <w:bCs/>
      <w:color w:val="000000"/>
      <w:kern w:val="0"/>
      <w:sz w:val="20"/>
      <w:szCs w:val="20"/>
      <w14:ligatures w14:val="none"/>
    </w:rPr>
  </w:style>
  <w:style w:type="character" w:styleId="Strong">
    <w:name w:val="Strong"/>
    <w:basedOn w:val="DefaultParagraphFont"/>
    <w:uiPriority w:val="22"/>
    <w:qFormat/>
    <w:rsid w:val="00DE4F0D"/>
    <w:rPr>
      <w:b/>
      <w:bCs/>
    </w:rPr>
  </w:style>
  <w:style w:type="paragraph" w:customStyle="1" w:styleId="code-line">
    <w:name w:val="code-line"/>
    <w:basedOn w:val="Normal"/>
    <w:rsid w:val="005172C9"/>
    <w:pPr>
      <w:spacing w:before="100" w:beforeAutospacing="1" w:after="100" w:afterAutospacing="1" w:line="240" w:lineRule="auto"/>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6/09/relationships/commentsIds" Target="commentsIds.xm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microsoft.com/office/2011/relationships/commentsExtended" Target="commentsExtended.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5.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7DD602-9FE5-2647-B562-22E7A4C6B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19</Pages>
  <Words>4118</Words>
  <Characters>23475</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49</cp:revision>
  <dcterms:created xsi:type="dcterms:W3CDTF">2026-10-10T22:37:00Z</dcterms:created>
  <dcterms:modified xsi:type="dcterms:W3CDTF">2026-10-11T00:27:00Z</dcterms:modified>
</cp:coreProperties>
</file>