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9E31D5" w14:textId="39C6E80B" w:rsidR="00D54FCB" w:rsidRDefault="00840A22">
      <w:pPr>
        <w:spacing w:after="80"/>
      </w:pPr>
      <w:r>
        <w:rPr>
          <w:rFonts w:cs="Times New Roman"/>
          <w:b/>
        </w:rPr>
        <w:t xml:space="preserve">AG </w:t>
      </w:r>
      <w:r w:rsidR="00000000">
        <w:rPr>
          <w:rFonts w:cs="Times New Roman"/>
          <w:b/>
        </w:rPr>
        <w:t>Master Compilation of Approved Text Revisions and Crosswalk Tables</w:t>
      </w:r>
    </w:p>
    <w:p w14:paraId="2AEA7513" w14:textId="77777777" w:rsidR="00D54FCB" w:rsidRDefault="00000000">
      <w:pPr>
        <w:spacing w:after="240"/>
      </w:pPr>
      <w:r>
        <w:rPr>
          <w:rFonts w:cs="Times New Roman"/>
          <w:i/>
        </w:rPr>
        <w:t>Contains exact replacement paragraphs and crosswalk guidance for Chapters II, III, and IV.</w:t>
      </w:r>
    </w:p>
    <w:p w14:paraId="7F9A1252" w14:textId="77777777" w:rsidR="00D54FCB" w:rsidRDefault="00000000">
      <w:pPr>
        <w:spacing w:before="200" w:after="80"/>
      </w:pPr>
      <w:r>
        <w:rPr>
          <w:rFonts w:cs="Times New Roman"/>
          <w:b/>
        </w:rPr>
        <w:t>1. Chapter II Revisions (Literature Review)</w:t>
      </w:r>
    </w:p>
    <w:p w14:paraId="54BDCB60" w14:textId="77777777" w:rsidR="00D54FCB" w:rsidRDefault="00000000">
      <w:pPr>
        <w:spacing w:after="120"/>
      </w:pPr>
      <w:r>
        <w:rPr>
          <w:rFonts w:cs="Times New Roman"/>
          <w:b/>
          <w:i/>
        </w:rPr>
        <w:t>Revision A: Micro-Simulation Heading &amp; Definition (Paragraphs 20–22)</w:t>
      </w:r>
    </w:p>
    <w:p w14:paraId="102FF7D2" w14:textId="77777777" w:rsidR="00D54FCB" w:rsidRDefault="00000000">
      <w:pPr>
        <w:spacing w:after="40"/>
      </w:pPr>
      <w:r>
        <w:rPr>
          <w:rFonts w:cs="Times New Roman"/>
        </w:rPr>
        <w:t>• Replaced Heading: 'Three Operational Limitations of Micro-Simulation' (replaces 'The Tripartite Operational Breakdown of Micro-Simulation').</w:t>
      </w:r>
    </w:p>
    <w:p w14:paraId="1B42F3E1" w14:textId="77777777" w:rsidR="00D54FCB" w:rsidRDefault="00000000">
      <w:pPr>
        <w:spacing w:after="40"/>
      </w:pPr>
      <w:r>
        <w:rPr>
          <w:rFonts w:cs="Times New Roman"/>
          <w:b/>
        </w:rPr>
        <w:t>• Drop-in Definition of Micro-Simulation (insert in Paragraph 20):</w:t>
      </w:r>
    </w:p>
    <w:p w14:paraId="7292C83D" w14:textId="77777777" w:rsidR="00D54FCB" w:rsidRDefault="00000000">
      <w:pPr>
        <w:spacing w:after="120"/>
      </w:pPr>
      <w:r>
        <w:rPr>
          <w:rFonts w:cs="Times New Roman"/>
        </w:rPr>
        <w:t>"Broadly defined, micro-simulation is a modeling paradigm that simulates the trajectories, attributes, and interactions of individual entities—such as distinct passengers—rather than evaluating aggregate traffic flows; within airport operational research, Discrete Event Simulation (DES) serves as the predominant computational framework used to implement these entity-level models."</w:t>
      </w:r>
    </w:p>
    <w:p w14:paraId="0418D3A2" w14:textId="77777777" w:rsidR="00D54FCB" w:rsidRDefault="00000000">
      <w:pPr>
        <w:spacing w:after="120"/>
      </w:pPr>
      <w:r>
        <w:rPr>
          <w:rFonts w:cs="Times New Roman"/>
          <w:b/>
          <w:i/>
        </w:rPr>
        <w:t>Revision B: Operational Barriers to Deep Neural Architectures (Consolidated Single Paragraph, Paragraphs 32–35)</w:t>
      </w:r>
    </w:p>
    <w:p w14:paraId="477BB0EA" w14:textId="77777777" w:rsidR="00D54FCB" w:rsidRDefault="00000000">
      <w:pPr>
        <w:spacing w:after="40"/>
      </w:pPr>
      <w:r>
        <w:rPr>
          <w:rFonts w:cs="Times New Roman"/>
        </w:rPr>
        <w:t>• Fully consolidated paragraph with generalized institutional authority, black-box terminology, and transition to hybrid architectures:</w:t>
      </w:r>
    </w:p>
    <w:p w14:paraId="6F3ECA49" w14:textId="77777777" w:rsidR="00D54FCB" w:rsidRDefault="00000000">
      <w:pPr>
        <w:spacing w:after="120"/>
      </w:pPr>
      <w:r>
        <w:rPr>
          <w:rFonts w:cs="Times New Roman"/>
        </w:rPr>
        <w:t>Despite their theoretical expressiveness, end-to-end deep neural networks face severe operational and administrative barriers that impede their deployment in commercial airport security environments. First, highly parameterized architectures suffer from facility-specific over-specialization, memorizing terminal-specific spatial configurations, local carrier flight bank timings, and idiosyncratic walking distances. In a comprehensive spatial transferability study, Wang et al. (2025) demonstrated that deep neural models suffer acute performance collapse—with prediction error inflating by over 40%—when evaluated zero-shot on unfamiliar facilities, precluding multi-airport deployment without costly, site-specific retraining. Even more critically, these models present a profound "black-box" interpretability hurdle: airport security authorities and terminal operations planners operate under stringent administrative, regulatory, and budgetary constraints that preclude committing substantial labor allocations or authorizing high-cost staffing adjustments based on opaque, uninterpretable model weights (Adadi &amp; Berrada, 2018; Viaña et al., 2024). When an algorithm forecasts an unexpected passenger surge, operational leadership requires defensible, rule-based explanations grounded in published flight schedules and upstream airside delays before reallocating critical screening personnel. This operational necessity—demanding both empirical predictive flexibility and auditable, schedule-grounded transparency—reveals the fundamental inadequacy of unconstrained deep learning and establishes the imperative for hybrid architectures that anchor machine-learned adjustments to first-principles physical baselines.</w:t>
      </w:r>
    </w:p>
    <w:p w14:paraId="56E34515" w14:textId="77777777" w:rsidR="00D54FCB" w:rsidRDefault="00000000">
      <w:pPr>
        <w:spacing w:after="120"/>
      </w:pPr>
      <w:r>
        <w:rPr>
          <w:rFonts w:cs="Times New Roman"/>
          <w:b/>
          <w:i/>
        </w:rPr>
        <w:t>Revision C: Rewording 'First-Principles' (Paragraph 40)</w:t>
      </w:r>
    </w:p>
    <w:p w14:paraId="67DE2C7D" w14:textId="77777777" w:rsidR="00D54FCB" w:rsidRDefault="00000000">
      <w:pPr>
        <w:spacing w:after="120"/>
      </w:pPr>
      <w:r>
        <w:rPr>
          <w:rFonts w:cs="Times New Roman"/>
        </w:rPr>
        <w:lastRenderedPageBreak/>
        <w:t>"To resolve the tension between the domain transparency of analytical queuing models and the non-linear predictive flexibility of machine learning, transportation researchers have converged toward hybrid architectures (Brun et al., 2025; Had et al., 2025; Jenčová et al., 2025)."</w:t>
      </w:r>
    </w:p>
    <w:p w14:paraId="515DACE6" w14:textId="77777777" w:rsidR="00D54FCB" w:rsidRDefault="00000000">
      <w:pPr>
        <w:spacing w:after="120"/>
      </w:pPr>
      <w:r>
        <w:rPr>
          <w:rFonts w:cs="Times New Roman"/>
          <w:b/>
          <w:i/>
        </w:rPr>
        <w:t>Revision D: Rewording 'Empirical Lognormal Curve' (Paragraph 42)</w:t>
      </w:r>
    </w:p>
    <w:p w14:paraId="11BEC634" w14:textId="77777777" w:rsidR="00D54FCB" w:rsidRDefault="00000000">
      <w:pPr>
        <w:spacing w:after="240"/>
      </w:pPr>
      <w:r>
        <w:rPr>
          <w:rFonts w:cs="Times New Roman"/>
        </w:rPr>
        <w:t>"...establishes that commercial passenger arrival distributions follow an empirically fitted lognormal distribution, with peak passenger arrivals concentrating between 90 and 120 minutes prior to scheduled domestic departures."</w:t>
      </w:r>
    </w:p>
    <w:p w14:paraId="5EC679C7" w14:textId="77777777" w:rsidR="00D54FCB" w:rsidRDefault="00000000">
      <w:pPr>
        <w:spacing w:before="200" w:after="80"/>
      </w:pPr>
      <w:r>
        <w:rPr>
          <w:rFonts w:cs="Times New Roman"/>
          <w:b/>
        </w:rPr>
        <w:t>2. Chapter III Revisions (Methodology)</w:t>
      </w:r>
    </w:p>
    <w:p w14:paraId="7F3AACAB" w14:textId="77777777" w:rsidR="00D54FCB" w:rsidRDefault="00000000">
      <w:pPr>
        <w:spacing w:after="120"/>
      </w:pPr>
      <w:r>
        <w:rPr>
          <w:rFonts w:cs="Times New Roman"/>
          <w:b/>
          <w:i/>
        </w:rPr>
        <w:t>Revision E: Phase 4 Heading Parallel Structure (Paragraph 77)</w:t>
      </w:r>
    </w:p>
    <w:p w14:paraId="08FF131C" w14:textId="77777777" w:rsidR="00D54FCB" w:rsidRDefault="00000000">
      <w:pPr>
        <w:spacing w:after="120"/>
      </w:pPr>
      <w:r>
        <w:rPr>
          <w:rFonts w:cs="Times New Roman"/>
        </w:rPr>
        <w:t>• Replaced Heading: 'Phase 4: Factorial Cohort (Carrier-Archetype Matrix Balance):' (resolves duplicate 'Factorial' stutter and aligns with Phases 1–3).</w:t>
      </w:r>
    </w:p>
    <w:p w14:paraId="3C8CDDBB" w14:textId="77777777" w:rsidR="00D54FCB" w:rsidRDefault="00000000">
      <w:pPr>
        <w:spacing w:after="120"/>
      </w:pPr>
      <w:r>
        <w:rPr>
          <w:rFonts w:cs="Times New Roman"/>
          <w:b/>
          <w:i/>
        </w:rPr>
        <w:t>Revision F: Academic Substitutions for 'Airport Universe'</w:t>
      </w:r>
    </w:p>
    <w:p w14:paraId="0323307F" w14:textId="77777777" w:rsidR="00D54FCB" w:rsidRDefault="00000000">
      <w:pPr>
        <w:spacing w:after="40"/>
      </w:pPr>
      <w:r>
        <w:rPr>
          <w:rFonts w:cs="Times New Roman"/>
        </w:rPr>
        <w:t>• Filtering context (450+ airports): Use 'national candidate pool' or 'national sampling frame'.</w:t>
      </w:r>
    </w:p>
    <w:p w14:paraId="78081847" w14:textId="77777777" w:rsidR="00D54FCB" w:rsidRDefault="00000000">
      <w:pPr>
        <w:spacing w:after="240"/>
      </w:pPr>
      <w:r>
        <w:rPr>
          <w:rFonts w:cs="Times New Roman"/>
        </w:rPr>
        <w:t>• Evaluation context (Top 25 comparison): Use 'Top 25 benchmark population' or 'national airport network'.</w:t>
      </w:r>
    </w:p>
    <w:p w14:paraId="69985913" w14:textId="77777777" w:rsidR="00D54FCB" w:rsidRDefault="00000000">
      <w:pPr>
        <w:spacing w:before="200" w:after="80"/>
      </w:pPr>
      <w:r>
        <w:rPr>
          <w:rFonts w:cs="Times New Roman"/>
          <w:b/>
        </w:rPr>
        <w:t>3. Chapter IV Revisions (Findings and Discussion)</w:t>
      </w:r>
    </w:p>
    <w:p w14:paraId="149E1349" w14:textId="77777777" w:rsidR="00D54FCB" w:rsidRDefault="00000000">
      <w:pPr>
        <w:spacing w:after="120"/>
      </w:pPr>
      <w:r>
        <w:rPr>
          <w:rFonts w:cs="Times New Roman"/>
          <w:b/>
          <w:i/>
        </w:rPr>
        <w:t>Revision G: Seasonality Dimensions &amp; Eliminating 'Like for Like' (Paragraph 60)</w:t>
      </w:r>
    </w:p>
    <w:p w14:paraId="0F5681C8" w14:textId="77777777" w:rsidR="00D54FCB" w:rsidRDefault="00000000">
      <w:pPr>
        <w:spacing w:after="120"/>
      </w:pPr>
      <w:r>
        <w:rPr>
          <w:rFonts w:cs="Times New Roman"/>
        </w:rPr>
        <w:t>Just as temporal boundaries must be established across the Top 25 network, defining seasonality requires capturing the full empirical variance of nationwide commercial aviation. Aviation seasonality operates along three coupled dimensions: annual seasonal volatility regimes, day-of-week demand archetypes, and diurnal non-consecutive dual turbulence peaks (see Appendix C, including Table 4.3b for annual regimes and Table 4.4a for day-of-week archetypes). Formally defining these dimensions enables predictive models to control for cyclical variance, ensuring that model architectures are benchmarked across equivalent operational conditions.</w:t>
      </w:r>
    </w:p>
    <w:p w14:paraId="04BD9A38" w14:textId="77777777" w:rsidR="00D54FCB" w:rsidRDefault="00000000">
      <w:pPr>
        <w:spacing w:after="120"/>
      </w:pPr>
      <w:r>
        <w:rPr>
          <w:rFonts w:cs="Times New Roman"/>
          <w:b/>
          <w:i/>
        </w:rPr>
        <w:t>Revision H: Checkpoint Volatility Staffing Buffer (Concise Synthesis)</w:t>
      </w:r>
    </w:p>
    <w:p w14:paraId="78D21189" w14:textId="77777777" w:rsidR="00D54FCB" w:rsidRDefault="00000000">
      <w:pPr>
        <w:spacing w:after="240"/>
      </w:pPr>
      <w:r>
        <w:rPr>
          <w:rFonts w:cs="Times New Roman"/>
        </w:rPr>
        <w:t>Traditional airport models staff security lanes based on average passenger volume—a practice that guarantees severe backlogs during departure peaks because queuing delays scale non-linearly. Incorporating predicted arrival volatility into dynamic, risk-adjusted staffing buffers allows checkpoints to absorb sudden demand spikes without causing costly overstaffing during off-peak periods.</w:t>
      </w:r>
    </w:p>
    <w:p w14:paraId="2DF7A1A4" w14:textId="77777777" w:rsidR="00D54FCB" w:rsidRDefault="00000000">
      <w:pPr>
        <w:spacing w:before="240" w:after="40"/>
      </w:pPr>
      <w:r>
        <w:rPr>
          <w:rFonts w:cs="Times New Roman"/>
          <w:b/>
        </w:rPr>
        <w:t>Table R.1</w:t>
      </w:r>
    </w:p>
    <w:p w14:paraId="1000E793" w14:textId="77777777" w:rsidR="00D54FCB" w:rsidRDefault="00000000">
      <w:pPr>
        <w:spacing w:after="120"/>
      </w:pPr>
      <w:r>
        <w:rPr>
          <w:rFonts w:cs="Times New Roman"/>
          <w:i/>
        </w:rPr>
        <w:t>Crosswalk of Thesis Language Revisions and Academic Substitutions</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868"/>
        <w:gridCol w:w="2583"/>
        <w:gridCol w:w="2586"/>
        <w:gridCol w:w="2583"/>
      </w:tblGrid>
      <w:tr w:rsidR="00D54FCB" w14:paraId="1AE79F9F" w14:textId="77777777">
        <w:trPr>
          <w:jc w:val="center"/>
        </w:trPr>
        <w:tc>
          <w:tcPr>
            <w:tcW w:w="1872" w:type="dxa"/>
            <w:tcBorders>
              <w:bottom w:val="single" w:sz="6" w:space="0" w:color="000000"/>
            </w:tcBorders>
            <w:tcMar>
              <w:top w:w="100" w:type="dxa"/>
              <w:left w:w="130" w:type="dxa"/>
              <w:bottom w:w="100" w:type="dxa"/>
              <w:right w:w="130" w:type="dxa"/>
            </w:tcMar>
          </w:tcPr>
          <w:p w14:paraId="0DC0A176" w14:textId="77777777" w:rsidR="00D54FCB" w:rsidRDefault="00000000">
            <w:pPr>
              <w:spacing w:before="40" w:after="40" w:line="252" w:lineRule="auto"/>
            </w:pPr>
            <w:r>
              <w:rPr>
                <w:rFonts w:cs="Times New Roman"/>
                <w:b/>
              </w:rPr>
              <w:t xml:space="preserve">Section / </w:t>
            </w:r>
            <w:r>
              <w:rPr>
                <w:rFonts w:cs="Times New Roman"/>
                <w:b/>
              </w:rPr>
              <w:lastRenderedPageBreak/>
              <w:t>Context</w:t>
            </w:r>
          </w:p>
        </w:tc>
        <w:tc>
          <w:tcPr>
            <w:tcW w:w="2592" w:type="dxa"/>
            <w:tcBorders>
              <w:bottom w:val="single" w:sz="6" w:space="0" w:color="000000"/>
            </w:tcBorders>
            <w:tcMar>
              <w:top w:w="100" w:type="dxa"/>
              <w:left w:w="130" w:type="dxa"/>
              <w:bottom w:w="100" w:type="dxa"/>
              <w:right w:w="130" w:type="dxa"/>
            </w:tcMar>
          </w:tcPr>
          <w:p w14:paraId="31FEE20B" w14:textId="77777777" w:rsidR="00D54FCB" w:rsidRDefault="00000000">
            <w:pPr>
              <w:spacing w:before="40" w:after="40" w:line="252" w:lineRule="auto"/>
            </w:pPr>
            <w:r>
              <w:rPr>
                <w:rFonts w:cs="Times New Roman"/>
                <w:b/>
              </w:rPr>
              <w:lastRenderedPageBreak/>
              <w:t xml:space="preserve">Original Draft </w:t>
            </w:r>
            <w:r>
              <w:rPr>
                <w:rFonts w:cs="Times New Roman"/>
                <w:b/>
              </w:rPr>
              <w:lastRenderedPageBreak/>
              <w:t>Wording</w:t>
            </w:r>
          </w:p>
        </w:tc>
        <w:tc>
          <w:tcPr>
            <w:tcW w:w="2592" w:type="dxa"/>
            <w:tcBorders>
              <w:bottom w:val="single" w:sz="6" w:space="0" w:color="000000"/>
            </w:tcBorders>
            <w:tcMar>
              <w:top w:w="100" w:type="dxa"/>
              <w:left w:w="130" w:type="dxa"/>
              <w:bottom w:w="100" w:type="dxa"/>
              <w:right w:w="130" w:type="dxa"/>
            </w:tcMar>
          </w:tcPr>
          <w:p w14:paraId="1A327FFD" w14:textId="77777777" w:rsidR="00D54FCB" w:rsidRDefault="00000000">
            <w:pPr>
              <w:spacing w:before="40" w:after="40" w:line="252" w:lineRule="auto"/>
            </w:pPr>
            <w:r>
              <w:rPr>
                <w:rFonts w:cs="Times New Roman"/>
                <w:b/>
              </w:rPr>
              <w:lastRenderedPageBreak/>
              <w:t xml:space="preserve">Editorial / </w:t>
            </w:r>
            <w:r>
              <w:rPr>
                <w:rFonts w:cs="Times New Roman"/>
                <w:b/>
              </w:rPr>
              <w:lastRenderedPageBreak/>
              <w:t>Methodological Issue</w:t>
            </w:r>
          </w:p>
        </w:tc>
        <w:tc>
          <w:tcPr>
            <w:tcW w:w="2592" w:type="dxa"/>
            <w:tcBorders>
              <w:bottom w:val="single" w:sz="6" w:space="0" w:color="000000"/>
            </w:tcBorders>
            <w:tcMar>
              <w:top w:w="100" w:type="dxa"/>
              <w:left w:w="130" w:type="dxa"/>
              <w:bottom w:w="100" w:type="dxa"/>
              <w:right w:w="130" w:type="dxa"/>
            </w:tcMar>
          </w:tcPr>
          <w:p w14:paraId="1E64C509" w14:textId="77777777" w:rsidR="00D54FCB" w:rsidRDefault="00000000">
            <w:pPr>
              <w:spacing w:before="40" w:after="40" w:line="252" w:lineRule="auto"/>
            </w:pPr>
            <w:r>
              <w:rPr>
                <w:rFonts w:cs="Times New Roman"/>
                <w:b/>
              </w:rPr>
              <w:lastRenderedPageBreak/>
              <w:t xml:space="preserve">Approved Academic </w:t>
            </w:r>
            <w:r>
              <w:rPr>
                <w:rFonts w:cs="Times New Roman"/>
                <w:b/>
              </w:rPr>
              <w:lastRenderedPageBreak/>
              <w:t>Revision</w:t>
            </w:r>
          </w:p>
        </w:tc>
      </w:tr>
      <w:tr w:rsidR="00D54FCB" w14:paraId="266FCB7E" w14:textId="77777777">
        <w:trPr>
          <w:jc w:val="center"/>
        </w:trPr>
        <w:tc>
          <w:tcPr>
            <w:tcW w:w="1872" w:type="dxa"/>
            <w:tcMar>
              <w:top w:w="100" w:type="dxa"/>
              <w:left w:w="130" w:type="dxa"/>
              <w:bottom w:w="100" w:type="dxa"/>
              <w:right w:w="130" w:type="dxa"/>
            </w:tcMar>
          </w:tcPr>
          <w:p w14:paraId="42E356D3" w14:textId="77777777" w:rsidR="00D54FCB" w:rsidRDefault="00000000">
            <w:pPr>
              <w:spacing w:before="40" w:after="40" w:line="252" w:lineRule="auto"/>
            </w:pPr>
            <w:r>
              <w:rPr>
                <w:rFonts w:cs="Times New Roman"/>
              </w:rPr>
              <w:lastRenderedPageBreak/>
              <w:t>Chp II (Heading)</w:t>
            </w:r>
          </w:p>
        </w:tc>
        <w:tc>
          <w:tcPr>
            <w:tcW w:w="2592" w:type="dxa"/>
            <w:tcMar>
              <w:top w:w="100" w:type="dxa"/>
              <w:left w:w="130" w:type="dxa"/>
              <w:bottom w:w="100" w:type="dxa"/>
              <w:right w:w="130" w:type="dxa"/>
            </w:tcMar>
          </w:tcPr>
          <w:p w14:paraId="2686C21B" w14:textId="77777777" w:rsidR="00D54FCB" w:rsidRDefault="00000000">
            <w:pPr>
              <w:spacing w:before="40" w:after="40" w:line="252" w:lineRule="auto"/>
            </w:pPr>
            <w:r>
              <w:rPr>
                <w:rFonts w:cs="Times New Roman"/>
              </w:rPr>
              <w:t>The Tripartite Operational Breakdown of Micro-Simulation</w:t>
            </w:r>
          </w:p>
        </w:tc>
        <w:tc>
          <w:tcPr>
            <w:tcW w:w="2592" w:type="dxa"/>
            <w:tcMar>
              <w:top w:w="100" w:type="dxa"/>
              <w:left w:w="130" w:type="dxa"/>
              <w:bottom w:w="100" w:type="dxa"/>
              <w:right w:w="130" w:type="dxa"/>
            </w:tcMar>
          </w:tcPr>
          <w:p w14:paraId="1AD15D67" w14:textId="77777777" w:rsidR="00D54FCB" w:rsidRDefault="00000000">
            <w:pPr>
              <w:spacing w:before="40" w:after="40" w:line="252" w:lineRule="auto"/>
            </w:pPr>
            <w:r>
              <w:rPr>
                <w:rFonts w:cs="Times New Roman"/>
              </w:rPr>
              <w:t>Ambiguity of 'breakdown' (decomposition vs. failure); archaic 'tripartite'.</w:t>
            </w:r>
          </w:p>
        </w:tc>
        <w:tc>
          <w:tcPr>
            <w:tcW w:w="2592" w:type="dxa"/>
            <w:tcMar>
              <w:top w:w="100" w:type="dxa"/>
              <w:left w:w="130" w:type="dxa"/>
              <w:bottom w:w="100" w:type="dxa"/>
              <w:right w:w="130" w:type="dxa"/>
            </w:tcMar>
          </w:tcPr>
          <w:p w14:paraId="6CF8F8DB" w14:textId="77777777" w:rsidR="00D54FCB" w:rsidRDefault="00000000">
            <w:pPr>
              <w:spacing w:before="40" w:after="40" w:line="252" w:lineRule="auto"/>
            </w:pPr>
            <w:r>
              <w:rPr>
                <w:rFonts w:cs="Times New Roman"/>
              </w:rPr>
              <w:t>Three Operational Limitations of Micro-Simulation</w:t>
            </w:r>
          </w:p>
        </w:tc>
      </w:tr>
      <w:tr w:rsidR="00D54FCB" w14:paraId="4D6BD3B3" w14:textId="77777777">
        <w:trPr>
          <w:jc w:val="center"/>
        </w:trPr>
        <w:tc>
          <w:tcPr>
            <w:tcW w:w="1872" w:type="dxa"/>
            <w:tcMar>
              <w:top w:w="100" w:type="dxa"/>
              <w:left w:w="130" w:type="dxa"/>
              <w:bottom w:w="100" w:type="dxa"/>
              <w:right w:w="130" w:type="dxa"/>
            </w:tcMar>
          </w:tcPr>
          <w:p w14:paraId="29DE63D6" w14:textId="77777777" w:rsidR="00D54FCB" w:rsidRDefault="00000000">
            <w:pPr>
              <w:spacing w:before="40" w:after="40" w:line="252" w:lineRule="auto"/>
            </w:pPr>
            <w:r>
              <w:rPr>
                <w:rFonts w:cs="Times New Roman"/>
              </w:rPr>
              <w:t>Chp II (DES / Micro)</w:t>
            </w:r>
          </w:p>
        </w:tc>
        <w:tc>
          <w:tcPr>
            <w:tcW w:w="2592" w:type="dxa"/>
            <w:tcMar>
              <w:top w:w="100" w:type="dxa"/>
              <w:left w:w="130" w:type="dxa"/>
              <w:bottom w:w="100" w:type="dxa"/>
              <w:right w:w="130" w:type="dxa"/>
            </w:tcMar>
          </w:tcPr>
          <w:p w14:paraId="53A8D205" w14:textId="77777777" w:rsidR="00D54FCB" w:rsidRDefault="00000000">
            <w:pPr>
              <w:spacing w:before="40" w:after="40" w:line="252" w:lineRule="auto"/>
            </w:pPr>
            <w:r>
              <w:rPr>
                <w:rFonts w:cs="Times New Roman"/>
              </w:rPr>
              <w:t>Undifferentiated use of DES and micro-simulation</w:t>
            </w:r>
          </w:p>
        </w:tc>
        <w:tc>
          <w:tcPr>
            <w:tcW w:w="2592" w:type="dxa"/>
            <w:tcMar>
              <w:top w:w="100" w:type="dxa"/>
              <w:left w:w="130" w:type="dxa"/>
              <w:bottom w:w="100" w:type="dxa"/>
              <w:right w:w="130" w:type="dxa"/>
            </w:tcMar>
          </w:tcPr>
          <w:p w14:paraId="0E8DFC63" w14:textId="77777777" w:rsidR="00D54FCB" w:rsidRDefault="00000000">
            <w:pPr>
              <w:spacing w:before="40" w:after="40" w:line="252" w:lineRule="auto"/>
            </w:pPr>
            <w:r>
              <w:rPr>
                <w:rFonts w:cs="Times New Roman"/>
              </w:rPr>
              <w:t>DES is a computational execution method, not identical to the overarching paradigm.</w:t>
            </w:r>
          </w:p>
        </w:tc>
        <w:tc>
          <w:tcPr>
            <w:tcW w:w="2592" w:type="dxa"/>
            <w:tcMar>
              <w:top w:w="100" w:type="dxa"/>
              <w:left w:w="130" w:type="dxa"/>
              <w:bottom w:w="100" w:type="dxa"/>
              <w:right w:w="130" w:type="dxa"/>
            </w:tcMar>
          </w:tcPr>
          <w:p w14:paraId="78180B06" w14:textId="77777777" w:rsidR="00D54FCB" w:rsidRDefault="00000000">
            <w:pPr>
              <w:spacing w:before="40" w:after="40" w:line="252" w:lineRule="auto"/>
            </w:pPr>
            <w:r>
              <w:rPr>
                <w:rFonts w:cs="Times New Roman"/>
              </w:rPr>
              <w:t>Added formal definition clarifying that DES is the computational engine of passenger microsimulation.</w:t>
            </w:r>
          </w:p>
        </w:tc>
      </w:tr>
      <w:tr w:rsidR="00D54FCB" w14:paraId="59AA722E" w14:textId="77777777">
        <w:trPr>
          <w:jc w:val="center"/>
        </w:trPr>
        <w:tc>
          <w:tcPr>
            <w:tcW w:w="1872" w:type="dxa"/>
            <w:tcMar>
              <w:top w:w="100" w:type="dxa"/>
              <w:left w:w="130" w:type="dxa"/>
              <w:bottom w:w="100" w:type="dxa"/>
              <w:right w:w="130" w:type="dxa"/>
            </w:tcMar>
          </w:tcPr>
          <w:p w14:paraId="3CA550DF" w14:textId="77777777" w:rsidR="00D54FCB" w:rsidRDefault="00000000">
            <w:pPr>
              <w:spacing w:before="40" w:after="40" w:line="252" w:lineRule="auto"/>
            </w:pPr>
            <w:r>
              <w:rPr>
                <w:rFonts w:cs="Times New Roman"/>
              </w:rPr>
              <w:t>Chp II (Deep Learning)</w:t>
            </w:r>
          </w:p>
        </w:tc>
        <w:tc>
          <w:tcPr>
            <w:tcW w:w="2592" w:type="dxa"/>
            <w:tcMar>
              <w:top w:w="100" w:type="dxa"/>
              <w:left w:w="130" w:type="dxa"/>
              <w:bottom w:w="100" w:type="dxa"/>
              <w:right w:w="130" w:type="dxa"/>
            </w:tcMar>
          </w:tcPr>
          <w:p w14:paraId="2D1C427F" w14:textId="77777777" w:rsidR="00D54FCB" w:rsidRDefault="00000000">
            <w:pPr>
              <w:spacing w:before="40" w:after="40" w:line="252" w:lineRule="auto"/>
            </w:pPr>
            <w:r>
              <w:rPr>
                <w:rFonts w:cs="Times New Roman"/>
              </w:rPr>
              <w:t>Fragmented bullet lists; specific FSD/TSA dollar mandates.</w:t>
            </w:r>
          </w:p>
        </w:tc>
        <w:tc>
          <w:tcPr>
            <w:tcW w:w="2592" w:type="dxa"/>
            <w:tcMar>
              <w:top w:w="100" w:type="dxa"/>
              <w:left w:w="130" w:type="dxa"/>
              <w:bottom w:w="100" w:type="dxa"/>
              <w:right w:w="130" w:type="dxa"/>
            </w:tcMar>
          </w:tcPr>
          <w:p w14:paraId="302FC08E" w14:textId="77777777" w:rsidR="00D54FCB" w:rsidRDefault="00000000">
            <w:pPr>
              <w:spacing w:before="40" w:after="40" w:line="252" w:lineRule="auto"/>
            </w:pPr>
            <w:r>
              <w:rPr>
                <w:rFonts w:cs="Times New Roman"/>
              </w:rPr>
              <w:t>Disjointed syntax; overly narrow US-specific agency titles.</w:t>
            </w:r>
          </w:p>
        </w:tc>
        <w:tc>
          <w:tcPr>
            <w:tcW w:w="2592" w:type="dxa"/>
            <w:tcMar>
              <w:top w:w="100" w:type="dxa"/>
              <w:left w:w="130" w:type="dxa"/>
              <w:bottom w:w="100" w:type="dxa"/>
              <w:right w:w="130" w:type="dxa"/>
            </w:tcMar>
          </w:tcPr>
          <w:p w14:paraId="32FAC6D4" w14:textId="77777777" w:rsidR="00D54FCB" w:rsidRDefault="00000000">
            <w:pPr>
              <w:spacing w:before="40" w:after="40" w:line="252" w:lineRule="auto"/>
            </w:pPr>
            <w:r>
              <w:rPr>
                <w:rFonts w:cs="Times New Roman"/>
              </w:rPr>
              <w:t>Consolidated into a single unified paragraph with generalized administrative authorities.</w:t>
            </w:r>
          </w:p>
        </w:tc>
      </w:tr>
      <w:tr w:rsidR="00D54FCB" w14:paraId="379C8EF3" w14:textId="77777777">
        <w:trPr>
          <w:jc w:val="center"/>
        </w:trPr>
        <w:tc>
          <w:tcPr>
            <w:tcW w:w="1872" w:type="dxa"/>
            <w:tcMar>
              <w:top w:w="100" w:type="dxa"/>
              <w:left w:w="130" w:type="dxa"/>
              <w:bottom w:w="100" w:type="dxa"/>
              <w:right w:w="130" w:type="dxa"/>
            </w:tcMar>
          </w:tcPr>
          <w:p w14:paraId="7AEB2D44" w14:textId="77777777" w:rsidR="00D54FCB" w:rsidRDefault="00000000">
            <w:pPr>
              <w:spacing w:before="40" w:after="40" w:line="252" w:lineRule="auto"/>
            </w:pPr>
            <w:r>
              <w:rPr>
                <w:rFonts w:cs="Times New Roman"/>
              </w:rPr>
              <w:t>Chp II (Queuing)</w:t>
            </w:r>
          </w:p>
        </w:tc>
        <w:tc>
          <w:tcPr>
            <w:tcW w:w="2592" w:type="dxa"/>
            <w:tcMar>
              <w:top w:w="100" w:type="dxa"/>
              <w:left w:w="130" w:type="dxa"/>
              <w:bottom w:w="100" w:type="dxa"/>
              <w:right w:w="130" w:type="dxa"/>
            </w:tcMar>
          </w:tcPr>
          <w:p w14:paraId="2B3492C0" w14:textId="77777777" w:rsidR="00D54FCB" w:rsidRDefault="00000000">
            <w:pPr>
              <w:spacing w:before="40" w:after="40" w:line="252" w:lineRule="auto"/>
            </w:pPr>
            <w:r>
              <w:rPr>
                <w:rFonts w:cs="Times New Roman"/>
              </w:rPr>
              <w:t>first-principles queuing models</w:t>
            </w:r>
          </w:p>
        </w:tc>
        <w:tc>
          <w:tcPr>
            <w:tcW w:w="2592" w:type="dxa"/>
            <w:tcMar>
              <w:top w:w="100" w:type="dxa"/>
              <w:left w:w="130" w:type="dxa"/>
              <w:bottom w:w="100" w:type="dxa"/>
              <w:right w:w="130" w:type="dxa"/>
            </w:tcMar>
          </w:tcPr>
          <w:p w14:paraId="1AEE8BC5" w14:textId="77777777" w:rsidR="00D54FCB" w:rsidRDefault="00000000">
            <w:pPr>
              <w:spacing w:before="40" w:after="40" w:line="252" w:lineRule="auto"/>
            </w:pPr>
            <w:r>
              <w:rPr>
                <w:rFonts w:cs="Times New Roman"/>
              </w:rPr>
              <w:t>'First-principles' is physics terminology debated in queueing theory.</w:t>
            </w:r>
          </w:p>
        </w:tc>
        <w:tc>
          <w:tcPr>
            <w:tcW w:w="2592" w:type="dxa"/>
            <w:tcMar>
              <w:top w:w="100" w:type="dxa"/>
              <w:left w:w="130" w:type="dxa"/>
              <w:bottom w:w="100" w:type="dxa"/>
              <w:right w:w="130" w:type="dxa"/>
            </w:tcMar>
          </w:tcPr>
          <w:p w14:paraId="4C74CB00" w14:textId="77777777" w:rsidR="00D54FCB" w:rsidRDefault="00000000">
            <w:pPr>
              <w:spacing w:before="40" w:after="40" w:line="252" w:lineRule="auto"/>
            </w:pPr>
            <w:r>
              <w:rPr>
                <w:rFonts w:cs="Times New Roman"/>
              </w:rPr>
              <w:t>analytical queuing models (or classical queuing models)</w:t>
            </w:r>
          </w:p>
        </w:tc>
      </w:tr>
      <w:tr w:rsidR="00D54FCB" w14:paraId="7DFAD865" w14:textId="77777777">
        <w:trPr>
          <w:jc w:val="center"/>
        </w:trPr>
        <w:tc>
          <w:tcPr>
            <w:tcW w:w="1872" w:type="dxa"/>
            <w:tcMar>
              <w:top w:w="100" w:type="dxa"/>
              <w:left w:w="130" w:type="dxa"/>
              <w:bottom w:w="100" w:type="dxa"/>
              <w:right w:w="130" w:type="dxa"/>
            </w:tcMar>
          </w:tcPr>
          <w:p w14:paraId="0C24D2DA" w14:textId="77777777" w:rsidR="00D54FCB" w:rsidRDefault="00000000">
            <w:pPr>
              <w:spacing w:before="40" w:after="40" w:line="252" w:lineRule="auto"/>
            </w:pPr>
            <w:r>
              <w:rPr>
                <w:rFonts w:cs="Times New Roman"/>
              </w:rPr>
              <w:t>Chp II (ACRP 40)</w:t>
            </w:r>
          </w:p>
        </w:tc>
        <w:tc>
          <w:tcPr>
            <w:tcW w:w="2592" w:type="dxa"/>
            <w:tcMar>
              <w:top w:w="100" w:type="dxa"/>
              <w:left w:w="130" w:type="dxa"/>
              <w:bottom w:w="100" w:type="dxa"/>
              <w:right w:w="130" w:type="dxa"/>
            </w:tcMar>
          </w:tcPr>
          <w:p w14:paraId="7BB9AF1D" w14:textId="77777777" w:rsidR="00D54FCB" w:rsidRDefault="00000000">
            <w:pPr>
              <w:spacing w:before="40" w:after="40" w:line="252" w:lineRule="auto"/>
            </w:pPr>
            <w:r>
              <w:rPr>
                <w:rFonts w:cs="Times New Roman"/>
              </w:rPr>
              <w:t>empirical lognormal curve</w:t>
            </w:r>
          </w:p>
        </w:tc>
        <w:tc>
          <w:tcPr>
            <w:tcW w:w="2592" w:type="dxa"/>
            <w:tcMar>
              <w:top w:w="100" w:type="dxa"/>
              <w:left w:w="130" w:type="dxa"/>
              <w:bottom w:w="100" w:type="dxa"/>
              <w:right w:w="130" w:type="dxa"/>
            </w:tcMar>
          </w:tcPr>
          <w:p w14:paraId="1D7FD509" w14:textId="77777777" w:rsidR="00D54FCB" w:rsidRDefault="00000000">
            <w:pPr>
              <w:spacing w:before="40" w:after="40" w:line="252" w:lineRule="auto"/>
            </w:pPr>
            <w:r>
              <w:rPr>
                <w:rFonts w:cs="Times New Roman"/>
              </w:rPr>
              <w:t>'Curve' is informal/graphical; lognormal is a parametric distribution.</w:t>
            </w:r>
          </w:p>
        </w:tc>
        <w:tc>
          <w:tcPr>
            <w:tcW w:w="2592" w:type="dxa"/>
            <w:tcMar>
              <w:top w:w="100" w:type="dxa"/>
              <w:left w:w="130" w:type="dxa"/>
              <w:bottom w:w="100" w:type="dxa"/>
              <w:right w:w="130" w:type="dxa"/>
            </w:tcMar>
          </w:tcPr>
          <w:p w14:paraId="4C1C8A84" w14:textId="77777777" w:rsidR="00D54FCB" w:rsidRDefault="00000000">
            <w:pPr>
              <w:spacing w:before="40" w:after="40" w:line="252" w:lineRule="auto"/>
            </w:pPr>
            <w:r>
              <w:rPr>
                <w:rFonts w:cs="Times New Roman"/>
              </w:rPr>
              <w:t>empirically fitted lognormal distribution</w:t>
            </w:r>
          </w:p>
        </w:tc>
      </w:tr>
      <w:tr w:rsidR="00D54FCB" w14:paraId="0E6C7B6A" w14:textId="77777777">
        <w:trPr>
          <w:jc w:val="center"/>
        </w:trPr>
        <w:tc>
          <w:tcPr>
            <w:tcW w:w="1872" w:type="dxa"/>
            <w:tcMar>
              <w:top w:w="100" w:type="dxa"/>
              <w:left w:w="130" w:type="dxa"/>
              <w:bottom w:w="100" w:type="dxa"/>
              <w:right w:w="130" w:type="dxa"/>
            </w:tcMar>
          </w:tcPr>
          <w:p w14:paraId="1B4C90DB" w14:textId="77777777" w:rsidR="00D54FCB" w:rsidRDefault="00000000">
            <w:pPr>
              <w:spacing w:before="40" w:after="40" w:line="252" w:lineRule="auto"/>
            </w:pPr>
            <w:r>
              <w:rPr>
                <w:rFonts w:cs="Times New Roman"/>
              </w:rPr>
              <w:t>Chp III / IV (Phase 4)</w:t>
            </w:r>
          </w:p>
        </w:tc>
        <w:tc>
          <w:tcPr>
            <w:tcW w:w="2592" w:type="dxa"/>
            <w:tcMar>
              <w:top w:w="100" w:type="dxa"/>
              <w:left w:w="130" w:type="dxa"/>
              <w:bottom w:w="100" w:type="dxa"/>
              <w:right w:w="130" w:type="dxa"/>
            </w:tcMar>
          </w:tcPr>
          <w:p w14:paraId="635DE644" w14:textId="77777777" w:rsidR="00D54FCB" w:rsidRDefault="00000000">
            <w:pPr>
              <w:spacing w:before="40" w:after="40" w:line="252" w:lineRule="auto"/>
            </w:pPr>
            <w:r>
              <w:rPr>
                <w:rFonts w:cs="Times New Roman"/>
              </w:rPr>
              <w:t>Phase 4: Factorial Cohort (Factorial Matrix Balance):</w:t>
            </w:r>
          </w:p>
        </w:tc>
        <w:tc>
          <w:tcPr>
            <w:tcW w:w="2592" w:type="dxa"/>
            <w:tcMar>
              <w:top w:w="100" w:type="dxa"/>
              <w:left w:w="130" w:type="dxa"/>
              <w:bottom w:w="100" w:type="dxa"/>
              <w:right w:w="130" w:type="dxa"/>
            </w:tcMar>
          </w:tcPr>
          <w:p w14:paraId="2457AE33" w14:textId="77777777" w:rsidR="00D54FCB" w:rsidRDefault="00000000">
            <w:pPr>
              <w:spacing w:before="40" w:after="40" w:line="252" w:lineRule="auto"/>
            </w:pPr>
            <w:r>
              <w:rPr>
                <w:rFonts w:cs="Times New Roman"/>
              </w:rPr>
              <w:t>Duplicate 'Factorial' stutter; breaks parallel syntax of Phases 1–3.</w:t>
            </w:r>
          </w:p>
        </w:tc>
        <w:tc>
          <w:tcPr>
            <w:tcW w:w="2592" w:type="dxa"/>
            <w:tcMar>
              <w:top w:w="100" w:type="dxa"/>
              <w:left w:w="130" w:type="dxa"/>
              <w:bottom w:w="100" w:type="dxa"/>
              <w:right w:w="130" w:type="dxa"/>
            </w:tcMar>
          </w:tcPr>
          <w:p w14:paraId="52C298CB" w14:textId="77777777" w:rsidR="00D54FCB" w:rsidRDefault="00000000">
            <w:pPr>
              <w:spacing w:before="40" w:after="40" w:line="252" w:lineRule="auto"/>
            </w:pPr>
            <w:r>
              <w:rPr>
                <w:rFonts w:cs="Times New Roman"/>
              </w:rPr>
              <w:t>Phase 4: Factorial Cohort (Carrier-Archetype Matrix Balance):</w:t>
            </w:r>
          </w:p>
        </w:tc>
      </w:tr>
      <w:tr w:rsidR="00D54FCB" w14:paraId="2264CC96" w14:textId="77777777">
        <w:trPr>
          <w:jc w:val="center"/>
        </w:trPr>
        <w:tc>
          <w:tcPr>
            <w:tcW w:w="1872" w:type="dxa"/>
            <w:tcMar>
              <w:top w:w="100" w:type="dxa"/>
              <w:left w:w="130" w:type="dxa"/>
              <w:bottom w:w="100" w:type="dxa"/>
              <w:right w:w="130" w:type="dxa"/>
            </w:tcMar>
          </w:tcPr>
          <w:p w14:paraId="72C758E9" w14:textId="77777777" w:rsidR="00D54FCB" w:rsidRDefault="00000000">
            <w:pPr>
              <w:spacing w:before="40" w:after="40" w:line="252" w:lineRule="auto"/>
            </w:pPr>
            <w:r>
              <w:rPr>
                <w:rFonts w:cs="Times New Roman"/>
              </w:rPr>
              <w:t>Chp III / IV (Sampling)</w:t>
            </w:r>
          </w:p>
        </w:tc>
        <w:tc>
          <w:tcPr>
            <w:tcW w:w="2592" w:type="dxa"/>
            <w:tcMar>
              <w:top w:w="100" w:type="dxa"/>
              <w:left w:w="130" w:type="dxa"/>
              <w:bottom w:w="100" w:type="dxa"/>
              <w:right w:w="130" w:type="dxa"/>
            </w:tcMar>
          </w:tcPr>
          <w:p w14:paraId="64AAE6D1" w14:textId="77777777" w:rsidR="00D54FCB" w:rsidRDefault="00000000">
            <w:pPr>
              <w:spacing w:before="40" w:after="40" w:line="252" w:lineRule="auto"/>
            </w:pPr>
            <w:r>
              <w:rPr>
                <w:rFonts w:cs="Times New Roman"/>
              </w:rPr>
              <w:t>airport universe / nationwide universe</w:t>
            </w:r>
          </w:p>
        </w:tc>
        <w:tc>
          <w:tcPr>
            <w:tcW w:w="2592" w:type="dxa"/>
            <w:tcMar>
              <w:top w:w="100" w:type="dxa"/>
              <w:left w:w="130" w:type="dxa"/>
              <w:bottom w:w="100" w:type="dxa"/>
              <w:right w:w="130" w:type="dxa"/>
            </w:tcMar>
          </w:tcPr>
          <w:p w14:paraId="0B65C9A7" w14:textId="77777777" w:rsidR="00D54FCB" w:rsidRDefault="00000000">
            <w:pPr>
              <w:spacing w:before="40" w:after="40" w:line="252" w:lineRule="auto"/>
            </w:pPr>
            <w:r>
              <w:rPr>
                <w:rFonts w:cs="Times New Roman"/>
              </w:rPr>
              <w:t>'Universe' sounds colloquial or overly broad in empirical methodology.</w:t>
            </w:r>
          </w:p>
        </w:tc>
        <w:tc>
          <w:tcPr>
            <w:tcW w:w="2592" w:type="dxa"/>
            <w:tcMar>
              <w:top w:w="100" w:type="dxa"/>
              <w:left w:w="130" w:type="dxa"/>
              <w:bottom w:w="100" w:type="dxa"/>
              <w:right w:w="130" w:type="dxa"/>
            </w:tcMar>
          </w:tcPr>
          <w:p w14:paraId="5AF5CA75" w14:textId="77777777" w:rsidR="00D54FCB" w:rsidRDefault="00000000">
            <w:pPr>
              <w:spacing w:before="40" w:after="40" w:line="252" w:lineRule="auto"/>
            </w:pPr>
            <w:r>
              <w:rPr>
                <w:rFonts w:cs="Times New Roman"/>
              </w:rPr>
              <w:t>sampling frame / candidate pool / target population / benchmark population</w:t>
            </w:r>
          </w:p>
        </w:tc>
      </w:tr>
      <w:tr w:rsidR="00D54FCB" w14:paraId="1C971A2F" w14:textId="77777777">
        <w:trPr>
          <w:jc w:val="center"/>
        </w:trPr>
        <w:tc>
          <w:tcPr>
            <w:tcW w:w="1872" w:type="dxa"/>
            <w:tcMar>
              <w:top w:w="100" w:type="dxa"/>
              <w:left w:w="130" w:type="dxa"/>
              <w:bottom w:w="100" w:type="dxa"/>
              <w:right w:w="130" w:type="dxa"/>
            </w:tcMar>
          </w:tcPr>
          <w:p w14:paraId="1009676B" w14:textId="77777777" w:rsidR="00D54FCB" w:rsidRDefault="00000000">
            <w:pPr>
              <w:spacing w:before="40" w:after="40" w:line="252" w:lineRule="auto"/>
            </w:pPr>
            <w:r>
              <w:rPr>
                <w:rFonts w:cs="Times New Roman"/>
              </w:rPr>
              <w:t>Chp IV (Seasonality)</w:t>
            </w:r>
          </w:p>
        </w:tc>
        <w:tc>
          <w:tcPr>
            <w:tcW w:w="2592" w:type="dxa"/>
            <w:tcMar>
              <w:top w:w="100" w:type="dxa"/>
              <w:left w:w="130" w:type="dxa"/>
              <w:bottom w:w="100" w:type="dxa"/>
              <w:right w:w="130" w:type="dxa"/>
            </w:tcMar>
          </w:tcPr>
          <w:p w14:paraId="53D12DF1" w14:textId="77777777" w:rsidR="00D54FCB" w:rsidRDefault="00000000">
            <w:pPr>
              <w:spacing w:before="40" w:after="40" w:line="252" w:lineRule="auto"/>
            </w:pPr>
            <w:r>
              <w:rPr>
                <w:rFonts w:cs="Times New Roman"/>
              </w:rPr>
              <w:t>so like for like is being compared</w:t>
            </w:r>
          </w:p>
        </w:tc>
        <w:tc>
          <w:tcPr>
            <w:tcW w:w="2592" w:type="dxa"/>
            <w:tcMar>
              <w:top w:w="100" w:type="dxa"/>
              <w:left w:w="130" w:type="dxa"/>
              <w:bottom w:w="100" w:type="dxa"/>
              <w:right w:w="130" w:type="dxa"/>
            </w:tcMar>
          </w:tcPr>
          <w:p w14:paraId="1ADC47A0" w14:textId="77777777" w:rsidR="00D54FCB" w:rsidRDefault="00000000">
            <w:pPr>
              <w:spacing w:before="40" w:after="40" w:line="252" w:lineRule="auto"/>
            </w:pPr>
            <w:r>
              <w:rPr>
                <w:rFonts w:cs="Times New Roman"/>
              </w:rPr>
              <w:t xml:space="preserve">'Like for like' is informal business </w:t>
            </w:r>
            <w:r>
              <w:rPr>
                <w:rFonts w:cs="Times New Roman"/>
              </w:rPr>
              <w:lastRenderedPageBreak/>
              <w:t>idiom.</w:t>
            </w:r>
          </w:p>
        </w:tc>
        <w:tc>
          <w:tcPr>
            <w:tcW w:w="2592" w:type="dxa"/>
            <w:tcMar>
              <w:top w:w="100" w:type="dxa"/>
              <w:left w:w="130" w:type="dxa"/>
              <w:bottom w:w="100" w:type="dxa"/>
              <w:right w:w="130" w:type="dxa"/>
            </w:tcMar>
          </w:tcPr>
          <w:p w14:paraId="0FB48D22" w14:textId="77777777" w:rsidR="00D54FCB" w:rsidRDefault="00000000">
            <w:pPr>
              <w:spacing w:before="40" w:after="40" w:line="252" w:lineRule="auto"/>
            </w:pPr>
            <w:r>
              <w:rPr>
                <w:rFonts w:cs="Times New Roman"/>
              </w:rPr>
              <w:lastRenderedPageBreak/>
              <w:t xml:space="preserve">benchmarked across equivalent operational </w:t>
            </w:r>
            <w:r>
              <w:rPr>
                <w:rFonts w:cs="Times New Roman"/>
              </w:rPr>
              <w:lastRenderedPageBreak/>
              <w:t>conditions</w:t>
            </w:r>
          </w:p>
        </w:tc>
      </w:tr>
      <w:tr w:rsidR="00D54FCB" w14:paraId="72A7999A" w14:textId="77777777">
        <w:trPr>
          <w:jc w:val="center"/>
        </w:trPr>
        <w:tc>
          <w:tcPr>
            <w:tcW w:w="1872" w:type="dxa"/>
            <w:tcMar>
              <w:top w:w="100" w:type="dxa"/>
              <w:left w:w="130" w:type="dxa"/>
              <w:bottom w:w="100" w:type="dxa"/>
              <w:right w:w="130" w:type="dxa"/>
            </w:tcMar>
          </w:tcPr>
          <w:p w14:paraId="6BD445D4" w14:textId="77777777" w:rsidR="00D54FCB" w:rsidRDefault="00000000">
            <w:pPr>
              <w:spacing w:before="40" w:after="40" w:line="252" w:lineRule="auto"/>
            </w:pPr>
            <w:r>
              <w:rPr>
                <w:rFonts w:cs="Times New Roman"/>
              </w:rPr>
              <w:lastRenderedPageBreak/>
              <w:t>Chp IV (Staffing Buffer)</w:t>
            </w:r>
          </w:p>
        </w:tc>
        <w:tc>
          <w:tcPr>
            <w:tcW w:w="2592" w:type="dxa"/>
            <w:tcMar>
              <w:top w:w="100" w:type="dxa"/>
              <w:left w:w="130" w:type="dxa"/>
              <w:bottom w:w="100" w:type="dxa"/>
              <w:right w:w="130" w:type="dxa"/>
            </w:tcMar>
          </w:tcPr>
          <w:p w14:paraId="4987BE2A" w14:textId="77777777" w:rsidR="00D54FCB" w:rsidRDefault="00000000">
            <w:pPr>
              <w:spacing w:before="40" w:after="40" w:line="252" w:lineRule="auto"/>
            </w:pPr>
            <w:r>
              <w:rPr>
                <w:rFonts w:cs="Times New Roman"/>
              </w:rPr>
              <w:t>Wordy 5-sentence passage repeating volatility cushion twice.</w:t>
            </w:r>
          </w:p>
        </w:tc>
        <w:tc>
          <w:tcPr>
            <w:tcW w:w="2592" w:type="dxa"/>
            <w:tcMar>
              <w:top w:w="100" w:type="dxa"/>
              <w:left w:w="130" w:type="dxa"/>
              <w:bottom w:w="100" w:type="dxa"/>
              <w:right w:w="130" w:type="dxa"/>
            </w:tcMar>
          </w:tcPr>
          <w:p w14:paraId="77973D87" w14:textId="77777777" w:rsidR="00D54FCB" w:rsidRDefault="00000000">
            <w:pPr>
              <w:spacing w:before="40" w:after="40" w:line="252" w:lineRule="auto"/>
            </w:pPr>
            <w:r>
              <w:rPr>
                <w:rFonts w:cs="Times New Roman"/>
              </w:rPr>
              <w:t>Redundancy between sentences 3 and 4; verbose explanations.</w:t>
            </w:r>
          </w:p>
        </w:tc>
        <w:tc>
          <w:tcPr>
            <w:tcW w:w="2592" w:type="dxa"/>
            <w:tcMar>
              <w:top w:w="100" w:type="dxa"/>
              <w:left w:w="130" w:type="dxa"/>
              <w:bottom w:w="100" w:type="dxa"/>
              <w:right w:w="130" w:type="dxa"/>
            </w:tcMar>
          </w:tcPr>
          <w:p w14:paraId="00204FF2" w14:textId="77777777" w:rsidR="00D54FCB" w:rsidRDefault="00000000">
            <w:pPr>
              <w:spacing w:before="40" w:after="40" w:line="252" w:lineRule="auto"/>
            </w:pPr>
            <w:r>
              <w:rPr>
                <w:rFonts w:cs="Times New Roman"/>
              </w:rPr>
              <w:t>Streamlined 2-sentence paragraph cutting word count by 49%.</w:t>
            </w:r>
          </w:p>
        </w:tc>
      </w:tr>
      <w:tr w:rsidR="00D54FCB" w14:paraId="776FBF78" w14:textId="77777777">
        <w:trPr>
          <w:jc w:val="center"/>
        </w:trPr>
        <w:tc>
          <w:tcPr>
            <w:tcW w:w="1872" w:type="dxa"/>
            <w:tcMar>
              <w:top w:w="100" w:type="dxa"/>
              <w:left w:w="130" w:type="dxa"/>
              <w:bottom w:w="100" w:type="dxa"/>
              <w:right w:w="130" w:type="dxa"/>
            </w:tcMar>
          </w:tcPr>
          <w:p w14:paraId="22BCACF9" w14:textId="77777777" w:rsidR="00D54FCB" w:rsidRDefault="00000000">
            <w:pPr>
              <w:spacing w:before="40" w:after="40" w:line="252" w:lineRule="auto"/>
            </w:pPr>
            <w:r>
              <w:rPr>
                <w:rFonts w:cs="Times New Roman"/>
              </w:rPr>
              <w:t>Chp IV (Purge Buffer)</w:t>
            </w:r>
          </w:p>
        </w:tc>
        <w:tc>
          <w:tcPr>
            <w:tcW w:w="2592" w:type="dxa"/>
            <w:tcMar>
              <w:top w:w="100" w:type="dxa"/>
              <w:left w:w="130" w:type="dxa"/>
              <w:bottom w:w="100" w:type="dxa"/>
              <w:right w:w="130" w:type="dxa"/>
            </w:tcMar>
          </w:tcPr>
          <w:p w14:paraId="3B449045" w14:textId="77777777" w:rsidR="00D54FCB" w:rsidRDefault="00000000">
            <w:pPr>
              <w:spacing w:before="40" w:after="40" w:line="252" w:lineRule="auto"/>
            </w:pPr>
            <w:r>
              <w:rPr>
                <w:rFonts w:cs="Times New Roman"/>
              </w:rPr>
              <w:t>Unexplained 7-day operational purge buffer.</w:t>
            </w:r>
          </w:p>
        </w:tc>
        <w:tc>
          <w:tcPr>
            <w:tcW w:w="2592" w:type="dxa"/>
            <w:tcMar>
              <w:top w:w="100" w:type="dxa"/>
              <w:left w:w="130" w:type="dxa"/>
              <w:bottom w:w="100" w:type="dxa"/>
              <w:right w:w="130" w:type="dxa"/>
            </w:tcMar>
          </w:tcPr>
          <w:p w14:paraId="505F694D" w14:textId="77777777" w:rsidR="00D54FCB" w:rsidRDefault="00000000">
            <w:pPr>
              <w:spacing w:before="40" w:after="40" w:line="252" w:lineRule="auto"/>
            </w:pPr>
            <w:r>
              <w:rPr>
                <w:rFonts w:cs="Times New Roman"/>
              </w:rPr>
              <w:t>Committee requires justification for why 7-day quarantine prevents leakage.</w:t>
            </w:r>
          </w:p>
        </w:tc>
        <w:tc>
          <w:tcPr>
            <w:tcW w:w="2592" w:type="dxa"/>
            <w:tcMar>
              <w:top w:w="100" w:type="dxa"/>
              <w:left w:w="130" w:type="dxa"/>
              <w:bottom w:w="100" w:type="dxa"/>
              <w:right w:w="130" w:type="dxa"/>
            </w:tcMar>
          </w:tcPr>
          <w:p w14:paraId="77579EB0" w14:textId="77777777" w:rsidR="00D54FCB" w:rsidRDefault="00000000">
            <w:pPr>
              <w:spacing w:before="40" w:after="40" w:line="252" w:lineRule="auto"/>
            </w:pPr>
            <w:r>
              <w:rPr>
                <w:rFonts w:cs="Times New Roman"/>
              </w:rPr>
              <w:t>Added comprehensive paragraph on severing 168-hour autoregressive memory.</w:t>
            </w:r>
          </w:p>
        </w:tc>
      </w:tr>
    </w:tbl>
    <w:p w14:paraId="15115043" w14:textId="77777777" w:rsidR="00D54FCB" w:rsidRDefault="00000000">
      <w:pPr>
        <w:spacing w:before="80" w:after="240"/>
      </w:pPr>
      <w:r>
        <w:rPr>
          <w:i/>
        </w:rPr>
        <w:t xml:space="preserve">Note. </w:t>
      </w:r>
      <w:r>
        <w:t>All revisions strictly adhere to APA 7th edition formatting and maintain methodological consistency across Chapters II, III, and IV.</w:t>
      </w:r>
    </w:p>
    <w:sectPr w:rsidR="00D54FC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6371233">
    <w:abstractNumId w:val="8"/>
  </w:num>
  <w:num w:numId="2" w16cid:durableId="726421217">
    <w:abstractNumId w:val="6"/>
  </w:num>
  <w:num w:numId="3" w16cid:durableId="1253928654">
    <w:abstractNumId w:val="5"/>
  </w:num>
  <w:num w:numId="4" w16cid:durableId="2124836552">
    <w:abstractNumId w:val="4"/>
  </w:num>
  <w:num w:numId="5" w16cid:durableId="2100364990">
    <w:abstractNumId w:val="7"/>
  </w:num>
  <w:num w:numId="6" w16cid:durableId="1297374693">
    <w:abstractNumId w:val="3"/>
  </w:num>
  <w:num w:numId="7" w16cid:durableId="853156987">
    <w:abstractNumId w:val="2"/>
  </w:num>
  <w:num w:numId="8" w16cid:durableId="538052550">
    <w:abstractNumId w:val="1"/>
  </w:num>
  <w:num w:numId="9" w16cid:durableId="11239606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D63"/>
    <w:rsid w:val="00326F90"/>
    <w:rsid w:val="003B7342"/>
    <w:rsid w:val="00840A22"/>
    <w:rsid w:val="00AA1D8D"/>
    <w:rsid w:val="00B47730"/>
    <w:rsid w:val="00CB0664"/>
    <w:rsid w:val="00D54F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3AF1C"/>
  <w14:defaultImageDpi w14:val="300"/>
  <w15:docId w15:val="{8497C58D-7607-AD42-8648-6FFECBE8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Gleich, Leila</cp:lastModifiedBy>
  <cp:revision>2</cp:revision>
  <dcterms:created xsi:type="dcterms:W3CDTF">2013-12-23T23:15:00Z</dcterms:created>
  <dcterms:modified xsi:type="dcterms:W3CDTF">2026-10-11T23:04:00Z</dcterms:modified>
  <cp:category/>
</cp:coreProperties>
</file>