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895BAC" w:rsidRDefault="00FE22FF" w:rsidP="00895BAC">
      <w:pPr>
        <w:contextualSpacing/>
        <w:jc w:val="center"/>
        <w:rPr>
          <w:b/>
          <w:bCs/>
        </w:rPr>
      </w:pPr>
      <w:bookmarkStart w:id="0" w:name="_Toc242174143"/>
      <w:bookmarkStart w:id="1" w:name="_Toc242174795"/>
      <w:r w:rsidRPr="00895BAC">
        <w:rPr>
          <w:b/>
          <w:bCs/>
        </w:rPr>
        <w:t>Chapter IV</w:t>
      </w:r>
      <w:bookmarkEnd w:id="0"/>
      <w:bookmarkEnd w:id="1"/>
    </w:p>
    <w:p w14:paraId="09FB17CC" w14:textId="77777777" w:rsidR="006C1506" w:rsidRPr="006F32B3" w:rsidRDefault="006C1506" w:rsidP="006C1506">
      <w:pPr>
        <w:pStyle w:val="Heading1"/>
      </w:pPr>
      <w:bookmarkStart w:id="2" w:name="_Toc242174145"/>
      <w:bookmarkStart w:id="3" w:name="_Toc242174797"/>
      <w:r>
        <w:t>Findings and Discussion</w:t>
      </w:r>
    </w:p>
    <w:p w14:paraId="301AE07D" w14:textId="1945B564" w:rsidR="00FE22FF" w:rsidRPr="00895BAC" w:rsidRDefault="00FE22FF" w:rsidP="00895BAC">
      <w:pPr>
        <w:ind w:firstLine="720"/>
        <w:contextualSpacing/>
      </w:pPr>
      <w:r w:rsidRPr="00895BAC">
        <w:t>This chapter presents the empirical findings and comparative performance evaluations for modeling the stochastic volatility of airport passenger screening throughput (</w:t>
      </w:r>
      <m:oMath>
        <m:sSub>
          <m:sSubPr>
            <m:ctrlPr>
              <w:rPr>
                <w:rFonts w:ascii="Cambria Math" w:hAnsi="Cambria Math"/>
              </w:rPr>
            </m:ctrlPr>
          </m:sSubPr>
          <m:e>
            <m:r>
              <w:rPr>
                <w:rFonts w:ascii="Cambria Math" w:hAnsi="Cambria Math"/>
              </w:rPr>
              <m:t>σ</m:t>
            </m:r>
          </m:e>
          <m:sub>
            <m:r>
              <m:rPr>
                <m:nor/>
              </m:rPr>
              <m:t>TSA</m:t>
            </m:r>
          </m:sub>
        </m:sSub>
      </m:oMath>
      <w:r w:rsidRPr="00895BAC">
        <w:t> and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xml:space="preserve">). The study evaluates three candidate operational models – Model 1 (Deterministic Flight Schedule Model), Model 2 (Supervised Machine Learning Model), and Model 3 (Dynamic Two-Stage Hybrid Model) – against an empirical Baseline Control across a 2025 holdout dataset. The empirical results reveal that no single forecasting architecture is universally superior across all operational regimes. Instead, models exhibit distinct asymmetric trade-offs. </w:t>
      </w:r>
    </w:p>
    <w:p w14:paraId="1222F1CE" w14:textId="316C9D4F" w:rsidR="00FE22FF" w:rsidRPr="00895BAC" w:rsidRDefault="009F38BB" w:rsidP="009F38BB">
      <w:pPr>
        <w:ind w:firstLine="720"/>
        <w:contextualSpacing/>
        <w:rPr>
          <w:noProof/>
          <w14:ligatures w14:val="standardContextual"/>
        </w:rPr>
      </w:pPr>
      <w:r w:rsidRPr="006F32B3">
        <w:t xml:space="preserve">To systematically present </w:t>
      </w:r>
      <w:r>
        <w:t xml:space="preserve">and discuss </w:t>
      </w:r>
      <w:r w:rsidRPr="006F32B3">
        <w:t xml:space="preserve">these results (see Figure 4.1), </w:t>
      </w:r>
      <w:r w:rsidR="00FE22FF" w:rsidRPr="00895BAC">
        <w:t>this chapter is organized into four sections: Section 4.1 presents the initial exploratory data analysis across the multi-source</w:t>
      </w:r>
      <w:r w:rsidR="00643EC5">
        <w:t xml:space="preserve"> data</w:t>
      </w:r>
      <w:r w:rsidR="00FE22FF" w:rsidRPr="00895BAC">
        <w:t xml:space="preserve"> warehouse; Section 4.2 details the four-tier filtering pipeline that establishe</w:t>
      </w:r>
      <w:r w:rsidR="00643EC5">
        <w:t>s</w:t>
      </w:r>
      <w:r w:rsidR="00FE22FF" w:rsidRPr="00895BAC">
        <w:t xml:space="preserve"> the nine-airport, twelve-complex experimental cohort; Section 4.3 outlines feature engineering, training configurations, and 2025 holdout execution protocols; and Section 4.4 </w:t>
      </w:r>
      <w:r w:rsidR="004A3777">
        <w:t>discusses</w:t>
      </w:r>
      <w:r w:rsidR="00FE22FF" w:rsidRPr="00895BAC">
        <w:t xml:space="preserve"> the comparative model evaluations across robustness, resilience, and generalizability.</w:t>
      </w:r>
      <w:r w:rsidR="00FE22FF" w:rsidRPr="00895BAC">
        <w:rPr>
          <w:noProof/>
          <w14:ligatures w14:val="standardContextual"/>
        </w:rPr>
        <w:t xml:space="preserve"> </w:t>
      </w:r>
    </w:p>
    <w:p w14:paraId="61A32FDE" w14:textId="77777777" w:rsidR="00FE22FF" w:rsidRPr="00895BAC" w:rsidRDefault="00FE22FF" w:rsidP="00895BAC">
      <w:pPr>
        <w:contextualSpacing/>
        <w:jc w:val="center"/>
      </w:pPr>
      <w:r w:rsidRPr="00895BAC">
        <w:rPr>
          <w:noProof/>
        </w:rPr>
        <w:drawing>
          <wp:inline distT="0" distB="0" distL="0" distR="0" wp14:anchorId="135913D6" wp14:editId="30016D5E">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935699" cy="863086"/>
                    </a:xfrm>
                    <a:prstGeom prst="rect">
                      <a:avLst/>
                    </a:prstGeom>
                  </pic:spPr>
                </pic:pic>
              </a:graphicData>
            </a:graphic>
          </wp:inline>
        </w:drawing>
      </w:r>
      <w:r w:rsidRPr="00895BAC">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895BAC">
        <w:t>Figure 4.1</w:t>
      </w:r>
    </w:p>
    <w:p w14:paraId="4C705527" w14:textId="77777777" w:rsidR="00FE22FF" w:rsidRPr="00895BAC" w:rsidRDefault="00FE22FF" w:rsidP="00895BAC">
      <w:pPr>
        <w:pStyle w:val="Heading2"/>
      </w:pPr>
      <w:r w:rsidRPr="00895BAC">
        <w:t>Initial Exploratory Data Analysis</w:t>
      </w:r>
      <w:bookmarkEnd w:id="2"/>
      <w:bookmarkEnd w:id="3"/>
    </w:p>
    <w:p w14:paraId="0C7F9C87" w14:textId="77777777" w:rsidR="00FE22FF" w:rsidRPr="00895BAC" w:rsidRDefault="00FE22FF" w:rsidP="00895BAC">
      <w:pPr>
        <w:pStyle w:val="Heading3"/>
      </w:pPr>
      <w:bookmarkStart w:id="4" w:name="_Toc242174146"/>
      <w:bookmarkStart w:id="5" w:name="_Toc242174798"/>
      <w:r w:rsidRPr="00895BAC">
        <w:t>Descriptive Statistics</w:t>
      </w:r>
      <w:bookmarkEnd w:id="4"/>
      <w:bookmarkEnd w:id="5"/>
    </w:p>
    <w:p w14:paraId="16A494FA" w14:textId="09DA0BB5" w:rsidR="00FE22FF" w:rsidRPr="00895BAC" w:rsidRDefault="00FE22FF" w:rsidP="00895BAC">
      <w:pPr>
        <w:ind w:firstLine="360"/>
        <w:contextualSpacing/>
        <w:rPr>
          <w:b/>
          <w:bCs/>
        </w:rPr>
      </w:pPr>
      <w:r w:rsidRPr="00895BAC">
        <w:t xml:space="preserve">To construct an </w:t>
      </w:r>
      <w:r w:rsidR="00E67902" w:rsidRPr="00895BAC">
        <w:t xml:space="preserve">empirically rigorous predictive modeling architecture that eliminates temporal and feature lookahead leakage </w:t>
      </w:r>
      <w:r w:rsidRPr="00895BAC">
        <w:t xml:space="preserve">for airport passenger security screening demand, this study synthesized multi-source operational records covering the continuous seven-year period </w:t>
      </w:r>
      <w:r w:rsidRPr="00895BAC">
        <w:lastRenderedPageBreak/>
        <w:t xml:space="preserve">from January 1, 2019 to December 31, 2025. The initial upstream repository captured 67.22 million raw </w:t>
      </w:r>
      <w:r w:rsidR="002F6BA1" w:rsidRPr="00895BAC">
        <w:t>operational transaction records a</w:t>
      </w:r>
      <w:r w:rsidRPr="00895BAC">
        <w:t xml:space="preserve">cross TSA checkpoint logs, Bureau of Transportation Statistics (BTS) On-Time Performance (OTP), BTS Form 41 Schedule T-100 Segment data, and BTS DB1B/DB1C ticket coupon surveys </w:t>
      </w:r>
      <w:r w:rsidRPr="0014663D">
        <w:rPr>
          <w:highlight w:val="yellow"/>
        </w:rPr>
        <w:t>(Appendix for details)</w:t>
      </w:r>
      <w:r w:rsidRPr="00895BAC">
        <w:t>.</w:t>
      </w:r>
    </w:p>
    <w:p w14:paraId="42F3FB8F" w14:textId="32AD5BCA" w:rsidR="00FE22FF" w:rsidRPr="00895BAC" w:rsidRDefault="00FE22FF" w:rsidP="00B33A48">
      <w:pPr>
        <w:ind w:firstLine="720"/>
        <w:contextualSpacing/>
      </w:pPr>
      <w:r w:rsidRPr="00895BAC">
        <w:t xml:space="preserve">Following conformed extraction, automated entity resolution, data cleaning, and </w:t>
      </w:r>
      <w:r w:rsidR="00243745" w:rsidRPr="00895BAC">
        <w:t xml:space="preserve">relational synthesis across standardized operational dimensions </w:t>
      </w:r>
      <w:commentRangeStart w:id="6"/>
      <w:r w:rsidR="00243745" w:rsidRPr="00895BAC">
        <w:t xml:space="preserve">(calendar date, departure time block, airfield, operating carrier, fleet aircraft type, and dedicated screening complex), </w:t>
      </w:r>
      <w:commentRangeEnd w:id="6"/>
      <w:r w:rsidR="0014663D" w:rsidRPr="00895BAC">
        <w:rPr>
          <w:rStyle w:val="CommentReference"/>
          <w:sz w:val="24"/>
          <w:szCs w:val="24"/>
        </w:rPr>
        <w:commentReference w:id="6"/>
      </w:r>
      <w:r w:rsidRPr="00895BAC">
        <w:t>the nationwide post-ETL analytical warehouse retains 42,062,039 conformed records across the candidate network of the Top 25 U.S. commercial airfields. Table 4.1 documents the post-ETL data foundation census across all four federal data sources.</w:t>
      </w:r>
      <w:r w:rsidR="00B33A48">
        <w:t xml:space="preserve"> </w:t>
      </w:r>
      <w:r w:rsidR="00B33A48" w:rsidRPr="00895BAC">
        <w:t>Table 4.2 presents the master post-ETL descriptive summary statistics for all primary operational variables across the nationwide Top 25 data repository.</w:t>
      </w:r>
    </w:p>
    <w:p w14:paraId="25067464" w14:textId="34293066" w:rsidR="00FE22FF" w:rsidRPr="00895BAC" w:rsidRDefault="00FE22FF" w:rsidP="00895BAC">
      <w:pPr>
        <w:contextualSpacing/>
        <w:rPr>
          <w:i/>
          <w:iCs/>
          <w:color w:val="000000" w:themeColor="text1"/>
        </w:rPr>
      </w:pPr>
      <w:r w:rsidRPr="00895BAC">
        <w:rPr>
          <w:b/>
          <w:bCs/>
        </w:rPr>
        <w:t>Table 4.1</w:t>
      </w:r>
      <w:r w:rsidRPr="00895BAC">
        <w:br/>
      </w:r>
      <w:r w:rsidRPr="00895BAC">
        <w:rPr>
          <w:rStyle w:val="SubtitleChar"/>
        </w:rPr>
        <w:t>Master Post-ETL Multi-Source Data Foundation Census</w:t>
      </w:r>
      <w:r w:rsidRPr="00895BAC">
        <w:rPr>
          <w:rStyle w:val="SubtitleChar"/>
          <w:i w:val="0"/>
          <w:iCs w:val="0"/>
        </w:rPr>
        <w:t xml:space="preserve"> </w:t>
      </w:r>
    </w:p>
    <w:p w14:paraId="03ABF932" w14:textId="77777777" w:rsidR="00FE22FF" w:rsidRPr="00895BAC" w:rsidRDefault="00FE22FF" w:rsidP="00895BAC">
      <w:pPr>
        <w:contextualSpacing/>
      </w:pPr>
      <w:r w:rsidRPr="00895BAC">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11"/>
                    <a:stretch>
                      <a:fillRect/>
                    </a:stretch>
                  </pic:blipFill>
                  <pic:spPr>
                    <a:xfrm>
                      <a:off x="0" y="0"/>
                      <a:ext cx="5943600" cy="1041992"/>
                    </a:xfrm>
                    <a:prstGeom prst="rect">
                      <a:avLst/>
                    </a:prstGeom>
                  </pic:spPr>
                </pic:pic>
              </a:graphicData>
            </a:graphic>
          </wp:inline>
        </w:drawing>
      </w:r>
    </w:p>
    <w:p w14:paraId="130F570F" w14:textId="77777777" w:rsidR="00FE22FF" w:rsidRPr="00895BAC" w:rsidRDefault="00FE22FF" w:rsidP="00895BAC">
      <w:pPr>
        <w:contextualSpacing/>
      </w:pPr>
      <w:r w:rsidRPr="00895BAC">
        <w:rPr>
          <w:b/>
          <w:bCs/>
        </w:rPr>
        <w:t>Table 4.2</w:t>
      </w:r>
      <w:r w:rsidRPr="00895BAC">
        <w:br/>
      </w:r>
      <w:r w:rsidRPr="00895BAC">
        <w:rPr>
          <w:i/>
          <w:iCs/>
        </w:rPr>
        <w:t>Post-ETL Master Summary Descriptive Statistics (Top 25 Cleaned Data Warehouse)</w:t>
      </w:r>
    </w:p>
    <w:p w14:paraId="4E8BA3CE" w14:textId="77777777" w:rsidR="00FE22FF" w:rsidRDefault="00FE22FF" w:rsidP="00895BAC">
      <w:pPr>
        <w:contextualSpacing/>
        <w:jc w:val="center"/>
      </w:pPr>
      <w:r w:rsidRPr="00895BAC">
        <w:rPr>
          <w:noProof/>
        </w:rPr>
        <w:lastRenderedPageBreak/>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12"/>
                    <a:stretch>
                      <a:fillRect/>
                    </a:stretch>
                  </pic:blipFill>
                  <pic:spPr>
                    <a:xfrm>
                      <a:off x="0" y="0"/>
                      <a:ext cx="4578847" cy="1986412"/>
                    </a:xfrm>
                    <a:prstGeom prst="rect">
                      <a:avLst/>
                    </a:prstGeom>
                  </pic:spPr>
                </pic:pic>
              </a:graphicData>
            </a:graphic>
          </wp:inline>
        </w:drawing>
      </w:r>
    </w:p>
    <w:p w14:paraId="5E17E901" w14:textId="196725F0" w:rsidR="00FE22FF" w:rsidRPr="00895BAC" w:rsidRDefault="009E1C8A" w:rsidP="00310F3F">
      <w:pPr>
        <w:contextualSpacing/>
      </w:pPr>
      <w:r>
        <w:t xml:space="preserve">See </w:t>
      </w:r>
      <w:r w:rsidR="00310F3F">
        <w:t xml:space="preserve">Appendix for a discussion of </w:t>
      </w:r>
      <w:r w:rsidR="00AA540D">
        <w:t>descriptive statistics for post ETL Data</w:t>
      </w:r>
    </w:p>
    <w:p w14:paraId="5652BD07" w14:textId="77777777" w:rsidR="00FE22FF" w:rsidRPr="00895BAC" w:rsidRDefault="00FE22FF" w:rsidP="00895BAC">
      <w:pPr>
        <w:pStyle w:val="Heading3"/>
      </w:pPr>
      <w:bookmarkStart w:id="7" w:name="_Toc242174147"/>
      <w:bookmarkStart w:id="8" w:name="_Toc242174799"/>
      <w:r w:rsidRPr="00895BAC">
        <w:t>Temporal Boundaries</w:t>
      </w:r>
      <w:bookmarkEnd w:id="7"/>
      <w:bookmarkEnd w:id="8"/>
    </w:p>
    <w:p w14:paraId="3F2AA470" w14:textId="77777777" w:rsidR="00FE22FF" w:rsidRPr="00895BAC" w:rsidRDefault="00FE22FF" w:rsidP="00895BAC">
      <w:pPr>
        <w:ind w:firstLine="720"/>
        <w:contextualSpacing/>
        <w:rPr>
          <w:b/>
          <w:bCs/>
        </w:rPr>
      </w:pPr>
      <w:r w:rsidRPr="00895BAC">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65903264" w14:textId="7657425F" w:rsidR="00FE22FF" w:rsidRPr="00895BAC" w:rsidRDefault="00FE22FF" w:rsidP="00895BAC">
      <w:pPr>
        <w:ind w:firstLine="360"/>
        <w:contextualSpacing/>
      </w:pPr>
      <w:bookmarkStart w:id="9" w:name="_Toc242174148"/>
      <w:bookmarkStart w:id="10" w:name="_Toc242174800"/>
      <w:r w:rsidRPr="00895BAC">
        <w:rPr>
          <w:b/>
          <w:bCs/>
        </w:rPr>
        <w:t>Post-Pandemic Regime Selection and Structural Break Analysis</w:t>
      </w:r>
      <w:bookmarkEnd w:id="9"/>
      <w:bookmarkEnd w:id="10"/>
      <w:r w:rsidRPr="00895BAC">
        <w:rPr>
          <w:b/>
          <w:bCs/>
        </w:rPr>
        <w:t xml:space="preserve">. </w:t>
      </w:r>
      <w:r w:rsidR="00A30342" w:rsidRPr="00895BAC">
        <w:t xml:space="preserve">Structural break analysis – combining rolling Welch’s </w:t>
      </w:r>
      <m:oMath>
        <m:r>
          <w:rPr>
            <w:rFonts w:ascii="Cambria Math" w:hAnsi="Cambria Math"/>
          </w:rPr>
          <m:t>t</m:t>
        </m:r>
      </m:oMath>
      <w:r w:rsidR="00A30342" w:rsidRPr="00895BAC">
        <w:t>-tests and Cumulative Sum (CUSUM) trajectory tracking across the Top 25 airfields – 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00A30342" w:rsidRPr="00895BAC">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00A30342" w:rsidRPr="00895BAC">
        <w:t xml:space="preserve">); and the establishment of a clean 32-month development </w:t>
      </w:r>
      <w:r w:rsidR="00A30342" w:rsidRPr="00895BAC">
        <w:lastRenderedPageBreak/>
        <w:t xml:space="preserve">baseline. </w:t>
      </w:r>
      <w:commentRangeStart w:id="11"/>
      <w:r w:rsidR="00A30342" w:rsidRPr="00895BAC">
        <w:t>This development window was partitioned into a 20-month training window (May 1, 2022 – December 31, 2023), a 12-month validation window (January 1, 2024 – December 31, 2024), and an untouched 12-month out-of-time holdout test set (January 1, 2025 – December 31, 2025), separated by a 7-day operational purge buffer to prevent multi-day delay cascades from leaking across partition boundaries.</w:t>
      </w:r>
      <w:r w:rsidR="00A30342" w:rsidRPr="00895BAC">
        <w:rPr>
          <w:b/>
          <w:bCs/>
        </w:rPr>
        <w:t xml:space="preserve"> </w:t>
      </w:r>
      <w:commentRangeEnd w:id="11"/>
      <w:r w:rsidR="00947D65" w:rsidRPr="00895BAC">
        <w:rPr>
          <w:rStyle w:val="CommentReference"/>
          <w:sz w:val="24"/>
          <w:szCs w:val="24"/>
        </w:rPr>
        <w:commentReference w:id="11"/>
      </w:r>
    </w:p>
    <w:p w14:paraId="67EA1B70" w14:textId="77777777" w:rsidR="00FE22FF" w:rsidRPr="00895BAC" w:rsidRDefault="00FE22FF" w:rsidP="00895BAC">
      <w:pPr>
        <w:pStyle w:val="Heading3"/>
      </w:pPr>
      <w:bookmarkStart w:id="12" w:name="_Toc242174149"/>
      <w:bookmarkStart w:id="13" w:name="_Toc242174801"/>
      <w:r w:rsidRPr="00895BAC">
        <w:t>Defining Seasonality</w:t>
      </w:r>
      <w:bookmarkEnd w:id="12"/>
      <w:bookmarkEnd w:id="13"/>
    </w:p>
    <w:p w14:paraId="1B2B9439" w14:textId="5C25DF72" w:rsidR="00FE22FF" w:rsidRPr="00895BAC" w:rsidRDefault="00FE22FF" w:rsidP="00895BAC">
      <w:pPr>
        <w:ind w:firstLine="720"/>
        <w:contextualSpacing/>
        <w:rPr>
          <w:b/>
          <w:bCs/>
        </w:rPr>
      </w:pPr>
      <w:r w:rsidRPr="00895BAC">
        <w:t>Just as temporal boundaries must be established on the complete Top 25 network, defining seasonality requires capturing the full variance of nationwide commercial aviation. Aviation seasonality operates along three coupled dimensions: annual seasonal volatility regimes, day-of-week demand archetypes, and non-consecutive turbulence peaks.</w:t>
      </w:r>
      <w:r w:rsidR="00947D65">
        <w:t xml:space="preserve"> See appendix for </w:t>
      </w:r>
      <w:r w:rsidR="003C5D05">
        <w:t xml:space="preserve">Seasonality Dimensions detail. It is important to define these for models to take into account so like for like is being compared. </w:t>
      </w:r>
    </w:p>
    <w:p w14:paraId="71E1FDD6" w14:textId="77777777" w:rsidR="00FE22FF" w:rsidRPr="00895BAC" w:rsidRDefault="00FE22FF" w:rsidP="00895BAC">
      <w:pPr>
        <w:ind w:firstLine="720"/>
        <w:contextualSpacing/>
      </w:pPr>
      <w:r w:rsidRPr="00895BAC">
        <w:rPr>
          <w:b/>
          <w:bCs/>
        </w:rPr>
        <w:t>Annual Seasonal Regimes and Coupled Volatility.</w:t>
      </w:r>
      <w:r w:rsidRPr="00895BAC">
        <w:t xml:space="preserve"> Airport operational stress is not uniform across the calendar year. By analyzing daily within – day passenger arrival coefficient of variation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alongside flight departure delay dispersion (</w:t>
      </w:r>
      <m:oMath>
        <m:sSub>
          <m:sSubPr>
            <m:ctrlPr>
              <w:rPr>
                <w:rFonts w:ascii="Cambria Math" w:hAnsi="Cambria Math"/>
              </w:rPr>
            </m:ctrlPr>
          </m:sSubPr>
          <m:e>
            <m:r>
              <w:rPr>
                <w:rFonts w:ascii="Cambria Math" w:hAnsi="Cambria Math"/>
              </w:rPr>
              <m:t>σ</m:t>
            </m:r>
          </m:e>
          <m:sub>
            <m:r>
              <m:rPr>
                <m:nor/>
              </m:rPr>
              <m:t>Delay</m:t>
            </m:r>
          </m:sub>
        </m:sSub>
      </m:oMath>
      <w:r w:rsidRPr="00895BAC">
        <w:t>) across 1,341 post-demarcation days across the Top 25 network, four distinct annual volatility regimes were established (Table 4.3). The Coupled Volatility Index is defined as:</w:t>
      </w:r>
    </w:p>
    <w:p w14:paraId="05D3DE40" w14:textId="77777777" w:rsidR="00FE22FF" w:rsidRPr="00895BAC" w:rsidRDefault="00FE22FF" w:rsidP="00895BAC">
      <w:pPr>
        <w:contextualSpacing/>
      </w:pPr>
      <m:oMathPara>
        <m:oMath>
          <m:r>
            <m:rPr>
              <m:nor/>
            </m:rPr>
            <m:t>CVI</m:t>
          </m:r>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r>
            <w:rPr>
              <w:rFonts w:ascii="Cambria Math" w:hAnsi="Cambria Math"/>
            </w:rPr>
            <m:t>×</m:t>
          </m:r>
          <m:sSub>
            <m:sSubPr>
              <m:ctrlPr>
                <w:rPr>
                  <w:rFonts w:ascii="Cambria Math" w:hAnsi="Cambria Math"/>
                </w:rPr>
              </m:ctrlPr>
            </m:sSubPr>
            <m:e>
              <m:r>
                <w:rPr>
                  <w:rFonts w:ascii="Cambria Math" w:hAnsi="Cambria Math"/>
                </w:rPr>
                <m:t>σ</m:t>
              </m:r>
            </m:e>
            <m:sub>
              <m:r>
                <m:rPr>
                  <m:nor/>
                </m:rPr>
                <m:t>Delay</m:t>
              </m:r>
            </m:sub>
          </m:sSub>
        </m:oMath>
      </m:oMathPara>
    </w:p>
    <w:p w14:paraId="2C01F91F" w14:textId="77777777" w:rsidR="00FE22FF" w:rsidRPr="00895BAC" w:rsidRDefault="00FE22FF" w:rsidP="00895BAC">
      <w:pPr>
        <w:contextualSpacing/>
      </w:pPr>
      <w:r w:rsidRPr="00895BAC">
        <w:rPr>
          <w:b/>
          <w:bCs/>
        </w:rPr>
        <w:t>Table 4.3</w:t>
      </w:r>
      <w:r w:rsidRPr="00895BAC">
        <w:br/>
      </w:r>
      <w:r w:rsidRPr="00895BAC">
        <w:rPr>
          <w:rStyle w:val="SubtitleChar"/>
        </w:rPr>
        <w:t>Master Annual Seasonal Volatility Regimes Summary (Top 25 Airfields)</w:t>
      </w:r>
    </w:p>
    <w:p w14:paraId="62BED2C2" w14:textId="77777777" w:rsidR="00FE22FF" w:rsidRPr="00895BAC" w:rsidRDefault="00FE22FF" w:rsidP="00895BAC">
      <w:pPr>
        <w:contextualSpacing/>
        <w:jc w:val="center"/>
      </w:pPr>
      <w:r w:rsidRPr="00895BAC">
        <w:rPr>
          <w:noProof/>
        </w:rPr>
        <w:lastRenderedPageBreak/>
        <w:drawing>
          <wp:inline distT="0" distB="0" distL="0" distR="0" wp14:anchorId="45E15C34" wp14:editId="3F3C700C">
            <wp:extent cx="6338018" cy="1176867"/>
            <wp:effectExtent l="0" t="0" r="0" b="4445"/>
            <wp:docPr id="7156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6000" name=""/>
                    <pic:cNvPicPr/>
                  </pic:nvPicPr>
                  <pic:blipFill>
                    <a:blip r:embed="rId13"/>
                    <a:stretch>
                      <a:fillRect/>
                    </a:stretch>
                  </pic:blipFill>
                  <pic:spPr>
                    <a:xfrm>
                      <a:off x="0" y="0"/>
                      <a:ext cx="6388042" cy="1186156"/>
                    </a:xfrm>
                    <a:prstGeom prst="rect">
                      <a:avLst/>
                    </a:prstGeom>
                  </pic:spPr>
                </pic:pic>
              </a:graphicData>
            </a:graphic>
          </wp:inline>
        </w:drawing>
      </w:r>
    </w:p>
    <w:p w14:paraId="4DA834AB" w14:textId="0DC7AB8E" w:rsidR="00FE22FF" w:rsidRPr="00895BAC" w:rsidRDefault="00FE22FF" w:rsidP="00895BAC">
      <w:pPr>
        <w:ind w:firstLine="360"/>
        <w:contextualSpacing/>
        <w:rPr>
          <w:b/>
          <w:bCs/>
        </w:rPr>
      </w:pPr>
      <w:r w:rsidRPr="00895BAC">
        <w:rPr>
          <w:b/>
          <w:bCs/>
        </w:rPr>
        <w:t xml:space="preserve">Day-of-Week Cyclical Dynamics and Archetypes. </w:t>
      </w:r>
      <w:r w:rsidRPr="00895BAC">
        <w:t>Weekly commercial aviation movements follow structural cycles dictated by corporate versus leisure travel demand. Standardizing observations under ISO 8601 (</w:t>
      </w:r>
      <m:oMath>
        <m:r>
          <w:rPr>
            <w:rFonts w:ascii="Cambria Math" w:hAnsi="Cambria Math"/>
          </w:rPr>
          <m:t>1=</m:t>
        </m:r>
        <m:r>
          <m:rPr>
            <m:nor/>
          </m:rPr>
          <m:t>Monday</m:t>
        </m:r>
        <m:r>
          <w:rPr>
            <w:rFonts w:ascii="Cambria Math" w:hAnsi="Cambria Math"/>
          </w:rPr>
          <m:t>,…,7=</m:t>
        </m:r>
        <m:r>
          <m:rPr>
            <m:nor/>
          </m:rPr>
          <m:t>Sunday</m:t>
        </m:r>
      </m:oMath>
      <w:r w:rsidRPr="00895BAC">
        <w:t>) across all Top 25 airfields yields three primary weekly operational archetypes (</w:t>
      </w:r>
      <w:r w:rsidR="001C275F">
        <w:t>See a</w:t>
      </w:r>
      <w:r w:rsidRPr="00895BAC">
        <w:t>ppendix)</w:t>
      </w:r>
      <w:r w:rsidR="001C275F">
        <w:t>.</w:t>
      </w:r>
    </w:p>
    <w:p w14:paraId="41A37A27" w14:textId="77777777" w:rsidR="0053527F" w:rsidRDefault="00DE4F0D" w:rsidP="0053527F">
      <w:pPr>
        <w:ind w:firstLine="360"/>
        <w:contextualSpacing/>
      </w:pPr>
      <w:r w:rsidRPr="00895BAC">
        <w:rPr>
          <w:rStyle w:val="Strong"/>
        </w:rPr>
        <w:t>Bimodal Intraday Operational Peaks: Morning Surges and Evening Delay Cascades.</w:t>
      </w:r>
      <w:bookmarkStart w:id="14" w:name="_Toc242174150"/>
      <w:bookmarkStart w:id="15" w:name="_Toc242174802"/>
    </w:p>
    <w:p w14:paraId="1FB40FC9" w14:textId="213321C6" w:rsidR="003C24F6" w:rsidRPr="00895BAC" w:rsidRDefault="003C24F6" w:rsidP="0053527F">
      <w:pPr>
        <w:ind w:firstLine="720"/>
        <w:contextualSpacing/>
      </w:pPr>
      <w:commentRangeStart w:id="16"/>
      <w:r w:rsidRPr="00895BAC">
        <w:t>Rather than dividing each operational day into arbitrary uniform hourly intervals, intraday operations are categorized into three operational regimes capturing the bimodal diurnal congestion structure of commercial airfields. The Off-Peak regime (00:00–03:00, 3–4 hours daily) represents the overnight curfew valley characterized by sparse departures and minimal checkpoint activity. The Mid-Peak regime (08:00 to 13:00/16:00, 4–12 hours daily) reflects a steady midday plateau marked by consistent passenger screening rates and sufficient aircraft turnaround buffers. In contrast, the Peak regime unifies two non-consecutive queuing congestion windows driven by distinct operational mechanisms: the Morning Bank Surge (05:00–08:00), which is governed by extreme passenger arrival variance (</w:t>
      </w:r>
      <m:oMath>
        <m:sSub>
          <m:sSubPr>
            <m:ctrlPr>
              <w:rPr>
                <w:rFonts w:ascii="Cambria Math" w:hAnsi="Cambria Math"/>
              </w:rPr>
            </m:ctrlPr>
          </m:sSubPr>
          <m:e>
            <m:r>
              <w:rPr>
                <w:rFonts w:ascii="Cambria Math" w:hAnsi="Cambria Math"/>
              </w:rPr>
              <m:t>σ</m:t>
            </m:r>
          </m:e>
          <m:sub>
            <m:r>
              <m:rPr>
                <m:nor/>
              </m:rPr>
              <m:t>TSA</m:t>
            </m:r>
          </m:sub>
        </m:sSub>
        <m:r>
          <w:rPr>
            <w:rFonts w:ascii="Cambria Math" w:hAnsi="Cambria Math"/>
          </w:rPr>
          <m:t>&gt;11,380</m:t>
        </m:r>
      </m:oMath>
      <w:r w:rsidRPr="00895BAC">
        <w:t xml:space="preserve"> pax/hr) as business travelers converge on initial departure banks; and the Evening Delay Cascade (14:00/17:00–22:00), which is driven by cumulative upstream flight delay propagation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&gt;63.4</m:t>
        </m:r>
      </m:oMath>
      <w:r w:rsidRPr="00895BAC">
        <w:t xml:space="preserve"> min) that disrupts scheduled passenger show-up patterns. </w:t>
      </w:r>
      <w:commentRangeEnd w:id="16"/>
      <w:r w:rsidR="00525542" w:rsidRPr="00895BAC">
        <w:rPr>
          <w:rStyle w:val="CommentReference"/>
          <w:sz w:val="24"/>
          <w:szCs w:val="24"/>
        </w:rPr>
        <w:commentReference w:id="16"/>
      </w:r>
    </w:p>
    <w:p w14:paraId="4FA6C4BE" w14:textId="54FA419D" w:rsidR="00FE22FF" w:rsidRPr="00895BAC" w:rsidRDefault="00FE22FF" w:rsidP="00895BAC">
      <w:pPr>
        <w:contextualSpacing/>
        <w:rPr>
          <w:b/>
          <w:bCs/>
          <w:i/>
          <w:iCs/>
        </w:rPr>
      </w:pPr>
      <w:r w:rsidRPr="00895BAC">
        <w:rPr>
          <w:b/>
          <w:bCs/>
          <w:i/>
          <w:iCs/>
        </w:rPr>
        <w:t>TSA and OTP Throughput Data</w:t>
      </w:r>
      <w:bookmarkEnd w:id="14"/>
      <w:bookmarkEnd w:id="15"/>
    </w:p>
    <w:p w14:paraId="4BD685D0" w14:textId="0B20DA61" w:rsidR="00FE22FF" w:rsidRPr="00895BAC" w:rsidRDefault="00FE22FF" w:rsidP="00895BAC">
      <w:pPr>
        <w:ind w:firstLine="720"/>
        <w:contextualSpacing/>
      </w:pPr>
      <w:r w:rsidRPr="00895BAC">
        <w:lastRenderedPageBreak/>
        <w:t xml:space="preserve">Evaluating the statistical relationships between TSA checkpoint throughput and Bureau of Transportation Statistics On-Time Performance data across all Top 25 airfields reveals fundamental econometric dynamics. </w:t>
      </w:r>
      <w:r w:rsidR="00517FE5" w:rsidRPr="00895BAC">
        <w:t xml:space="preserve">Refer to the appendix which </w:t>
      </w:r>
      <w:r w:rsidRPr="00895BAC">
        <w:t>synthesizes the master cross-dataset econometric correlations. This analysis provided distinct empirical insights:</w:t>
      </w:r>
    </w:p>
    <w:p w14:paraId="7FD85FC4" w14:textId="0C9F3B1C" w:rsidR="00FE22FF" w:rsidRPr="00895BAC" w:rsidRDefault="00FE22FF" w:rsidP="00895BAC">
      <w:pPr>
        <w:ind w:firstLine="360"/>
        <w:contextualSpacing/>
      </w:pPr>
      <w:r w:rsidRPr="00895BAC">
        <w:rPr>
          <w:b/>
          <w:bCs/>
        </w:rPr>
        <w:t>The Hub Disconnect</w:t>
      </w:r>
      <w:r w:rsidRPr="00895BAC">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of TSA security checkpoint passenger throughput across the Top 25 network (</w:t>
      </w:r>
      <m:oMath>
        <m:r>
          <w:rPr>
            <w:rFonts w:ascii="Cambria Math" w:hAnsi="Cambria Math"/>
          </w:rPr>
          <m:t>r=0.4572,p&lt;0.05</m:t>
        </m:r>
      </m:oMath>
      <w:r w:rsidRPr="00895BAC">
        <w:t xml:space="preserve">). However, when departing seats are deflated using BTS </w:t>
      </w:r>
      <w:r w:rsidRPr="00C72409">
        <w:t>DB1B connecting ratios to isolate true local originating passengers, explained variance jumps to 44.94% (</w:t>
      </w:r>
      <m:oMath>
        <m:r>
          <w:rPr>
            <w:rFonts w:ascii="Cambria Math" w:hAnsi="Cambria Math"/>
          </w:rPr>
          <m:t>r=</m:t>
        </m:r>
        <m:r>
          <w:rPr>
            <w:rFonts w:ascii="Cambria Math" w:hAnsi="Cambria Math"/>
          </w:rPr>
          <m:t>0.6704,p&lt;0.001</m:t>
        </m:r>
      </m:oMath>
      <w:r w:rsidRPr="00895BAC">
        <w:t xml:space="preserve">), an increase of +115%. </w:t>
      </w:r>
      <w:r w:rsidR="00BF4FCE">
        <w:t>For instance,</w:t>
      </w:r>
      <w:r w:rsidRPr="00895BAC">
        <w:t xml:space="preserve"> major connecting hubs such as Charlotte (CLT) and Atlanta (ATL), up to 70% to 76% of passengers transfer between gates airside without entering landside security queues. Failing to account for connecting ratios creates a 2.5-fold distortion in checkpoint demand modeling.</w:t>
      </w:r>
    </w:p>
    <w:p w14:paraId="2ADECEED" w14:textId="3FCAF88A" w:rsidR="00FE22FF" w:rsidRPr="00895BAC" w:rsidRDefault="00FE22FF" w:rsidP="00895BAC">
      <w:pPr>
        <w:ind w:firstLine="360"/>
        <w:contextualSpacing/>
      </w:pPr>
      <w:r w:rsidRPr="00895BAC">
        <w:rPr>
          <w:b/>
          <w:bCs/>
        </w:rPr>
        <w:t>Coupled Volatility and Asynchronous Lag Dynamics</w:t>
      </w:r>
      <w:r w:rsidRPr="00895BAC">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Pr="00895BAC">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Pr="00895BAC">
        <w:t>).</w:t>
      </w:r>
      <w:r w:rsidR="00E749E0">
        <w:t xml:space="preserve"> </w:t>
      </w:r>
      <w:r w:rsidRPr="00895BAC">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Pr="00895BAC">
        <w:t>), reflecting synchronized macro peak seasonal demand across the network rather than landside queues causing airside pushback delays.</w:t>
      </w:r>
    </w:p>
    <w:p w14:paraId="40B52327" w14:textId="77777777" w:rsidR="00FE22FF" w:rsidRPr="00895BAC" w:rsidRDefault="00FE22FF" w:rsidP="00895BAC">
      <w:pPr>
        <w:pStyle w:val="Heading2"/>
        <w:rPr>
          <w:i/>
          <w:iCs/>
        </w:rPr>
      </w:pPr>
      <w:r w:rsidRPr="00895BAC">
        <w:rPr>
          <w:i/>
          <w:iCs/>
        </w:rPr>
        <w:t>Implications for Subset</w:t>
      </w:r>
    </w:p>
    <w:p w14:paraId="5009C015" w14:textId="77777777" w:rsidR="00626B04" w:rsidRDefault="00626B04" w:rsidP="00895BAC">
      <w:pPr>
        <w:ind w:firstLine="360"/>
        <w:contextualSpacing/>
      </w:pPr>
      <w:r>
        <w:t xml:space="preserve">Establishing temporal boundaries (the May 1, 2022 post-mask demarcation) and seasonal dynamics across the full Top 25 network ensures that baseline operational patterns reflect </w:t>
      </w:r>
      <w:r>
        <w:lastRenderedPageBreak/>
        <w:t>macroeconomic aviation behavior rather than idiosyncratic facility quirks. To maintain strict methodological integrity and prevent predictive leakage, these macro-level seasonal regimes and cross-dataset relationships are not used as direct regression features. Instead, they serve strictly to justify the operational filtering pipeline, inform feature architectures (such as cyclical encodings and lead-lag show-up windows), and establish an uncompromised foundation for downstream modeling.</w:t>
      </w:r>
      <w:r>
        <w:t xml:space="preserve"> </w:t>
      </w:r>
    </w:p>
    <w:p w14:paraId="00126CD5" w14:textId="1383087D" w:rsidR="00FE22FF" w:rsidRPr="00895BAC" w:rsidRDefault="00626B04" w:rsidP="00895BAC">
      <w:pPr>
        <w:ind w:firstLine="360"/>
        <w:contextualSpacing/>
      </w:pPr>
      <w:r>
        <w:t xml:space="preserve">The exploratory analysis also reveals that commercial airfields must initially be evaluated as whole facilities to verify operational scale and hub cluster </w:t>
      </w:r>
      <w:r w:rsidR="00CB3EC1">
        <w:t>diversity but</w:t>
      </w:r>
      <w:r>
        <w:t xml:space="preserve"> cannot be modeled at the aggregate airport level. In shared-terminal facilities, coordinated airline flight banks generate severe multi-carrier collinearity (</w:t>
      </w:r>
      <m:oMath>
        <m:r>
          <m:rPr>
            <m:nor/>
          </m:rPr>
          <m:t>Corr</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j</m:t>
                    </m:r>
                  </m:e>
                  <m:sup>
                    <m:r>
                      <w:rPr>
                        <w:rFonts w:ascii="Cambria Math" w:hAnsi="Cambria Math"/>
                      </w:rPr>
                      <m:t>'</m:t>
                    </m:r>
                  </m:sup>
                </m:sSup>
              </m:sub>
            </m:sSub>
          </m:e>
        </m:d>
        <m:r>
          <w:rPr>
            <w:rFonts w:ascii="Cambria Math" w:hAnsi="Cambria Math"/>
          </w:rPr>
          <m:t>≥0.88,κ&gt;</m:t>
        </m:r>
        <m:sSup>
          <m:sSupPr>
            <m:ctrlPr>
              <w:rPr>
                <w:rFonts w:ascii="Cambria Math" w:hAnsi="Cambria Math"/>
              </w:rPr>
            </m:ctrlPr>
          </m:sSupPr>
          <m:e>
            <m:r>
              <w:rPr>
                <w:rFonts w:ascii="Cambria Math" w:hAnsi="Cambria Math"/>
              </w:rPr>
              <m:t>10</m:t>
            </m:r>
          </m:e>
          <m:sup>
            <m:r>
              <w:rPr>
                <w:rFonts w:ascii="Cambria Math" w:hAnsi="Cambria Math"/>
              </w:rPr>
              <m:t>4</m:t>
            </m:r>
          </m:sup>
        </m:sSup>
      </m:oMath>
      <w:r>
        <w:t>), making it mathematically impossible 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p>
    <w:p w14:paraId="265E3639" w14:textId="77777777" w:rsidR="00FE22FF" w:rsidRPr="00895BAC" w:rsidRDefault="00FE22FF" w:rsidP="00895BAC">
      <w:pPr>
        <w:pStyle w:val="Heading2"/>
      </w:pPr>
      <w:bookmarkStart w:id="17" w:name="_Toc242174151"/>
      <w:bookmarkStart w:id="18" w:name="_Toc242174803"/>
      <w:r w:rsidRPr="00895BAC">
        <w:t>Data Filtering and Subset Selection</w:t>
      </w:r>
      <w:bookmarkEnd w:id="17"/>
      <w:bookmarkEnd w:id="18"/>
    </w:p>
    <w:p w14:paraId="0752F8CF" w14:textId="77777777" w:rsidR="00FE22FF" w:rsidRPr="00895BAC" w:rsidRDefault="00FE22FF" w:rsidP="00895BAC">
      <w:pPr>
        <w:pStyle w:val="Heading3"/>
      </w:pPr>
      <w:bookmarkStart w:id="19" w:name="_Toc242174152"/>
      <w:bookmarkStart w:id="20" w:name="_Toc242174804"/>
      <w:r w:rsidRPr="00895BAC">
        <w:t>Four-Phase Filtering Pipeline</w:t>
      </w:r>
      <w:bookmarkEnd w:id="19"/>
      <w:bookmarkEnd w:id="20"/>
    </w:p>
    <w:p w14:paraId="151FD759" w14:textId="77777777" w:rsidR="00FE22FF" w:rsidRPr="00895BAC" w:rsidRDefault="00FE22FF" w:rsidP="00895BAC">
      <w:pPr>
        <w:ind w:firstLine="720"/>
        <w:contextualSpacing/>
      </w:pPr>
      <w:r w:rsidRPr="00895BAC">
        <w:t>To eliminate confounding from multi-carrier passenger mixing, unconstrained regional flow, and airline-specific boarding differences, airports were screened through a four-phase purposive filtering pipeline. For each phase, the relationship between TSA throughput and OTP flight data was tracked, demonstrating how progressive filtering refines operational coupling.</w:t>
      </w:r>
    </w:p>
    <w:p w14:paraId="38EA400D" w14:textId="32BAC249" w:rsidR="00FE22FF" w:rsidRPr="00895BAC" w:rsidRDefault="001759BF" w:rsidP="00895BAC">
      <w:pPr>
        <w:ind w:firstLine="360"/>
        <w:contextualSpacing/>
      </w:pPr>
      <w:r w:rsidRPr="00895BAC">
        <w:t xml:space="preserve">The four-phase purposive filtering pipeline systematically isolates single-carrier screening dynamics from confounding network interactions. In Phase 1 (Macro Filter), the national candidate pool of 450+ commercial airfields was filtered down to the Top 25 airfields, enforcing </w:t>
      </w:r>
      <w:r w:rsidRPr="00895BAC">
        <w:lastRenderedPageBreak/>
        <w:t>heavy queuing intensity (</w:t>
      </w:r>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→1.0</m:t>
        </m:r>
      </m:oMath>
      <w:r w:rsidRPr="00895BAC">
        <w:t xml:space="preserve">) during departure banks, capturing 67.2% of nationwide domestic departures, and establishing a baseline correlation of </w:t>
      </w:r>
      <m:oMath>
        <m:r>
          <w:rPr>
            <w:rFonts w:ascii="Cambria Math" w:hAnsi="Cambria Math"/>
          </w:rPr>
          <m:t>r=0.4572</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95BAC">
        <w:t>) between raw flights and screening throughput. Phase 2 (Meso Filter) restricted these facilities to 14 candidate hubs exhibiting concurrent mainline operations (</w:t>
      </w:r>
      <m:oMath>
        <m:r>
          <w:rPr>
            <w:rFonts w:ascii="Cambria Math" w:hAnsi="Cambria Math"/>
          </w:rPr>
          <m:t>&gt;10%</m:t>
        </m:r>
      </m:oMath>
      <w:r w:rsidRPr="00895BAC">
        <w:t xml:space="preserve"> seat share) across American, Delta, and United, excluding low-cost carrier scheduling fluctuations and raising coupling to </w:t>
      </w:r>
      <m:oMath>
        <m:r>
          <w:rPr>
            <w:rFonts w:ascii="Cambria Math" w:hAnsi="Cambria Math"/>
          </w:rPr>
          <m:t>r=0.5015</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95BAC">
        <w:t>). Phase 3 (Micro Filter) screened for strict carrier checkpoint exclusivity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r>
              <w:rPr>
                <w:rFonts w:ascii="Cambria Math" w:hAnsi="Cambria Math"/>
              </w:rPr>
              <m:t>=1</m:t>
            </m:r>
          </m:e>
        </m:d>
        <m:r>
          <w:rPr>
            <w:rFonts w:ascii="Cambria Math" w:hAnsi="Cambria Math"/>
          </w:rPr>
          <m:t>=1</m:t>
        </m:r>
      </m:oMath>
      <w:r w:rsidRPr="00895BAC">
        <w:t>), eliminating shared-terminal multi-carrier collinearity (</w:t>
      </w:r>
      <m:oMath>
        <m:r>
          <w:rPr>
            <w:rFonts w:ascii="Cambria Math" w:hAnsi="Cambria Math"/>
          </w:rPr>
          <m:t>κ&lt;25</m:t>
        </m:r>
      </m:oMath>
      <w:r w:rsidRPr="00895BAC">
        <w:t xml:space="preserve">) and elevating coupling to </w:t>
      </w:r>
      <m:oMath>
        <m:r>
          <w:rPr>
            <w:rFonts w:ascii="Cambria Math" w:hAnsi="Cambria Math"/>
          </w:rPr>
          <m:t>r=0.5453</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95BAC">
        <w:t xml:space="preserve">) for raw flights and </w:t>
      </w:r>
      <m:oMath>
        <m:r>
          <w:rPr>
            <w:rFonts w:ascii="Cambria Math" w:hAnsi="Cambria Math"/>
          </w:rPr>
          <m:t>r=0.6466</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95BAC">
        <w:t xml:space="preserve">) when adjusting for local connecting ratios. Finally, Phase 4 (Balanced Experimental Cohort) established a factorial design across 12 dedicated screening complexes (exactly four complexes each for American, Delta, and United) spanning all four operational cluster archetypes, achieving final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=70.80% </m:t>
        </m:r>
      </m:oMath>
      <w:r w:rsidRPr="00895BAC">
        <w:t xml:space="preserve">to </w:t>
      </w:r>
      <m:oMath>
        <m:r>
          <w:rPr>
            <w:rFonts w:ascii="Cambria Math" w:hAnsi="Cambria Math"/>
          </w:rPr>
          <m:t>77.40%</m:t>
        </m:r>
      </m:oMath>
      <w:r w:rsidRPr="00895BAC">
        <w:t>.</w:t>
      </w:r>
      <w:r w:rsidRPr="00895BAC">
        <w:rPr>
          <w:b/>
          <w:bCs/>
        </w:rPr>
        <w:t xml:space="preserve"> </w:t>
      </w:r>
    </w:p>
    <w:p w14:paraId="0DA81029" w14:textId="77777777" w:rsidR="00FE22FF" w:rsidRPr="00895BAC" w:rsidRDefault="00FE22FF" w:rsidP="00895BAC">
      <w:pPr>
        <w:pStyle w:val="Heading3"/>
      </w:pPr>
      <w:r w:rsidRPr="00895BAC">
        <w:t>Pipeline Results</w:t>
      </w:r>
    </w:p>
    <w:p w14:paraId="0380BBC8" w14:textId="64431A30" w:rsidR="00FE22FF" w:rsidRPr="00895BAC" w:rsidRDefault="00FE22FF" w:rsidP="00895BAC">
      <w:pPr>
        <w:ind w:firstLine="720"/>
        <w:contextualSpacing/>
      </w:pPr>
      <w:r w:rsidRPr="00895BAC">
        <w:t>The filtering pipeline isolated 9 commercial airfields representing 12 carrier-exclusive screening environments, achieving complete balance across legacy airlines and operational clusters. Table 4.6 details the experimental cohort.</w:t>
      </w:r>
    </w:p>
    <w:p w14:paraId="7CB094AF" w14:textId="6D030EB2" w:rsidR="00FE22FF" w:rsidRPr="00895BAC" w:rsidRDefault="00FE22FF" w:rsidP="00895BAC">
      <w:pPr>
        <w:contextualSpacing/>
      </w:pPr>
      <w:r w:rsidRPr="00895BAC">
        <w:rPr>
          <w:b/>
          <w:bCs/>
        </w:rPr>
        <w:t>Table 4.6</w:t>
      </w:r>
      <w:r w:rsidRPr="00895BAC">
        <w:br/>
      </w:r>
      <w:r w:rsidRPr="00895BAC">
        <w:rPr>
          <w:i/>
          <w:iCs/>
        </w:rPr>
        <w:t>The Nine-Airport Experimental Cohort Specification</w:t>
      </w:r>
    </w:p>
    <w:p w14:paraId="1D450426" w14:textId="77777777" w:rsidR="00FE22FF" w:rsidRPr="00895BAC" w:rsidRDefault="00FE22FF" w:rsidP="00895BAC">
      <w:pPr>
        <w:contextualSpacing/>
        <w:jc w:val="center"/>
      </w:pPr>
      <w:r w:rsidRPr="00895BAC">
        <w:rPr>
          <w:noProof/>
        </w:rPr>
        <w:drawing>
          <wp:inline distT="0" distB="0" distL="0" distR="0" wp14:anchorId="662B189A" wp14:editId="1E5BBA04">
            <wp:extent cx="4546600" cy="1244600"/>
            <wp:effectExtent l="0" t="0" r="0" b="0"/>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14"/>
                    <a:stretch>
                      <a:fillRect/>
                    </a:stretch>
                  </pic:blipFill>
                  <pic:spPr>
                    <a:xfrm>
                      <a:off x="0" y="0"/>
                      <a:ext cx="4546600" cy="1244600"/>
                    </a:xfrm>
                    <a:prstGeom prst="rect">
                      <a:avLst/>
                    </a:prstGeom>
                  </pic:spPr>
                </pic:pic>
              </a:graphicData>
            </a:graphic>
          </wp:inline>
        </w:drawing>
      </w:r>
    </w:p>
    <w:p w14:paraId="7BBCE1F8" w14:textId="022918FA" w:rsidR="00FE22FF" w:rsidRPr="00895BAC" w:rsidRDefault="00FE22FF" w:rsidP="00895BAC">
      <w:pPr>
        <w:ind w:firstLine="360"/>
        <w:contextualSpacing/>
        <w:rPr>
          <w:b/>
          <w:bCs/>
        </w:rPr>
      </w:pPr>
      <w:r w:rsidRPr="00895BAC">
        <w:lastRenderedPageBreak/>
        <w:t>To mathematically verify that dedicated checkpoints isolate single-carrier demand, four econometric tests were performed</w:t>
      </w:r>
      <w:r w:rsidR="002354FC" w:rsidRPr="00895BAC">
        <w:t>: Carrier Ticket Boarding Dominance, No-Mainline Zero Activity, Cross-Carrier Leakage, and Airside Concourse Isolation</w:t>
      </w:r>
      <w:r w:rsidR="00F65823">
        <w:t xml:space="preserve"> (</w:t>
      </w:r>
      <w:r w:rsidR="00F65823" w:rsidRPr="00F50F48">
        <w:rPr>
          <w:highlight w:val="yellow"/>
        </w:rPr>
        <w:t>detailed in the Appendix</w:t>
      </w:r>
      <w:r w:rsidR="00F65823">
        <w:t>)</w:t>
      </w:r>
      <w:r w:rsidR="002354FC" w:rsidRPr="00895BAC">
        <w:t>.</w:t>
      </w:r>
    </w:p>
    <w:p w14:paraId="1835E1D4" w14:textId="77777777" w:rsidR="00FE22FF" w:rsidRPr="00895BAC" w:rsidRDefault="00FE22FF" w:rsidP="00895BAC">
      <w:pPr>
        <w:pStyle w:val="Heading3"/>
      </w:pPr>
      <w:r w:rsidRPr="00895BAC">
        <w:t>Descriptive Statistics for Subset</w:t>
      </w:r>
    </w:p>
    <w:p w14:paraId="662549B8" w14:textId="77777777" w:rsidR="00FE22FF" w:rsidRPr="00895BAC" w:rsidRDefault="00FE22FF" w:rsidP="00895BAC">
      <w:pPr>
        <w:ind w:firstLine="720"/>
        <w:contextualSpacing/>
      </w:pPr>
      <w:r w:rsidRPr="00895BAC">
        <w:t>Table 4.7 presents the descriptive summary statistics for the nine-airport experimental cohort compared against the Top 25 candidates.</w:t>
      </w:r>
    </w:p>
    <w:p w14:paraId="3F8A1187" w14:textId="77777777" w:rsidR="00FE22FF" w:rsidRPr="00895BAC" w:rsidRDefault="00FE22FF" w:rsidP="00895BAC">
      <w:pPr>
        <w:contextualSpacing/>
        <w:rPr>
          <w:i/>
          <w:iCs/>
        </w:rPr>
      </w:pPr>
      <w:r w:rsidRPr="00895BAC">
        <w:rPr>
          <w:b/>
          <w:bCs/>
        </w:rPr>
        <w:t>Table 4.7</w:t>
      </w:r>
      <w:r w:rsidRPr="00895BAC">
        <w:br/>
      </w:r>
      <w:r w:rsidRPr="00895BAC">
        <w:rPr>
          <w:i/>
          <w:iCs/>
        </w:rPr>
        <w:t xml:space="preserve">Summary Descriptive Statistics: Nine-Airport Experimental Cohort Versus Top 25 </w:t>
      </w:r>
    </w:p>
    <w:p w14:paraId="2ECF4149" w14:textId="77777777" w:rsidR="00FE22FF" w:rsidRPr="00895BAC" w:rsidRDefault="00FE22FF" w:rsidP="00895BAC">
      <w:pPr>
        <w:contextualSpacing/>
        <w:jc w:val="center"/>
      </w:pPr>
      <w:r w:rsidRPr="00895BAC">
        <w:rPr>
          <w:noProof/>
        </w:rPr>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5"/>
                    <a:stretch>
                      <a:fillRect/>
                    </a:stretch>
                  </pic:blipFill>
                  <pic:spPr>
                    <a:xfrm>
                      <a:off x="0" y="0"/>
                      <a:ext cx="5943600" cy="2971800"/>
                    </a:xfrm>
                    <a:prstGeom prst="rect">
                      <a:avLst/>
                    </a:prstGeom>
                  </pic:spPr>
                </pic:pic>
              </a:graphicData>
            </a:graphic>
          </wp:inline>
        </w:drawing>
      </w:r>
    </w:p>
    <w:p w14:paraId="60084DCE" w14:textId="2EAE97C8" w:rsidR="00FE22FF" w:rsidRPr="00895BAC" w:rsidRDefault="00FE22FF" w:rsidP="00895BAC">
      <w:pPr>
        <w:contextualSpacing/>
      </w:pPr>
      <w:r w:rsidRPr="00895BAC">
        <w:t>Compared to the broader Top 25 network, the 9-airport cohort exhibits:</w:t>
      </w:r>
    </w:p>
    <w:p w14:paraId="399DD232" w14:textId="77777777" w:rsidR="00FE22FF" w:rsidRPr="00895BAC" w:rsidRDefault="00FE22FF" w:rsidP="00895BAC">
      <w:pPr>
        <w:ind w:firstLine="360"/>
        <w:contextualSpacing/>
      </w:pPr>
      <w:commentRangeStart w:id="21"/>
      <w:r w:rsidRPr="00895BAC">
        <w:rPr>
          <w:b/>
          <w:bCs/>
        </w:rPr>
        <w:t>Higher Flight Movement Density</w:t>
      </w:r>
      <w:r w:rsidRPr="00895BAC">
        <w:t>. Scheduled flights are +16.9% higher (224,576 vs. 192,160), ensuring screening checkpoints operate under heavy, bank-synchronized arrival loads.</w:t>
      </w:r>
    </w:p>
    <w:p w14:paraId="76959364" w14:textId="77777777" w:rsidR="00FE22FF" w:rsidRPr="00895BAC" w:rsidRDefault="00FE22FF" w:rsidP="00895BAC">
      <w:pPr>
        <w:ind w:firstLine="360"/>
        <w:contextualSpacing/>
      </w:pPr>
      <w:r w:rsidRPr="00895BAC">
        <w:rPr>
          <w:b/>
          <w:bCs/>
        </w:rPr>
        <w:t>Higher Delay and Cancellation Exposure</w:t>
      </w:r>
      <w:r w:rsidRPr="00895BAC">
        <w:t>. Average departure delay is +7.2% higher (15.23 min vs. 14.21 min), cancellation rate is +14.1% higher (1.63% vs. 1.43%), and taxi-out time is +4.5% higher (20.59 min vs. 19.69 min), reflecting genuine operational congestion.</w:t>
      </w:r>
    </w:p>
    <w:p w14:paraId="63444B40" w14:textId="77777777" w:rsidR="00FE22FF" w:rsidRPr="00895BAC" w:rsidRDefault="00FE22FF" w:rsidP="00895BAC">
      <w:pPr>
        <w:ind w:firstLine="360"/>
        <w:contextualSpacing/>
      </w:pPr>
      <w:r w:rsidRPr="00895BAC">
        <w:rPr>
          <w:b/>
          <w:bCs/>
        </w:rPr>
        <w:lastRenderedPageBreak/>
        <w:t>Higher Local Originating Demand</w:t>
      </w:r>
      <w:r w:rsidRPr="00895BAC">
        <w:t>. Local originating passenger share is +8.1% higher (52.55% vs. 48.61%), and true local originating volume is +25.0% higher (16.38M vs. 13.10M), concentrating demand directly into landside security checkpoint queues.</w:t>
      </w:r>
      <w:commentRangeEnd w:id="21"/>
      <w:r w:rsidR="0047660D" w:rsidRPr="00895BAC">
        <w:rPr>
          <w:rStyle w:val="CommentReference"/>
          <w:sz w:val="24"/>
          <w:szCs w:val="24"/>
        </w:rPr>
        <w:commentReference w:id="21"/>
      </w:r>
    </w:p>
    <w:p w14:paraId="6AC9140F" w14:textId="77777777" w:rsidR="00DA26F4" w:rsidRPr="00DA26F4" w:rsidRDefault="00FE22FF" w:rsidP="00DA26F4">
      <w:pPr>
        <w:contextualSpacing/>
        <w:rPr>
          <w:b/>
          <w:bCs/>
          <w:i/>
          <w:iCs/>
        </w:rPr>
      </w:pPr>
      <w:r w:rsidRPr="00DA26F4">
        <w:rPr>
          <w:b/>
          <w:bCs/>
          <w:i/>
          <w:iCs/>
        </w:rPr>
        <w:t>Local Seasonal and Day-of-Week Differences Across the Nine Selected Airports</w:t>
      </w:r>
    </w:p>
    <w:p w14:paraId="1D5EF5F4" w14:textId="4ECBAEA6" w:rsidR="00FE22FF" w:rsidRPr="00586F37" w:rsidRDefault="00FE22FF" w:rsidP="00586F37">
      <w:pPr>
        <w:ind w:firstLine="360"/>
        <w:contextualSpacing/>
        <w:rPr>
          <w:b/>
          <w:bCs/>
        </w:rPr>
      </w:pPr>
      <w:r w:rsidRPr="00895BAC">
        <w:t>While seasonal and day-of-week baselines were established across the Top 25 network, the nine selected airfields display distinct local seasonal and weekly profiles reflecting their traffic composition and cluster archetype. Table 4.8 in the appendix reports the day-of-week passenger throughput distribution across the nine airports.</w:t>
      </w:r>
      <w:r w:rsidR="00586F37">
        <w:rPr>
          <w:b/>
          <w:bCs/>
        </w:rPr>
        <w:t xml:space="preserve"> </w:t>
      </w:r>
      <w:r w:rsidRPr="00895BAC">
        <w:t>The 9 airports exhibit three distinct weekly demand dynamics</w:t>
      </w:r>
      <w:r w:rsidR="00983825">
        <w:t>, which can be found in the Appendix.</w:t>
      </w:r>
    </w:p>
    <w:p w14:paraId="7708D511" w14:textId="7C141650" w:rsidR="00BD2540" w:rsidRPr="00895BAC" w:rsidRDefault="00FE22FF" w:rsidP="00895BAC">
      <w:pPr>
        <w:pStyle w:val="Heading3"/>
      </w:pPr>
      <w:r w:rsidRPr="00895BAC">
        <w:t>Implications for Model</w:t>
      </w:r>
    </w:p>
    <w:p w14:paraId="06A92588" w14:textId="691BD346" w:rsidR="00BD2540" w:rsidRPr="00895BAC" w:rsidRDefault="00BD2540" w:rsidP="00895BAC">
      <w:pPr>
        <w:ind w:firstLine="360"/>
        <w:contextualSpacing/>
      </w:pPr>
      <w:r w:rsidRPr="00895BAC">
        <w:t>The empirical findings from subset selection establish four mandatory architectural requirements for airport passenger flow modeling. First, passenger throughput must be modeled at dedicated single-carrier screening complexes rather than airport-wide aggregates to eliminate multi-carrier bank confounding and capture terminal-specific arrival surges. Second, departing seat capacity must be deflated by empirical DB1B connecting ratios (</w:t>
      </w:r>
      <m:oMath>
        <m:r>
          <w:rPr>
            <w:rFonts w:ascii="Cambria Math" w:hAnsi="Cambria Math"/>
          </w:rPr>
          <m:t>1-</m:t>
        </m:r>
        <m:sSub>
          <m:sSubPr>
            <m:ctrlPr>
              <w:rPr>
                <w:rFonts w:ascii="Cambria Math" w:hAnsi="Cambria Math"/>
              </w:rPr>
            </m:ctrlPr>
          </m:sSubPr>
          <m:e>
            <m:r>
              <m:rPr>
                <m:nor/>
              </m:rPr>
              <m:t>ConnectingRatio</m:t>
            </m:r>
          </m:e>
          <m:sub>
            <m:r>
              <m:rPr>
                <m:nor/>
              </m:rPr>
              <m:t>airport</m:t>
            </m:r>
          </m:sub>
        </m:sSub>
      </m:oMath>
      <w:r w:rsidRPr="00895BAC">
        <w:t xml:space="preserve">), preventing the </w:t>
      </w:r>
      <m:oMath>
        <m:r>
          <w:rPr>
            <w:rFonts w:ascii="Cambria Math" w:hAnsi="Cambria Math"/>
          </w:rPr>
          <m:t>&gt;200%</m:t>
        </m:r>
      </m:oMath>
      <w:r w:rsidR="002B3A55" w:rsidRPr="00895BAC">
        <w:t xml:space="preserve"> </w:t>
      </w:r>
      <w:r w:rsidRPr="00895BAC">
        <w:t>throughput overprediction that occurs when airside connecting passengers at hubs such as DFW, DTW, and ORD are erroneously assumed to enter landside checkpoints. Third, models must enforce strict information availability by using prior-hour operational indicators (</w:t>
      </w:r>
      <m:oMath>
        <m:r>
          <w:rPr>
            <w:rFonts w:ascii="Cambria Math" w:hAnsi="Cambria Math"/>
          </w:rPr>
          <m:t>t-1</m:t>
        </m:r>
      </m:oMath>
      <w:r w:rsidRPr="00895BAC">
        <w:t>) and tactical cancellations rather than concurrent departure delays, avoiding lookahead bias since flight delays are unconfirmed until pushback occurs. Finally, predictive formulations must incorporate zero-bounded statistical structures</w:t>
      </w:r>
      <w:r w:rsidR="002B3A55" w:rsidRPr="00895BAC">
        <w:t xml:space="preserve"> – </w:t>
      </w:r>
      <w:r w:rsidRPr="00895BAC">
        <w:t>such as Tweedie compound Poisson generalized linear models (</w:t>
      </w:r>
      <m:oMath>
        <m:r>
          <w:rPr>
            <w:rFonts w:ascii="Cambria Math" w:hAnsi="Cambria Math"/>
          </w:rPr>
          <m:t>p=1.3</m:t>
        </m:r>
      </m:oMath>
      <w:r w:rsidRPr="00895BAC">
        <w:t>) or two-stage hurdle structures</w:t>
      </w:r>
      <w:r w:rsidR="002B3A55" w:rsidRPr="00895BAC">
        <w:t xml:space="preserve"> – </w:t>
      </w:r>
      <w:r w:rsidRPr="00895BAC">
        <w:t xml:space="preserve">to </w:t>
      </w:r>
      <w:r w:rsidRPr="00895BAC">
        <w:lastRenderedPageBreak/>
        <w:t xml:space="preserve">accommodate positive throughput skewness and structural zeros during overnight curfew hours without generating impossible negative volume prediction. </w:t>
      </w:r>
    </w:p>
    <w:p w14:paraId="171603F7" w14:textId="77777777" w:rsidR="00FE22FF" w:rsidRPr="00895BAC" w:rsidRDefault="00FE22FF" w:rsidP="00895BAC">
      <w:pPr>
        <w:pStyle w:val="Heading2"/>
      </w:pPr>
      <w:r w:rsidRPr="00895BAC">
        <w:t>Model Development and Execution</w:t>
      </w:r>
    </w:p>
    <w:p w14:paraId="42A2E97B" w14:textId="77777777" w:rsidR="00FE22FF" w:rsidRPr="00895BAC" w:rsidRDefault="00FE22FF" w:rsidP="00895BAC">
      <w:pPr>
        <w:pStyle w:val="Heading3"/>
      </w:pPr>
      <w:r w:rsidRPr="00895BAC">
        <w:t>Feature Engineering</w:t>
      </w:r>
    </w:p>
    <w:p w14:paraId="7EE3E9D9" w14:textId="77777777" w:rsidR="00FE22FF" w:rsidRPr="00895BAC" w:rsidRDefault="00FE22FF" w:rsidP="00895BAC">
      <w:pPr>
        <w:ind w:firstLine="720"/>
        <w:contextualSpacing/>
      </w:pPr>
      <w:r w:rsidRPr="00895BAC">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w:t>
      </w:r>
    </w:p>
    <w:p w14:paraId="088F25B1" w14:textId="77777777" w:rsidR="00FE22FF" w:rsidRPr="00895BAC" w:rsidRDefault="00FE22FF" w:rsidP="00895BAC">
      <w:pPr>
        <w:contextualSpacing/>
        <w:rPr>
          <w:i/>
          <w:iCs/>
        </w:rPr>
      </w:pPr>
      <w:r w:rsidRPr="00895BAC">
        <w:rPr>
          <w:b/>
          <w:bCs/>
        </w:rPr>
        <w:t>Table 4.9</w:t>
      </w:r>
      <w:r w:rsidRPr="00895BAC">
        <w:br/>
      </w:r>
      <w:r w:rsidRPr="00895BAC">
        <w:rPr>
          <w:i/>
          <w:iCs/>
        </w:rPr>
        <w:t>Empirical Lead-Lag Transfer Dynamics (Scheduled Flights Versus Checkpoint Demand)</w:t>
      </w:r>
    </w:p>
    <w:p w14:paraId="76A5B484" w14:textId="77777777" w:rsidR="00FE22FF" w:rsidRPr="00895BAC" w:rsidRDefault="00FE22FF" w:rsidP="00895BAC">
      <w:pPr>
        <w:contextualSpacing/>
      </w:pPr>
      <w:r w:rsidRPr="00895BAC">
        <w:rPr>
          <w:noProof/>
        </w:rPr>
        <w:drawing>
          <wp:inline distT="0" distB="0" distL="0" distR="0" wp14:anchorId="12A41747" wp14:editId="3C1DAC6D">
            <wp:extent cx="5943600" cy="2063750"/>
            <wp:effectExtent l="0" t="0" r="0" b="6350"/>
            <wp:docPr id="3802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4358" name=""/>
                    <pic:cNvPicPr/>
                  </pic:nvPicPr>
                  <pic:blipFill>
                    <a:blip r:embed="rId16"/>
                    <a:stretch>
                      <a:fillRect/>
                    </a:stretch>
                  </pic:blipFill>
                  <pic:spPr>
                    <a:xfrm>
                      <a:off x="0" y="0"/>
                      <a:ext cx="5943600" cy="2063750"/>
                    </a:xfrm>
                    <a:prstGeom prst="rect">
                      <a:avLst/>
                    </a:prstGeom>
                  </pic:spPr>
                </pic:pic>
              </a:graphicData>
            </a:graphic>
          </wp:inline>
        </w:drawing>
      </w:r>
    </w:p>
    <w:p w14:paraId="1A3753E9" w14:textId="14BE5C5D" w:rsidR="00FE22FF" w:rsidRPr="00895BAC" w:rsidRDefault="00FE22FF" w:rsidP="00D85F41">
      <w:pPr>
        <w:ind w:firstLine="720"/>
        <w:contextualSpacing/>
      </w:pPr>
      <w:r w:rsidRPr="00895BAC">
        <w:t>Unshifted scheduled flights in the same departure hour explain less than 12% of checkpoint throughput variance. Explanatory power peaks across the Lead </w:t>
      </w:r>
      <m:oMath>
        <m:r>
          <w:rPr>
            <w:rFonts w:ascii="Cambria Math" w:hAnsi="Cambria Math"/>
          </w:rPr>
          <m:t>t+1</m:t>
        </m:r>
      </m:oMath>
      <w:r w:rsidRPr="00895BAC">
        <w:t> and Lead </w:t>
      </w:r>
      <m:oMath>
        <m:r>
          <w:rPr>
            <w:rFonts w:ascii="Cambria Math" w:hAnsi="Cambria Math"/>
          </w:rPr>
          <m:t>t+2</m:t>
        </m:r>
      </m:oMath>
      <w:r w:rsidRPr="00895BAC">
        <w:t> horizons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≈24%</m:t>
        </m:r>
      </m:oMath>
      <w:r w:rsidRPr="00895BAC">
        <w:t>), corresponding directly to the 90–120 minute modal passenger show-up window established in airport terminal planning guidelines (Airport Cooperative Research Program [ACRP] Report 40; Transportation Research Board, 2010).</w:t>
      </w:r>
      <w:r w:rsidR="00D85F41">
        <w:t xml:space="preserve"> </w:t>
      </w:r>
      <w:r w:rsidRPr="00895BAC">
        <w:t>Based on these findings, an empirical passenger show-up distribution was constructed by convolving scheduled departing seats across lead horizons (</w:t>
      </w:r>
      <m:oMath>
        <m:r>
          <w:rPr>
            <w:rFonts w:ascii="Cambria Math" w:hAnsi="Cambria Math"/>
          </w:rPr>
          <m:t>t+1,t+2,t+3</m:t>
        </m:r>
      </m:oMath>
      <w:r w:rsidRPr="00895BAC">
        <w:t>):</w:t>
      </w:r>
    </w:p>
    <w:p w14:paraId="579AC3D8" w14:textId="77777777" w:rsidR="00FE22FF" w:rsidRPr="00895BAC" w:rsidRDefault="00727950" w:rsidP="00895BAC">
      <w:pPr>
        <w:contextualSpacing/>
      </w:pPr>
      <m:oMathPara>
        <m:oMath>
          <m:sSub>
            <m:sSubPr>
              <m:ctrlPr>
                <w:rPr>
                  <w:rFonts w:ascii="Cambria Math" w:hAnsi="Cambria Math"/>
                </w:rPr>
              </m:ctrlPr>
            </m:sSubPr>
            <m:e>
              <m:r>
                <m:rPr>
                  <m:nor/>
                </m:rPr>
                <m:t>Demand</m:t>
              </m:r>
            </m:e>
            <m:sub>
              <m:r>
                <m:rPr>
                  <m:nor/>
                </m:rPr>
                <m:t>convolved</m:t>
              </m:r>
              <m:r>
                <w:rPr>
                  <w:rFonts w:ascii="Cambria Math" w:hAnsi="Cambria Math"/>
                </w:rPr>
                <m:t>,</m:t>
              </m:r>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w</m:t>
                  </m:r>
                </m:e>
                <m:sub>
                  <m:r>
                    <w:rPr>
                      <w:rFonts w:ascii="Cambria Math" w:hAnsi="Cambria Math"/>
                    </w:rPr>
                    <m:t>h</m:t>
                  </m:r>
                </m:sub>
              </m:sSub>
            </m:e>
          </m:nary>
          <m:r>
            <w:rPr>
              <w:rFonts w:ascii="Cambria Math" w:hAnsi="Cambria Math"/>
            </w:rPr>
            <m:t>⋅</m:t>
          </m:r>
          <m:d>
            <m:dPr>
              <m:begChr m:val="["/>
              <m:end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f</m:t>
                  </m:r>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r>
                        <w:rPr>
                          <w:rFonts w:ascii="Cambria Math" w:hAnsi="Cambria Math"/>
                        </w:rPr>
                        <m:t>+h</m:t>
                      </m:r>
                    </m:sub>
                  </m:sSub>
                </m:sub>
                <m:sup/>
                <m:e>
                  <m:sSub>
                    <m:sSubPr>
                      <m:ctrlPr>
                        <w:rPr>
                          <w:rFonts w:ascii="Cambria Math" w:hAnsi="Cambria Math"/>
                        </w:rPr>
                      </m:ctrlPr>
                    </m:sSubPr>
                    <m:e>
                      <m:r>
                        <m:rPr>
                          <m:nor/>
                        </m:rPr>
                        <m:t>Seats</m:t>
                      </m:r>
                    </m:e>
                    <m:sub>
                      <m:r>
                        <w:rPr>
                          <w:rFonts w:ascii="Cambria Math" w:hAnsi="Cambria Math"/>
                        </w:rPr>
                        <m:t>f</m:t>
                      </m:r>
                    </m:sub>
                  </m:sSub>
                </m:e>
              </m:nary>
              <m:r>
                <w:rPr>
                  <w:rFonts w:ascii="Cambria Math" w:hAnsi="Cambria Math"/>
                </w:rPr>
                <m:t>⋅</m:t>
              </m:r>
              <m:sSub>
                <m:sSubPr>
                  <m:ctrlPr>
                    <w:rPr>
                      <w:rFonts w:ascii="Cambria Math" w:hAnsi="Cambria Math"/>
                    </w:rPr>
                  </m:ctrlPr>
                </m:sSubPr>
                <m:e>
                  <m:r>
                    <m:rPr>
                      <m:nor/>
                    </m:rPr>
                    <m:t>LoadFactor</m:t>
                  </m:r>
                </m:e>
                <m:sub>
                  <m:r>
                    <w:rPr>
                      <w:rFonts w:ascii="Cambria Math" w:hAnsi="Cambria Math"/>
                    </w:rPr>
                    <m:t>f</m:t>
                  </m:r>
                </m:sub>
              </m:sSub>
              <m:r>
                <w:rPr>
                  <w:rFonts w:ascii="Cambria Math" w:hAnsi="Cambria Math"/>
                </w:rPr>
                <m:t>⋅</m:t>
              </m:r>
              <m:d>
                <m:dPr>
                  <m:ctrlPr>
                    <w:rPr>
                      <w:rFonts w:ascii="Cambria Math" w:hAnsi="Cambria Math"/>
                    </w:rPr>
                  </m:ctrlPr>
                </m:dPr>
                <m:e>
                  <m:r>
                    <w:rPr>
                      <w:rFonts w:ascii="Cambria Math" w:hAnsi="Cambria Math"/>
                    </w:rPr>
                    <m:t>1-</m:t>
                  </m:r>
                  <m:r>
                    <m:rPr>
                      <m:nor/>
                    </m:rPr>
                    <m:t>ConnectingRatio</m:t>
                  </m:r>
                </m:e>
              </m:d>
            </m:e>
          </m:d>
        </m:oMath>
      </m:oMathPara>
    </w:p>
    <w:p w14:paraId="67582A21" w14:textId="0667B355" w:rsidR="00FE22FF" w:rsidRPr="00895BAC" w:rsidRDefault="00FE22FF" w:rsidP="00895BAC">
      <w:pPr>
        <w:contextualSpacing/>
      </w:pPr>
      <w:r w:rsidRPr="00895BAC">
        <w:t>where weights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=0.35</m:t>
        </m:r>
      </m:oMath>
      <w:r w:rsidRPr="00895BAC">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=0.50</m:t>
        </m:r>
      </m:oMath>
      <w:r w:rsidRPr="00895BAC">
        <w:t>, and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=0.15</m:t>
        </m:r>
      </m:oMath>
      <w:r w:rsidRPr="00895BAC">
        <w:t xml:space="preserve"> match empirical ACRP Report 40 arrival distributions. </w:t>
      </w:r>
      <w:r w:rsidR="00107BCB">
        <w:t>In operational terms, this convolution maps scheduled airline departure banks backward in time to reflect when travelers physically enter the terminal. Rather than assuming passengers arrive during their flight’s departure hour, the convolution distributes departing seat capacity across the preceding three hours according to empirical behavioral show-up curves</w:t>
      </w:r>
      <w:r w:rsidR="00283C60">
        <w:t xml:space="preserve">. The distribution </w:t>
      </w:r>
      <w:r w:rsidR="00107BCB">
        <w:t>allocat</w:t>
      </w:r>
      <w:r w:rsidR="00283C60">
        <w:t>es</w:t>
      </w:r>
      <w:r w:rsidR="00107BCB">
        <w:t xml:space="preserve"> 50% of originating passengers to the primary arrival window two hours prior (</w:t>
      </w:r>
      <m:oMath>
        <m:r>
          <w:rPr>
            <w:rFonts w:ascii="Cambria Math" w:hAnsi="Cambria Math"/>
          </w:rPr>
          <m:t>t-2</m:t>
        </m:r>
      </m:oMath>
      <w:r w:rsidR="00107BCB">
        <w:t>), 35% to the final hour (</w:t>
      </w:r>
      <m:oMath>
        <m:r>
          <w:rPr>
            <w:rFonts w:ascii="Cambria Math" w:hAnsi="Cambria Math"/>
          </w:rPr>
          <m:t>t-1</m:t>
        </m:r>
      </m:oMath>
      <w:r w:rsidR="00107BCB">
        <w:t>), and 15% to early arrivals three hours prior (</w:t>
      </w:r>
      <m:oMath>
        <m:r>
          <w:rPr>
            <w:rFonts w:ascii="Cambria Math" w:hAnsi="Cambria Math"/>
          </w:rPr>
          <m:t>t-3</m:t>
        </m:r>
      </m:oMath>
      <w:r w:rsidR="00107BCB">
        <w:t xml:space="preserve">). After scaling by booked load factors and deflating airside connecting passengers who never enter landside security, this transformation converts published flight timetables into an accurate baseline forecast of checkpoint queuing demand. </w:t>
      </w:r>
      <w:r w:rsidRPr="00895BAC">
        <w:t>See appendix for the complete feature engineering pipeline</w:t>
      </w:r>
      <w:r w:rsidR="00107BCB">
        <w:t>.</w:t>
      </w:r>
    </w:p>
    <w:p w14:paraId="3C552D13" w14:textId="77777777" w:rsidR="00FE22FF" w:rsidRPr="00895BAC" w:rsidRDefault="00FE22FF" w:rsidP="00895BAC">
      <w:pPr>
        <w:pStyle w:val="Heading3"/>
      </w:pPr>
      <w:r w:rsidRPr="00895BAC">
        <w:t>Model Training</w:t>
      </w:r>
    </w:p>
    <w:p w14:paraId="220C802C" w14:textId="42488947" w:rsidR="00553B49" w:rsidRPr="00CA13DE" w:rsidRDefault="00553B49" w:rsidP="008A3622">
      <w:pPr>
        <w:ind w:firstLine="720"/>
        <w:rPr>
          <w:color w:val="000000" w:themeColor="text1"/>
        </w:rPr>
      </w:pPr>
      <w:r>
        <w:t xml:space="preserve">To </w:t>
      </w:r>
      <w:r w:rsidRPr="00CA13DE">
        <w:rPr>
          <w:color w:val="000000" w:themeColor="text1"/>
        </w:rPr>
        <w:t>test the thesis hypothesis, three candidate predictive models representing distinct operational paradigms were evaluated against an empirical persistence control. The Baseline Control assumes today's hourly checkpoint arrival volatility repeats yesterday's observed dispersion (</w:t>
      </w:r>
      <m:oMath>
        <m:sSub>
          <m:sSubPr>
            <m:ctrlPr>
              <w:rPr>
                <w:rFonts w:ascii="Cambria Math" w:hAnsi="Cambria Math"/>
                <w:color w:val="000000" w:themeColor="text1"/>
              </w:rPr>
            </m:ctrlPr>
          </m:sSubPr>
          <m:e>
            <m:limUpp>
              <m:limUppPr>
                <m:ctrlPr>
                  <w:rPr>
                    <w:rFonts w:ascii="Cambria Math" w:hAnsi="Cambria Math"/>
                    <w:color w:val="000000" w:themeColor="text1"/>
                  </w:rPr>
                </m:ctrlPr>
              </m:limUppPr>
              <m:e>
                <m:r>
                  <m:rPr>
                    <m:nor/>
                  </m:rPr>
                  <w:rPr>
                    <w:color w:val="000000" w:themeColor="text1"/>
                  </w:rPr>
                  <m:t>Vol</m:t>
                </m:r>
              </m:e>
              <m:lim>
                <m:r>
                  <m:rPr>
                    <m:lit/>
                  </m:rPr>
                  <w:rPr>
                    <w:rFonts w:ascii="Cambria Math" w:hAnsi="Cambria Math"/>
                    <w:color w:val="000000" w:themeColor="text1"/>
                  </w:rPr>
                  <m:t>^</m:t>
                </m:r>
              </m:lim>
            </m:limUpp>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m:rPr>
                <m:nor/>
              </m:rPr>
              <w:rPr>
                <w:color w:val="000000" w:themeColor="text1"/>
              </w:rPr>
              <m:t>Vol</m:t>
            </m:r>
          </m:e>
          <m:sub>
            <m:r>
              <w:rPr>
                <w:rFonts w:ascii="Cambria Math" w:hAnsi="Cambria Math"/>
                <w:color w:val="000000" w:themeColor="text1"/>
              </w:rPr>
              <m:t>t-24</m:t>
            </m:r>
          </m:sub>
        </m:sSub>
        <m:r>
          <w:rPr>
            <w:rFonts w:ascii="Cambria Math" w:hAnsi="Cambria Math"/>
            <w:color w:val="000000" w:themeColor="text1"/>
          </w:rPr>
          <m:t>,</m:t>
        </m:r>
        <m:r>
          <m:rPr>
            <m:nor/>
          </m:rPr>
          <w:rPr>
            <w:color w:val="000000" w:themeColor="text1"/>
          </w:rPr>
          <m:t>MASE</m:t>
        </m:r>
        <m:r>
          <w:rPr>
            <w:rFonts w:ascii="Cambria Math" w:hAnsi="Cambria Math"/>
            <w:color w:val="000000" w:themeColor="text1"/>
          </w:rPr>
          <m:t>≡1.000</m:t>
        </m:r>
      </m:oMath>
      <w:r w:rsidRPr="00CA13DE">
        <w:rPr>
          <w:color w:val="000000" w:themeColor="text1"/>
        </w:rPr>
        <w:t>). Model 1 (Deterministic Flight Schedule Model) projects passenger arrival dispersion by convolving scheduled airline flight departure banks across empirical ACRP Report 40 show-up curves (</w:t>
      </w:r>
      <m:oMath>
        <m:r>
          <w:rPr>
            <w:rFonts w:ascii="Cambria Math" w:hAnsi="Cambria Math"/>
            <w:color w:val="000000" w:themeColor="text1"/>
          </w:rPr>
          <m:t>t+1,t+2,t+3</m:t>
        </m:r>
      </m:oMath>
      <w:r w:rsidRPr="00CA13DE">
        <w:rPr>
          <w:color w:val="000000" w:themeColor="text1"/>
        </w:rPr>
        <w:t xml:space="preserve">), capturing schedule geometry without requiring machine learning or live delay telemetry. Model 2 (Supervised Machine Learning Model) uses an automated decision-tree architecture trained across convolved schedule features and 24 Bureau of Transportation Statistics (BTS) On-Time Performance </w:t>
      </w:r>
      <w:r w:rsidRPr="00CA13DE">
        <w:rPr>
          <w:color w:val="000000" w:themeColor="text1"/>
        </w:rPr>
        <w:lastRenderedPageBreak/>
        <w:t>operational attributes (cancellations, prior-hour delays, and taxi queues). Model 3 (Dynamic Two-Stage Hybrid Model) couples scheduled flight cycles with live prior-hour recursive error correction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t-1</m:t>
            </m:r>
          </m:sub>
        </m:sSub>
      </m:oMath>
      <w:r w:rsidRPr="00CA13DE">
        <w:rPr>
          <w:color w:val="000000" w:themeColor="text1"/>
        </w:rPr>
        <w:t>) from actual screening counts to sense passenger accumulation during flight delays.</w:t>
      </w:r>
      <w:r>
        <w:rPr>
          <w:color w:val="000000" w:themeColor="text1"/>
        </w:rPr>
        <w:t xml:space="preserve"> </w:t>
      </w:r>
      <w:commentRangeStart w:id="22"/>
      <w:r w:rsidRPr="00CA13DE">
        <w:rPr>
          <w:color w:val="000000" w:themeColor="text1"/>
        </w:rPr>
        <w:t>Using the partitions and 7-day purge buffer established in Section 4.1, models were calibrated across 15,976 training complex-days and 3,293 validation complex-days prior to holdout evaluati</w:t>
      </w:r>
      <w:r>
        <w:rPr>
          <w:color w:val="000000" w:themeColor="text1"/>
        </w:rPr>
        <w:t>on.</w:t>
      </w:r>
      <w:commentRangeEnd w:id="22"/>
      <w:r w:rsidR="004A5CD1" w:rsidRPr="00CA13DE">
        <w:rPr>
          <w:rStyle w:val="CommentReference"/>
          <w:color w:val="000000" w:themeColor="text1"/>
          <w:sz w:val="24"/>
          <w:szCs w:val="24"/>
        </w:rPr>
        <w:commentReference w:id="22"/>
      </w:r>
    </w:p>
    <w:p w14:paraId="1B5F44B3" w14:textId="40562DAE" w:rsidR="00E40D42" w:rsidRPr="00895BAC" w:rsidRDefault="00FE22FF" w:rsidP="00895BAC">
      <w:pPr>
        <w:contextualSpacing/>
        <w:rPr>
          <w:b/>
          <w:bCs/>
          <w:i/>
          <w:iCs/>
        </w:rPr>
      </w:pPr>
      <w:r w:rsidRPr="00895BAC">
        <w:rPr>
          <w:b/>
          <w:bCs/>
          <w:i/>
          <w:iCs/>
        </w:rPr>
        <w:t>Model Testing</w:t>
      </w:r>
    </w:p>
    <w:p w14:paraId="1E9E3F78" w14:textId="4F766020" w:rsidR="00FE22FF" w:rsidRPr="00895BAC" w:rsidRDefault="00E40D42" w:rsidP="00895BAC">
      <w:pPr>
        <w:ind w:firstLine="360"/>
        <w:contextualSpacing/>
      </w:pPr>
      <w:r w:rsidRPr="00895BAC">
        <w:t>All candidate architectures were evaluated against the untouched 2025 Full-Year Out-of-Time Holdout Dataset, spanning January 1 to December 31, 2025 (12 continuous months; 3,222 test complex-days; 72,053 complex-level screening hours). Forecast performance was evaluated against the primary thesis target of diurnal throughput volatility (</w:t>
      </w:r>
      <m:oMath>
        <m:sSub>
          <m:sSubPr>
            <m:ctrlPr>
              <w:rPr>
                <w:rFonts w:ascii="Cambria Math" w:hAnsi="Cambria Math"/>
              </w:rPr>
            </m:ctrlPr>
          </m:sSubPr>
          <m:e>
            <m:r>
              <w:rPr>
                <w:rFonts w:ascii="Cambria Math" w:hAnsi="Cambria Math"/>
              </w:rPr>
              <m:t>σ</m:t>
            </m:r>
          </m:e>
          <m:sub>
            <m:r>
              <m:rPr>
                <m:nor/>
              </m:rPr>
              <m:t>TSA, hr</m:t>
            </m:r>
          </m:sub>
        </m:sSub>
      </m:oMath>
      <w:r w:rsidRPr="00895BAC">
        <w:t>, measured as pax/hr standard deviation across the 24 hours of each day) alongside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95BAC">
        <w:t>). Models were benchmarked across standard operational performance criteria, including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Root Mean Squared Error (RMSE; pax/hr), Mean Absolute Error (MAE; pax/hr), Mean Absolute Scaled Error (MASE; relative to daily persistence), and Mean Forecast Bias.</w:t>
      </w:r>
      <w:r w:rsidR="00FE22FF" w:rsidRPr="00895BAC">
        <w:rPr>
          <w:b/>
          <w:bCs/>
        </w:rPr>
        <w:t xml:space="preserve"> </w:t>
      </w:r>
    </w:p>
    <w:p w14:paraId="37F59F8F" w14:textId="6EF833BC" w:rsidR="00FE22FF" w:rsidRPr="00895BAC" w:rsidRDefault="00FE22FF" w:rsidP="00895BAC">
      <w:pPr>
        <w:pStyle w:val="Heading3"/>
      </w:pPr>
      <w:r w:rsidRPr="00895BAC">
        <w:t>Implications for Final Result</w:t>
      </w:r>
      <w:r w:rsidR="00DE4F0D" w:rsidRPr="00895BAC">
        <w:t xml:space="preserve"> Interpretation</w:t>
      </w:r>
    </w:p>
    <w:p w14:paraId="64F6F6EE" w14:textId="77777777" w:rsidR="00FE22FF" w:rsidRPr="00895BAC" w:rsidRDefault="00FE22FF" w:rsidP="00895BAC">
      <w:pPr>
        <w:ind w:firstLine="360"/>
        <w:contextualSpacing/>
      </w:pPr>
      <w:r w:rsidRPr="00895BAC">
        <w:t>When interpreting model evaluation metrics, several operational realities must be considered:</w:t>
      </w:r>
    </w:p>
    <w:p w14:paraId="716BFB53" w14:textId="77777777" w:rsidR="00FE22FF" w:rsidRPr="00895BAC" w:rsidRDefault="00FE22FF" w:rsidP="00895BAC">
      <w:pPr>
        <w:ind w:firstLine="360"/>
        <w:contextualSpacing/>
      </w:pPr>
      <w:r w:rsidRPr="00895BAC">
        <w:rPr>
          <w:b/>
          <w:bCs/>
        </w:rPr>
        <w:t>Dispersion Scale vs. Volume Scale</w:t>
      </w:r>
      <w:r w:rsidRPr="00895BAC">
        <w:t>. Unlike mean hourly throughput volume (which averages ~1,750 pax/hr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895BAC">
        <w:t>) averages 540 to 880 passengers per hour across hub complexes. An RMSE of ~220 pax/hr represents an exceptionally close fit to intraday arrival swings.</w:t>
      </w:r>
    </w:p>
    <w:p w14:paraId="56958A73" w14:textId="77777777" w:rsidR="00FE22FF" w:rsidRPr="00895BAC" w:rsidRDefault="00FE22FF" w:rsidP="00895BAC">
      <w:pPr>
        <w:ind w:firstLine="360"/>
        <w:contextualSpacing/>
      </w:pPr>
      <w:r w:rsidRPr="00895BAC">
        <w:rPr>
          <w:b/>
          <w:bCs/>
        </w:rPr>
        <w:lastRenderedPageBreak/>
        <w:t>MASE as the Primary Standard for Volatility Forecasting</w:t>
      </w:r>
      <w:r w:rsidRPr="00895BAC">
        <w:t>. MASE normalizes errors against daily persistence (</w:t>
      </w:r>
      <m:oMath>
        <m:sSub>
          <m:sSubPr>
            <m:ctrlPr>
              <w:rPr>
                <w:rFonts w:ascii="Cambria Math" w:hAnsi="Cambria Math"/>
              </w:rPr>
            </m:ctrlPr>
          </m:sSubPr>
          <m:e>
            <m:r>
              <m:rPr>
                <m:nor/>
              </m:rPr>
              <m:t>Vol</m:t>
            </m:r>
          </m:e>
          <m:sub>
            <m:r>
              <w:rPr>
                <w:rFonts w:ascii="Cambria Math" w:hAnsi="Cambria Math"/>
              </w:rPr>
              <m:t>t-24</m:t>
            </m:r>
          </m:sub>
        </m:sSub>
      </m:oMath>
      <w:r w:rsidRPr="00895BAC">
        <w:t>). A MASE below 0.85 indicates substantial predictive skill beyond historical patterns, while a MASE below 0.70 represents outstanding accuracy.</w:t>
      </w:r>
    </w:p>
    <w:p w14:paraId="41ED3BD0" w14:textId="6CE96E6B" w:rsidR="00FE22FF" w:rsidRPr="00895BAC" w:rsidRDefault="00FE22FF" w:rsidP="00895BAC">
      <w:pPr>
        <w:ind w:firstLine="360"/>
        <w:contextualSpacing/>
      </w:pPr>
      <w:r w:rsidRPr="00895BAC">
        <w:rPr>
          <w:b/>
          <w:bCs/>
        </w:rPr>
        <w:t>Conformal Staffing Buffers</w:t>
      </w:r>
      <w:r w:rsidRPr="00895BAC">
        <w:t>. Airport security planners can translate predicted throughput volatility directly into risk-buffered lane allocations to prevent queue overflow during peak departure banks.</w:t>
      </w:r>
    </w:p>
    <w:p w14:paraId="451C72D4" w14:textId="77777777" w:rsidR="00FE22FF" w:rsidRPr="00895BAC" w:rsidRDefault="00FE22FF" w:rsidP="00895BAC">
      <w:pPr>
        <w:pStyle w:val="Heading2"/>
      </w:pPr>
      <w:r w:rsidRPr="00895BAC">
        <w:t>Model Results and Evaluation</w:t>
      </w:r>
    </w:p>
    <w:p w14:paraId="6F6E07CE" w14:textId="77777777" w:rsidR="00FE22FF" w:rsidRPr="00895BAC" w:rsidRDefault="00FE22FF" w:rsidP="00895BAC">
      <w:pPr>
        <w:pStyle w:val="Heading3"/>
      </w:pPr>
      <w:r w:rsidRPr="00895BAC">
        <w:t>Results</w:t>
      </w:r>
    </w:p>
    <w:p w14:paraId="6B2E4D0A" w14:textId="77777777" w:rsidR="00FE22FF" w:rsidRPr="00895BAC" w:rsidRDefault="00FE22FF" w:rsidP="00895BAC">
      <w:pPr>
        <w:ind w:firstLine="720"/>
        <w:contextualSpacing/>
      </w:pPr>
      <w:r w:rsidRPr="00895BAC">
        <w:t>Table 4.10 reports the out-of-time evaluation benchmark matrix across the candidate model architectures on the 2025 holdout dataset (3,222 test airport-days; 72,053 hourly complex observations).</w:t>
      </w:r>
    </w:p>
    <w:p w14:paraId="6A4E655A" w14:textId="77777777" w:rsidR="00FE22FF" w:rsidRPr="00895BAC" w:rsidRDefault="00FE22FF" w:rsidP="00895BAC">
      <w:pPr>
        <w:contextualSpacing/>
        <w:rPr>
          <w:i/>
          <w:iCs/>
        </w:rPr>
      </w:pPr>
      <w:r w:rsidRPr="00895BAC">
        <w:rPr>
          <w:b/>
          <w:bCs/>
        </w:rPr>
        <w:t>Table 4.10</w:t>
      </w:r>
      <w:r w:rsidRPr="00895BAC">
        <w:br/>
      </w:r>
      <w:r w:rsidRPr="00895BAC">
        <w:rPr>
          <w:i/>
          <w:iCs/>
        </w:rPr>
        <w:t>Master Model Benchmark Matrix for TSA Throughput Volatility (2025 Full-Year Holdout)</w:t>
      </w:r>
    </w:p>
    <w:p w14:paraId="5C931D1D" w14:textId="77777777" w:rsidR="00FE22FF" w:rsidRPr="00895BAC" w:rsidRDefault="00FE22FF" w:rsidP="00895BAC">
      <w:pPr>
        <w:contextualSpacing/>
        <w:jc w:val="center"/>
      </w:pPr>
      <w:r w:rsidRPr="00895BAC">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7"/>
                    <a:stretch>
                      <a:fillRect/>
                    </a:stretch>
                  </pic:blipFill>
                  <pic:spPr>
                    <a:xfrm>
                      <a:off x="0" y="0"/>
                      <a:ext cx="6337820" cy="1110600"/>
                    </a:xfrm>
                    <a:prstGeom prst="rect">
                      <a:avLst/>
                    </a:prstGeom>
                  </pic:spPr>
                </pic:pic>
              </a:graphicData>
            </a:graphic>
          </wp:inline>
        </w:drawing>
      </w:r>
    </w:p>
    <w:p w14:paraId="12D0BF33" w14:textId="77777777" w:rsidR="00FE22FF" w:rsidRPr="00895BAC" w:rsidRDefault="00FE22FF" w:rsidP="00895BAC">
      <w:pPr>
        <w:pStyle w:val="Heading3"/>
      </w:pPr>
      <w:bookmarkStart w:id="23" w:name="_Toc242174153"/>
      <w:bookmarkStart w:id="24" w:name="_Toc242174805"/>
      <w:r w:rsidRPr="00895BAC">
        <w:t>General Model Performance Across the 9-Airport Cohort</w:t>
      </w:r>
      <w:bookmarkEnd w:id="23"/>
      <w:bookmarkEnd w:id="24"/>
    </w:p>
    <w:p w14:paraId="6D43BCF3" w14:textId="77777777" w:rsidR="00FE22FF" w:rsidRPr="00895BAC" w:rsidRDefault="00FE22FF" w:rsidP="00895BAC">
      <w:pPr>
        <w:ind w:firstLine="360"/>
        <w:contextualSpacing/>
      </w:pPr>
      <w:r w:rsidRPr="00895BAC">
        <w:t>The empirical results reveal clear performance separations across the modeling paradigms:</w:t>
      </w:r>
    </w:p>
    <w:p w14:paraId="5AB4A3AC" w14:textId="7FA7844C" w:rsidR="00FE22FF" w:rsidRPr="00895BAC" w:rsidRDefault="00FE22FF" w:rsidP="00895BAC">
      <w:pPr>
        <w:ind w:firstLine="360"/>
        <w:contextualSpacing/>
      </w:pPr>
      <w:r w:rsidRPr="00895BAC">
        <w:rPr>
          <w:b/>
          <w:bCs/>
        </w:rPr>
        <w:t>The Deterministic Schedule Baseline (Model 1)</w:t>
      </w:r>
      <w:r w:rsidRPr="00895BAC">
        <w:t xml:space="preserve">. </w:t>
      </w:r>
      <w:r w:rsidR="00AA726E">
        <w:t xml:space="preserve">Relying solely on published flight schedules, Model 1 achieved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00AA726E">
        <w:t>(</w:t>
      </w:r>
      <m:oMath>
        <m:r>
          <m:rPr>
            <m:nor/>
          </m:rPr>
          <m:t>RMSE</m:t>
        </m:r>
        <m:r>
          <w:rPr>
            <w:rFonts w:ascii="Cambria Math" w:hAnsi="Cambria Math"/>
          </w:rPr>
          <m:t>=313.4</m:t>
        </m:r>
      </m:oMath>
      <w:r w:rsidR="00AA726E">
        <w:t xml:space="preserve"> pax/hr, </w:t>
      </w:r>
      <m:oMath>
        <m:r>
          <m:rPr>
            <m:nor/>
          </m:rPr>
          <m:t>MASE</m:t>
        </m:r>
        <m:r>
          <w:rPr>
            <w:rFonts w:ascii="Cambria Math" w:hAnsi="Cambria Math"/>
          </w:rPr>
          <m:t>=0.945</m:t>
        </m:r>
      </m:oMath>
      <w:r w:rsidR="00AA726E">
        <w:t>). This outperforms daily persistence by 5.5% (</w:t>
      </w:r>
      <m:oMath>
        <m:r>
          <m:rPr>
            <m:nor/>
          </m:rPr>
          <m:t>MASE</m:t>
        </m:r>
        <m:r>
          <w:rPr>
            <w:rFonts w:ascii="Cambria Math" w:hAnsi="Cambria Math"/>
          </w:rPr>
          <m:t>&lt;1.000</m:t>
        </m:r>
      </m:oMath>
      <w:r w:rsidR="00AA726E">
        <w:t>), demonstrating that schedule geometry alone captures approximately half of total checkpoint arrival variance without requiring machine learning infrastructure</w:t>
      </w:r>
    </w:p>
    <w:p w14:paraId="5EF7DED1" w14:textId="5862C5A2" w:rsidR="00FE22FF" w:rsidRPr="00895BAC" w:rsidRDefault="00DE4F0D" w:rsidP="00895BAC">
      <w:pPr>
        <w:ind w:firstLine="360"/>
        <w:contextualSpacing/>
      </w:pPr>
      <w:r w:rsidRPr="00895BAC">
        <w:rPr>
          <w:b/>
          <w:bCs/>
        </w:rPr>
        <w:lastRenderedPageBreak/>
        <w:t>Supervised Machine Learning (</w:t>
      </w:r>
      <w:r w:rsidR="00FE22FF" w:rsidRPr="00895BAC">
        <w:rPr>
          <w:b/>
          <w:bCs/>
        </w:rPr>
        <w:t>Model 2)</w:t>
      </w:r>
      <w:r w:rsidR="00FE22FF" w:rsidRPr="00895BAC">
        <w:t xml:space="preserve">. </w:t>
      </w:r>
      <w:r w:rsidR="000C744B">
        <w:t xml:space="preserve">Adding operational flight delays and cancellations elevated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0C744B">
        <w:t>(</w:t>
      </w:r>
      <m:oMath>
        <m:r>
          <m:rPr>
            <m:nor/>
          </m:rPr>
          <m:t>RMSE</m:t>
        </m:r>
        <m:r>
          <w:rPr>
            <w:rFonts w:ascii="Cambria Math" w:hAnsi="Cambria Math"/>
          </w:rPr>
          <m:t>=273.5</m:t>
        </m:r>
      </m:oMath>
      <w:r w:rsidR="000C744B">
        <w:t xml:space="preserve"> pax/hr, </w:t>
      </w:r>
      <m:oMath>
        <m:r>
          <m:rPr>
            <m:nor/>
          </m:rPr>
          <m:t>MASE</m:t>
        </m:r>
        <m:r>
          <w:rPr>
            <w:rFonts w:ascii="Cambria Math" w:hAnsi="Cambria Math"/>
          </w:rPr>
          <m:t>=0.779</m:t>
        </m:r>
      </m:oMath>
      <w:r w:rsidR="000C744B">
        <w:t>). Diebold-Mariano tests confirm that Model 2's error reduction over the deterministic schedule baseline is statistically decisive (</w:t>
      </w:r>
      <m:oMath>
        <m:r>
          <w:rPr>
            <w:rFonts w:ascii="Cambria Math" w:hAnsi="Cambria Math"/>
          </w:rPr>
          <m:t>DM=42.15,p&lt;0.0001</m:t>
        </m:r>
      </m:oMath>
      <w:r w:rsidR="000C744B">
        <w:t>).</w:t>
      </w:r>
    </w:p>
    <w:p w14:paraId="1642EA9F" w14:textId="77777777" w:rsidR="009576C4" w:rsidRDefault="00FE22FF" w:rsidP="000C744B">
      <w:pPr>
        <w:ind w:firstLine="360"/>
        <w:contextualSpacing/>
      </w:pPr>
      <w:r w:rsidRPr="00895BAC">
        <w:rPr>
          <w:b/>
          <w:bCs/>
        </w:rPr>
        <w:t>The Dynamic Two-Stage Hybrid (Model 3</w:t>
      </w:r>
      <w:r w:rsidR="000C744B">
        <w:rPr>
          <w:b/>
          <w:bCs/>
        </w:rPr>
        <w:t>):</w:t>
      </w:r>
      <w:r w:rsidR="000C744B" w:rsidRPr="000C744B">
        <w:t xml:space="preserve"> </w:t>
      </w:r>
      <w:r w:rsidR="000C744B">
        <w:t>I</w:t>
      </w:r>
      <w:r w:rsidR="000C744B">
        <w:t>ncorporating live prior-hour error feedback yielded the highest overall holdout fit, explaining 74.83% of passenger throughput volatility variance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=0.7483</m:t>
        </m:r>
      </m:oMath>
      <w:r w:rsidR="000C744B">
        <w:t xml:space="preserve">, </w:t>
      </w:r>
      <m:oMath>
        <m:r>
          <m:rPr>
            <m:nor/>
          </m:rPr>
          <m:t>RMSE</m:t>
        </m:r>
        <m:r>
          <w:rPr>
            <w:rFonts w:ascii="Cambria Math" w:hAnsi="Cambria Math"/>
          </w:rPr>
          <m:t>=222.1</m:t>
        </m:r>
      </m:oMath>
      <w:r w:rsidR="000C744B">
        <w:t xml:space="preserve">pax/hr, </w:t>
      </w:r>
      <m:oMath>
        <m:r>
          <m:rPr>
            <m:nor/>
          </m:rPr>
          <m:t>MASE</m:t>
        </m:r>
        <m:r>
          <w:rPr>
            <w:rFonts w:ascii="Cambria Math" w:hAnsi="Cambria Math"/>
          </w:rPr>
          <m:t>=0.662</m:t>
        </m:r>
      </m:oMath>
      <w:r w:rsidR="000C744B">
        <w:t>).</w:t>
      </w:r>
    </w:p>
    <w:p w14:paraId="39D3411C" w14:textId="0D627C30" w:rsidR="00FE22FF" w:rsidRPr="00895BAC" w:rsidRDefault="00FE22FF" w:rsidP="009576C4">
      <w:pPr>
        <w:pStyle w:val="Heading3"/>
      </w:pPr>
      <w:r w:rsidRPr="00895BAC">
        <w:t>Model Performance and Hypothesis Testing</w:t>
      </w:r>
    </w:p>
    <w:p w14:paraId="281275E1" w14:textId="1913E880" w:rsidR="00760008" w:rsidRPr="00895BAC" w:rsidRDefault="00760008" w:rsidP="00895BAC">
      <w:pPr>
        <w:ind w:firstLine="720"/>
        <w:contextualSpacing/>
      </w:pPr>
      <w:r w:rsidRPr="00895BAC">
        <w:t>The thesis hypothesis (Hypothesis 1) assert</w:t>
      </w:r>
      <w:r w:rsidR="009E05EA">
        <w:t>s</w:t>
      </w:r>
      <w:r w:rsidRPr="00895BAC">
        <w:t xml:space="preserve">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 Robustness, defined as achieving the lowest </w:t>
      </w:r>
      <m:oMath>
        <m:sSub>
          <m:sSubPr>
            <m:ctrlPr>
              <w:rPr>
                <w:rFonts w:ascii="Cambria Math" w:hAnsi="Cambria Math"/>
              </w:rPr>
            </m:ctrlPr>
          </m:sSubPr>
          <m:e>
            <m:r>
              <m:rPr>
                <m:nor/>
              </m:rPr>
              <m:t>RMSE</m:t>
            </m:r>
          </m:e>
          <m:sub>
            <m:r>
              <m:rPr>
                <m:nor/>
              </m:rPr>
              <m:t>routine</m:t>
            </m:r>
          </m:sub>
        </m:sSub>
        <m:r>
          <w:rPr>
            <w:rFonts w:ascii="Cambria Math" w:hAnsi="Cambria Math"/>
          </w:rPr>
          <m:t xml:space="preserve"> </m:t>
        </m:r>
      </m:oMath>
      <w:r w:rsidRPr="00895BAC">
        <w:t xml:space="preserve">and </w:t>
      </w:r>
      <m:oMath>
        <m:sSub>
          <m:sSubPr>
            <m:ctrlPr>
              <w:rPr>
                <w:rFonts w:ascii="Cambria Math" w:hAnsi="Cambria Math"/>
              </w:rPr>
            </m:ctrlPr>
          </m:sSubPr>
          <m:e>
            <m:r>
              <m:rPr>
                <m:nor/>
              </m:rPr>
              <m:t>MASE</m:t>
            </m:r>
          </m:e>
          <m:sub>
            <m:r>
              <m:rPr>
                <m:nor/>
              </m:rPr>
              <m:t>routine</m:t>
            </m:r>
          </m:sub>
        </m:sSub>
        <m:r>
          <w:rPr>
            <w:rFonts w:ascii="Cambria Math" w:hAnsi="Cambria Math"/>
          </w:rPr>
          <m:t xml:space="preserve">&lt;0.70 </m:t>
        </m:r>
      </m:oMath>
      <w:r w:rsidRPr="00895BAC">
        <w:t xml:space="preserve">under Nominal On-Time Baseline conditions; Resilience, defined as maintaining a Recovery Multiplier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 xml:space="preserve">≈1.00 </m:t>
        </m:r>
      </m:oMath>
      <w:r w:rsidRPr="00895BAC">
        <w:t xml:space="preserve">and the lowest </w:t>
      </w:r>
      <m:oMath>
        <m:sSub>
          <m:sSubPr>
            <m:ctrlPr>
              <w:rPr>
                <w:rFonts w:ascii="Cambria Math" w:hAnsi="Cambria Math"/>
              </w:rPr>
            </m:ctrlPr>
          </m:sSubPr>
          <m:e>
            <m:r>
              <m:rPr>
                <m:nor/>
              </m:rPr>
              <m:t>MASE</m:t>
            </m:r>
          </m:e>
          <m:sub>
            <m:r>
              <m:rPr>
                <m:nor/>
              </m:rPr>
              <m:t>shock</m:t>
            </m:r>
          </m:sub>
        </m:sSub>
        <m:r>
          <w:rPr>
            <w:rFonts w:ascii="Cambria Math" w:hAnsi="Cambria Math"/>
          </w:rPr>
          <m:t xml:space="preserve"> </m:t>
        </m:r>
      </m:oMath>
      <w:r w:rsidRPr="00895BAC">
        <w:t xml:space="preserve">during </w:t>
      </w:r>
      <w:r w:rsidR="00303062" w:rsidRPr="00895BAC">
        <w:t>i</w:t>
      </w:r>
      <w:r w:rsidRPr="00895BAC">
        <w:t xml:space="preserve">rregular </w:t>
      </w:r>
      <w:r w:rsidR="00303062" w:rsidRPr="00895BAC">
        <w:t>o</w:t>
      </w:r>
      <w:r w:rsidRPr="00895BAC">
        <w:t>perations</w:t>
      </w:r>
      <w:r w:rsidR="00303062" w:rsidRPr="00895BAC">
        <w:t xml:space="preserve">; </w:t>
      </w:r>
      <w:r w:rsidRPr="00895BAC">
        <w:t xml:space="preserve">and Generalizability, defined as maintaining a Relative Transfer Ratio </w:t>
      </w:r>
      <m:oMath>
        <m:r>
          <m:rPr>
            <m:nor/>
          </m:rPr>
          <m:t>RTR</m:t>
        </m:r>
        <m:r>
          <w:rPr>
            <w:rFonts w:ascii="Cambria Math" w:hAnsi="Cambria Math"/>
          </w:rPr>
          <m:t xml:space="preserve">≈1.00 </m:t>
        </m:r>
      </m:oMath>
      <w:r w:rsidRPr="00895BAC">
        <w:t xml:space="preserve">with </w:t>
      </w:r>
      <m:oMath>
        <m:r>
          <m:rPr>
            <m:sty m:val="p"/>
          </m:rPr>
          <w:rPr>
            <w:rFonts w:ascii="Cambria Math" w:hAnsi="Cambria Math"/>
          </w:rPr>
          <m:t>Δ</m:t>
        </m:r>
        <m:sSub>
          <m:sSubPr>
            <m:ctrlPr>
              <w:rPr>
                <w:rFonts w:ascii="Cambria Math" w:hAnsi="Cambria Math"/>
              </w:rPr>
            </m:ctrlPr>
          </m:sSubPr>
          <m:e>
            <m:r>
              <m:rPr>
                <m:nor/>
              </m:rPr>
              <m:t>MASE</m:t>
            </m:r>
          </m:e>
          <m:sub>
            <m:r>
              <m:rPr>
                <m:nor/>
              </m:rPr>
              <m:t>transfer</m:t>
            </m:r>
          </m:sub>
        </m:sSub>
        <m:r>
          <w:rPr>
            <w:rFonts w:ascii="Cambria Math" w:hAnsi="Cambria Math"/>
          </w:rPr>
          <m:t xml:space="preserve">≤10.0% </m:t>
        </m:r>
      </m:oMath>
      <w:r w:rsidRPr="00895BAC">
        <w:t>under zero-shot spatial transfer without model retraining.</w:t>
      </w:r>
    </w:p>
    <w:p w14:paraId="360859FF" w14:textId="250B21D1" w:rsidR="00FE22FF" w:rsidRPr="00895BAC" w:rsidRDefault="00FE22FF" w:rsidP="00895BAC">
      <w:pPr>
        <w:pStyle w:val="Heading3"/>
      </w:pPr>
      <w:bookmarkStart w:id="25" w:name="_Toc242174154"/>
      <w:bookmarkStart w:id="26" w:name="_Toc242174806"/>
      <w:r w:rsidRPr="00895BAC">
        <w:t>Empirical Confirmation of Asymmetric Trade-Offs</w:t>
      </w:r>
      <w:bookmarkEnd w:id="25"/>
      <w:bookmarkEnd w:id="26"/>
    </w:p>
    <w:p w14:paraId="79715E48" w14:textId="222C4463" w:rsidR="00FE22FF" w:rsidRPr="00895BAC" w:rsidRDefault="00FE22FF" w:rsidP="00895BAC">
      <w:pPr>
        <w:ind w:firstLine="360"/>
        <w:contextualSpacing/>
      </w:pPr>
      <w:r w:rsidRPr="00895BAC">
        <w:rPr>
          <w:b/>
          <w:bCs/>
        </w:rPr>
        <w:t>Dimension 1: Robustness (Nominal &amp; Routine Conditions)</w:t>
      </w:r>
      <w:r w:rsidR="00143FCA" w:rsidRPr="00895BAC">
        <w:t xml:space="preserve">. </w:t>
      </w:r>
      <w:r w:rsidRPr="00895BAC">
        <w:t>Both the Machine Learning model (Model 2) and Dynamic Hybrid (Model 3) achieve the academic target of </w:t>
      </w:r>
      <m:oMath>
        <m:r>
          <m:rPr>
            <m:nor/>
          </m:rPr>
          <m:t>MASE</m:t>
        </m:r>
        <m:r>
          <w:rPr>
            <w:rFonts w:ascii="Cambria Math" w:hAnsi="Cambria Math"/>
          </w:rPr>
          <m:t>&lt;0.70</m:t>
        </m:r>
      </m:oMath>
      <w:r w:rsidRPr="00895BAC">
        <w:t xml:space="preserve"> under routine operations. </w:t>
      </w:r>
      <w:r w:rsidR="00682543" w:rsidRPr="00895BAC">
        <w:t xml:space="preserve">However, Model 2 achieves this with near-zero computational </w:t>
      </w:r>
      <w:r w:rsidR="00682543" w:rsidRPr="00895BAC">
        <w:lastRenderedPageBreak/>
        <w:t>overhead and requires no real-time checkpoint data feeds, allowing airport managers to generate staffing schedules days in advance rather than waiting on live hourly sensor updates</w:t>
      </w:r>
      <w:r w:rsidRPr="00895BAC">
        <w:t>.</w:t>
      </w:r>
    </w:p>
    <w:p w14:paraId="0D3AD769" w14:textId="01A1D2C9" w:rsidR="00FE22FF" w:rsidRPr="00895BAC" w:rsidRDefault="00FE22FF" w:rsidP="00895BAC">
      <w:pPr>
        <w:ind w:firstLine="360"/>
        <w:contextualSpacing/>
      </w:pPr>
      <w:r w:rsidRPr="00895BAC">
        <w:rPr>
          <w:b/>
          <w:bCs/>
        </w:rPr>
        <w:t>Dimension 2: Resilience (Severe Disruption</w:t>
      </w:r>
      <w:r w:rsidR="00143FCA" w:rsidRPr="00895BAC">
        <w:rPr>
          <w:b/>
          <w:bCs/>
        </w:rPr>
        <w:t xml:space="preserve">). </w:t>
      </w:r>
      <w:r w:rsidRPr="00895BAC">
        <w:t xml:space="preserve">The Dynamic Hybrid Framework (Model 3) is the decisive champion of Resilience. While </w:t>
      </w:r>
      <w:r w:rsidR="004A204C">
        <w:t>the</w:t>
      </w:r>
      <w:r w:rsidRPr="00895BAC">
        <w:t xml:space="preserve"> </w:t>
      </w:r>
      <w:r w:rsidR="004A204C">
        <w:t>M</w:t>
      </w:r>
      <w:r w:rsidRPr="00895BAC">
        <w:t xml:space="preserve">achine </w:t>
      </w:r>
      <w:r w:rsidR="004A204C">
        <w:t>L</w:t>
      </w:r>
      <w:r w:rsidRPr="00895BAC">
        <w:t>earning (Model 2) suffers from the "Empty Checkpoint Fallacy" during delayed flight holds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=2.14</m:t>
        </m:r>
      </m:oMath>
      <w:r w:rsidRPr="00895BAC">
        <w:t>), Model 3's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95BAC">
        <w:t>) maintains a resilient multiplier of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895BAC">
        <w:t> and achieves the fastest Time-to-Recovery (</w:t>
      </w:r>
      <m:oMath>
        <m:r>
          <m:rPr>
            <m:nor/>
          </m:rPr>
          <m:t>TTR</m:t>
        </m:r>
        <m:r>
          <w:rPr>
            <w:rFonts w:ascii="Cambria Math" w:hAnsi="Cambria Math"/>
          </w:rPr>
          <m:t>=2.8</m:t>
        </m:r>
        <m:r>
          <m:rPr>
            <m:nor/>
          </m:rPr>
          <m:t> hours</m:t>
        </m:r>
      </m:oMath>
      <w:r w:rsidRPr="00895BAC">
        <w:t>).</w:t>
      </w:r>
    </w:p>
    <w:p w14:paraId="25669629" w14:textId="7502659D" w:rsidR="00FE22FF" w:rsidRDefault="00FE22FF" w:rsidP="00895BAC">
      <w:pPr>
        <w:ind w:firstLine="360"/>
        <w:contextualSpacing/>
      </w:pPr>
      <w:r w:rsidRPr="00895BAC">
        <w:rPr>
          <w:b/>
          <w:bCs/>
        </w:rPr>
        <w:t>Dimension 3: Generalizability (Zero-Shot Portability)</w:t>
      </w:r>
      <w:r w:rsidR="00143FCA" w:rsidRPr="00895BAC">
        <w:t xml:space="preserve">. </w:t>
      </w:r>
      <w:r w:rsidRPr="00895BAC">
        <w:t>The Deterministic Model (Model 1) is the decisive champion of Generalizability. It successfully meets both stated targets: </w:t>
      </w:r>
      <m:oMath>
        <m:r>
          <m:rPr>
            <m:nor/>
          </m:rPr>
          <m:t>RTR</m:t>
        </m:r>
        <m:r>
          <w:rPr>
            <w:rFonts w:ascii="Cambria Math" w:hAnsi="Cambria Math"/>
          </w:rPr>
          <m:t>=1.04≈1.00</m:t>
        </m:r>
      </m:oMath>
      <w:r w:rsidRPr="00895BAC">
        <w:t> and </w:t>
      </w:r>
      <m:oMath>
        <m:r>
          <m:rPr>
            <m:sty m:val="p"/>
          </m:rPr>
          <w:rPr>
            <w:rFonts w:ascii="Cambria Math" w:hAnsi="Cambria Math"/>
          </w:rPr>
          <m:t>Δ</m:t>
        </m:r>
        <m:r>
          <m:rPr>
            <m:nor/>
          </m:rPr>
          <m:t>MASE</m:t>
        </m:r>
        <m:r>
          <w:rPr>
            <w:rFonts w:ascii="Cambria Math" w:hAnsi="Cambria Math"/>
          </w:rPr>
          <m:t>=+4.0%≤10.0%</m:t>
        </m:r>
      </m:oMath>
      <w:r w:rsidRPr="00895BAC">
        <w:t>. Conversely, the Hybrid model (Model 3) decisively fails the Generalizability targets (</w:t>
      </w:r>
      <m:oMath>
        <m:r>
          <m:rPr>
            <m:nor/>
          </m:rPr>
          <m:t>RTR</m:t>
        </m:r>
        <m:r>
          <w:rPr>
            <w:rFonts w:ascii="Cambria Math" w:hAnsi="Cambria Math"/>
          </w:rPr>
          <m:t>=1.19&gt;1.00,</m:t>
        </m:r>
        <m:r>
          <m:rPr>
            <m:sty m:val="p"/>
          </m:rPr>
          <w:rPr>
            <w:rFonts w:ascii="Cambria Math" w:hAnsi="Cambria Math"/>
          </w:rPr>
          <m:t>Δ</m:t>
        </m:r>
        <m:r>
          <m:rPr>
            <m:nor/>
          </m:rPr>
          <m:t>MASE</m:t>
        </m:r>
        <m:r>
          <w:rPr>
            <w:rFonts w:ascii="Cambria Math" w:hAnsi="Cambria Math"/>
          </w:rPr>
          <m:t>=+21.5%&gt;10.0%</m:t>
        </m:r>
      </m:oMath>
      <w:r w:rsidRPr="00895BAC">
        <w:t xml:space="preserve">) because its decision-tree component overfits to Newark's specific terminal </w:t>
      </w:r>
      <w:r w:rsidR="00732190">
        <w:t>layout</w:t>
      </w:r>
      <w:r w:rsidRPr="00895BAC">
        <w:t xml:space="preserve"> and carrier bank timings.</w:t>
      </w:r>
    </w:p>
    <w:p w14:paraId="2E18A3F3" w14:textId="22DF2304" w:rsidR="00895BAC" w:rsidRPr="00895BAC" w:rsidRDefault="00B113B1" w:rsidP="00C37DEC">
      <w:pPr>
        <w:ind w:firstLine="360"/>
        <w:contextualSpacing/>
      </w:pPr>
      <w:r>
        <w:t>The</w:t>
      </w:r>
      <w:r w:rsidRPr="00B113B1">
        <w:t xml:space="preserv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w:t>
      </w:r>
      <w:r w:rsidR="00C37DEC">
        <w:t>The Dynamic Hybrid model (Model 3) is best during severe flight delays and irregular operations, the Deterministic Schedule model (Model 1) 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895B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Gleich, Leila" w:date="2026-10-06T16:57:00Z" w:initials="GL">
    <w:p w14:paraId="0CFFE471" w14:textId="77777777" w:rsidR="0014663D" w:rsidRDefault="0014663D" w:rsidP="0014663D">
      <w:r>
        <w:rPr>
          <w:rStyle w:val="CommentReference"/>
        </w:rPr>
        <w:annotationRef/>
      </w:r>
      <w:r>
        <w:rPr>
          <w:sz w:val="20"/>
          <w:szCs w:val="20"/>
        </w:rPr>
        <w:t>Appendix</w:t>
      </w:r>
    </w:p>
  </w:comment>
  <w:comment w:id="11" w:author="Gleich, Leila" w:date="2026-10-06T17:08:00Z" w:initials="GL">
    <w:p w14:paraId="54CB7DD2" w14:textId="77777777" w:rsidR="00947D65" w:rsidRDefault="00947D65" w:rsidP="00947D65">
      <w:r>
        <w:rPr>
          <w:rStyle w:val="CommentReference"/>
        </w:rPr>
        <w:annotationRef/>
      </w:r>
      <w:r>
        <w:rPr>
          <w:sz w:val="20"/>
          <w:szCs w:val="20"/>
        </w:rPr>
        <w:t>Table</w:t>
      </w:r>
    </w:p>
  </w:comment>
  <w:comment w:id="16" w:author="Gleich, Leila" w:date="2026-10-06T16:35:00Z" w:initials="GL">
    <w:p w14:paraId="0DBBC9AF" w14:textId="77777777" w:rsidR="00525542" w:rsidRDefault="00525542" w:rsidP="00525542">
      <w:r>
        <w:rPr>
          <w:rStyle w:val="CommentReference"/>
        </w:rPr>
        <w:annotationRef/>
      </w:r>
      <w:r>
        <w:rPr>
          <w:sz w:val="20"/>
          <w:szCs w:val="20"/>
        </w:rPr>
        <w:t>appendix</w:t>
      </w:r>
    </w:p>
  </w:comment>
  <w:comment w:id="21" w:author="Gleich, Leila" w:date="2026-10-06T16:11:00Z" w:initials="GL">
    <w:p w14:paraId="459D9DC1" w14:textId="77777777" w:rsidR="0047660D" w:rsidRDefault="0047660D" w:rsidP="0047660D">
      <w:r>
        <w:rPr>
          <w:rStyle w:val="CommentReference"/>
        </w:rPr>
        <w:annotationRef/>
      </w:r>
      <w:r>
        <w:rPr>
          <w:sz w:val="20"/>
          <w:szCs w:val="20"/>
        </w:rPr>
        <w:t>Appendix</w:t>
      </w:r>
    </w:p>
  </w:comment>
  <w:comment w:id="22" w:author="Gleich, Leila" w:date="2026-10-06T16:32:00Z" w:initials="GL">
    <w:p w14:paraId="763D4259" w14:textId="77777777" w:rsidR="004A5CD1" w:rsidRDefault="004A5CD1" w:rsidP="004A5CD1">
      <w:r>
        <w:rPr>
          <w:rStyle w:val="CommentReference"/>
        </w:rPr>
        <w:annotationRef/>
      </w:r>
      <w:r>
        <w:rPr>
          <w:sz w:val="20"/>
          <w:szCs w:val="20"/>
        </w:rPr>
        <w:t>appendix or footnote?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FFE471" w15:done="0"/>
  <w15:commentEx w15:paraId="54CB7DD2" w15:done="0"/>
  <w15:commentEx w15:paraId="0DBBC9AF" w15:done="0"/>
  <w15:commentEx w15:paraId="459D9DC1" w15:done="0"/>
  <w15:commentEx w15:paraId="763D42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F5AD68B" w16cex:dateUtc="2026-10-06T23:57:00Z"/>
  <w16cex:commentExtensible w16cex:durableId="4CB04047" w16cex:dateUtc="2026-10-07T00:08:00Z"/>
  <w16cex:commentExtensible w16cex:durableId="3786DA32" w16cex:dateUtc="2026-10-06T23:35:00Z"/>
  <w16cex:commentExtensible w16cex:durableId="755375B4" w16cex:dateUtc="2026-10-06T23:11:00Z"/>
  <w16cex:commentExtensible w16cex:durableId="19A75B7F" w16cex:dateUtc="2026-10-06T2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FFE471" w16cid:durableId="6F5AD68B"/>
  <w16cid:commentId w16cid:paraId="54CB7DD2" w16cid:durableId="4CB04047"/>
  <w16cid:commentId w16cid:paraId="0DBBC9AF" w16cid:durableId="3786DA32"/>
  <w16cid:commentId w16cid:paraId="459D9DC1" w16cid:durableId="755375B4"/>
  <w16cid:commentId w16cid:paraId="763D4259" w16cid:durableId="19A75B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5"/>
  </w:num>
  <w:num w:numId="3" w16cid:durableId="227883628">
    <w:abstractNumId w:val="8"/>
  </w:num>
  <w:num w:numId="4" w16cid:durableId="1855339510">
    <w:abstractNumId w:val="7"/>
  </w:num>
  <w:num w:numId="5" w16cid:durableId="1433086588">
    <w:abstractNumId w:val="9"/>
  </w:num>
  <w:num w:numId="6" w16cid:durableId="1387529332">
    <w:abstractNumId w:val="2"/>
  </w:num>
  <w:num w:numId="7" w16cid:durableId="377510291">
    <w:abstractNumId w:val="12"/>
  </w:num>
  <w:num w:numId="8" w16cid:durableId="214972192">
    <w:abstractNumId w:val="6"/>
  </w:num>
  <w:num w:numId="9" w16cid:durableId="334386063">
    <w:abstractNumId w:val="4"/>
  </w:num>
  <w:num w:numId="10" w16cid:durableId="1081682686">
    <w:abstractNumId w:val="10"/>
  </w:num>
  <w:num w:numId="11" w16cid:durableId="1403942545">
    <w:abstractNumId w:val="1"/>
  </w:num>
  <w:num w:numId="12" w16cid:durableId="1180042847">
    <w:abstractNumId w:val="3"/>
  </w:num>
  <w:num w:numId="13" w16cid:durableId="14039154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B3680"/>
    <w:rsid w:val="000B7174"/>
    <w:rsid w:val="000C744B"/>
    <w:rsid w:val="00107BCB"/>
    <w:rsid w:val="00143FCA"/>
    <w:rsid w:val="0014663D"/>
    <w:rsid w:val="001759BF"/>
    <w:rsid w:val="001C275F"/>
    <w:rsid w:val="00210080"/>
    <w:rsid w:val="002350E6"/>
    <w:rsid w:val="002354FC"/>
    <w:rsid w:val="00243745"/>
    <w:rsid w:val="00273628"/>
    <w:rsid w:val="00283C60"/>
    <w:rsid w:val="00295729"/>
    <w:rsid w:val="002B3A55"/>
    <w:rsid w:val="002B7944"/>
    <w:rsid w:val="002C3A4F"/>
    <w:rsid w:val="002F6BA1"/>
    <w:rsid w:val="00303062"/>
    <w:rsid w:val="00310F3F"/>
    <w:rsid w:val="00366380"/>
    <w:rsid w:val="003C24F6"/>
    <w:rsid w:val="003C5D05"/>
    <w:rsid w:val="003D67B4"/>
    <w:rsid w:val="004018C5"/>
    <w:rsid w:val="00402581"/>
    <w:rsid w:val="0045628D"/>
    <w:rsid w:val="0047660D"/>
    <w:rsid w:val="00482852"/>
    <w:rsid w:val="004A204C"/>
    <w:rsid w:val="004A2BD9"/>
    <w:rsid w:val="004A3777"/>
    <w:rsid w:val="004A5CD1"/>
    <w:rsid w:val="004E7D0B"/>
    <w:rsid w:val="004F1899"/>
    <w:rsid w:val="00516A28"/>
    <w:rsid w:val="00517FE5"/>
    <w:rsid w:val="00525542"/>
    <w:rsid w:val="0053527F"/>
    <w:rsid w:val="00540ACC"/>
    <w:rsid w:val="00551D8D"/>
    <w:rsid w:val="00553B49"/>
    <w:rsid w:val="00586F37"/>
    <w:rsid w:val="00597596"/>
    <w:rsid w:val="005D360B"/>
    <w:rsid w:val="005E7E1C"/>
    <w:rsid w:val="005F4684"/>
    <w:rsid w:val="006062C4"/>
    <w:rsid w:val="00626B04"/>
    <w:rsid w:val="00643EC5"/>
    <w:rsid w:val="00651CE2"/>
    <w:rsid w:val="0067537F"/>
    <w:rsid w:val="00682543"/>
    <w:rsid w:val="006B1609"/>
    <w:rsid w:val="006C1506"/>
    <w:rsid w:val="006F32B3"/>
    <w:rsid w:val="00724533"/>
    <w:rsid w:val="00732190"/>
    <w:rsid w:val="0074327F"/>
    <w:rsid w:val="00760008"/>
    <w:rsid w:val="007F537B"/>
    <w:rsid w:val="00801CD1"/>
    <w:rsid w:val="008248AD"/>
    <w:rsid w:val="008300DD"/>
    <w:rsid w:val="00854018"/>
    <w:rsid w:val="00857917"/>
    <w:rsid w:val="00895BAC"/>
    <w:rsid w:val="008A3622"/>
    <w:rsid w:val="008C2F51"/>
    <w:rsid w:val="00947D65"/>
    <w:rsid w:val="009576C4"/>
    <w:rsid w:val="00983825"/>
    <w:rsid w:val="009A52F7"/>
    <w:rsid w:val="009B197A"/>
    <w:rsid w:val="009C20BE"/>
    <w:rsid w:val="009D6EFF"/>
    <w:rsid w:val="009E05EA"/>
    <w:rsid w:val="009E1C8A"/>
    <w:rsid w:val="009F38BB"/>
    <w:rsid w:val="00A30342"/>
    <w:rsid w:val="00A531B1"/>
    <w:rsid w:val="00A66DA7"/>
    <w:rsid w:val="00A83C8B"/>
    <w:rsid w:val="00A97365"/>
    <w:rsid w:val="00AA540D"/>
    <w:rsid w:val="00AA726E"/>
    <w:rsid w:val="00AD36B7"/>
    <w:rsid w:val="00B113B1"/>
    <w:rsid w:val="00B2420D"/>
    <w:rsid w:val="00B33A48"/>
    <w:rsid w:val="00B66396"/>
    <w:rsid w:val="00BD2540"/>
    <w:rsid w:val="00BF4FCE"/>
    <w:rsid w:val="00C36957"/>
    <w:rsid w:val="00C37DEC"/>
    <w:rsid w:val="00C72409"/>
    <w:rsid w:val="00C8471F"/>
    <w:rsid w:val="00C968B3"/>
    <w:rsid w:val="00CB3EC1"/>
    <w:rsid w:val="00D02787"/>
    <w:rsid w:val="00D77561"/>
    <w:rsid w:val="00D85F41"/>
    <w:rsid w:val="00D87092"/>
    <w:rsid w:val="00D95C0E"/>
    <w:rsid w:val="00DA26F4"/>
    <w:rsid w:val="00DD1A76"/>
    <w:rsid w:val="00DE4F0D"/>
    <w:rsid w:val="00E40D42"/>
    <w:rsid w:val="00E67902"/>
    <w:rsid w:val="00E705D6"/>
    <w:rsid w:val="00E749E0"/>
    <w:rsid w:val="00E769F8"/>
    <w:rsid w:val="00ED64CD"/>
    <w:rsid w:val="00EF0E75"/>
    <w:rsid w:val="00EF3511"/>
    <w:rsid w:val="00F465A9"/>
    <w:rsid w:val="00F50F48"/>
    <w:rsid w:val="00F65823"/>
    <w:rsid w:val="00F709E9"/>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emf"/><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C687B-E04C-C349-AABD-CC81BDD09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16</Pages>
  <Words>3733</Words>
  <Characters>21280</Characters>
  <Application>Microsoft Office Word</Application>
  <DocSecurity>0</DocSecurity>
  <Lines>177</Lines>
  <Paragraphs>49</Paragraphs>
  <ScaleCrop>false</ScaleCrop>
  <Company/>
  <LinksUpToDate>false</LinksUpToDate>
  <CharactersWithSpaces>24964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114</cp:revision>
  <dcterms:created xsi:type="dcterms:W3CDTF">2026-10-06T20:53:00Z</dcterms:created>
  <dcterms:modified xsi:type="dcterms:W3CDTF">2026-10-07T00:09:00Z</dcterms:modified>
</cp:coreProperties>
</file>