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C4BF17" w14:textId="77777777" w:rsidR="000326FA" w:rsidRPr="004B155D" w:rsidRDefault="000326FA" w:rsidP="000326FA">
      <w:pPr>
        <w:spacing w:after="0" w:line="480" w:lineRule="auto"/>
        <w:jc w:val="center"/>
        <w:outlineLvl w:val="0"/>
        <w:rPr>
          <w:rFonts w:ascii="Times New Roman" w:eastAsia="Times New Roman" w:hAnsi="Times New Roman" w:cs="Times New Roman"/>
          <w:b/>
          <w:bCs/>
          <w:color w:val="000000" w:themeColor="text1"/>
          <w:kern w:val="36"/>
          <w14:ligatures w14:val="none"/>
        </w:rPr>
      </w:pPr>
      <w:r w:rsidRPr="004B155D">
        <w:rPr>
          <w:rFonts w:ascii="Times New Roman" w:eastAsia="Times New Roman" w:hAnsi="Times New Roman" w:cs="Times New Roman"/>
          <w:b/>
          <w:bCs/>
          <w:color w:val="000000" w:themeColor="text1"/>
          <w:kern w:val="36"/>
          <w14:ligatures w14:val="none"/>
        </w:rPr>
        <w:t>Chapter I</w:t>
      </w:r>
    </w:p>
    <w:p w14:paraId="21E39007" w14:textId="77777777" w:rsidR="000326FA" w:rsidRPr="004B155D" w:rsidRDefault="000326FA" w:rsidP="000326FA">
      <w:pPr>
        <w:spacing w:after="0" w:line="480" w:lineRule="auto"/>
        <w:ind w:firstLine="720"/>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color w:val="000000" w:themeColor="text1"/>
          <w:kern w:val="0"/>
          <w14:ligatures w14:val="none"/>
        </w:rPr>
        <w:t>As commercial air travel demand continues to outpace the capacity of landside airport terminal infrastructure, inefficient resource allocation has emerged as a critical operational bottleneck (</w:t>
      </w:r>
      <w:proofErr w:type="spellStart"/>
      <w:r w:rsidRPr="004B155D">
        <w:rPr>
          <w:rFonts w:ascii="Times New Roman" w:eastAsia="Times New Roman" w:hAnsi="Times New Roman" w:cs="Times New Roman"/>
          <w:color w:val="000000" w:themeColor="text1"/>
          <w:kern w:val="0"/>
          <w14:ligatures w14:val="none"/>
        </w:rPr>
        <w:t>Adacher</w:t>
      </w:r>
      <w:proofErr w:type="spellEnd"/>
      <w:r w:rsidRPr="004B155D">
        <w:rPr>
          <w:rFonts w:ascii="Times New Roman" w:eastAsia="Times New Roman" w:hAnsi="Times New Roman" w:cs="Times New Roman"/>
          <w:color w:val="000000" w:themeColor="text1"/>
          <w:kern w:val="0"/>
          <w14:ligatures w14:val="none"/>
        </w:rPr>
        <w:t xml:space="preserve"> et al., 2017). Airport terminal operators and federal security authorities face the dual challenge of sustaining strict screening standards while also minimizing passenger queue delays. Conventional forecast evaluation in transportation planning has historically emphasized average error metrics—such as Root Mean Squared Error (RMSE) or Mean Absolute Percentage Error (MAPE)—evaluated under routine, undisturbed operating conditions. While predictive models are increasingly used to forecast airport passenger flow management, the systemic shocks of the COVID-19 pandemic underscored limitations within conventional accuracy-centric performance metrics to handle abrupt demand shocks, structural breaks, and changing operating constraints (Hopfe et al., 2024). Specifically, the pandemic revealed that a singular evaluation standard is inadequate across highly variable operational contexts, necessitating the assessment of predictive models through a broader, multidimensional set of performance measures. </w:t>
      </w:r>
    </w:p>
    <w:p w14:paraId="321918A3" w14:textId="77777777" w:rsidR="000326FA" w:rsidRPr="004B155D" w:rsidRDefault="000326FA" w:rsidP="000326FA">
      <w:pPr>
        <w:spacing w:after="0" w:line="480" w:lineRule="auto"/>
        <w:ind w:firstLine="720"/>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color w:val="000000" w:themeColor="text1"/>
          <w:kern w:val="0"/>
          <w14:ligatures w14:val="none"/>
        </w:rPr>
        <w:t>A forecasting model that achieves low average error during calm, clear-weather periods may fail catastrophically during severe convective weather ground delay programs, unexpected terminal lane closures, or sudden schedule collapses. In airport operations, the most useful predictive model is therefore not necessarily the one with the lowest average forecast error, but the one that remains reliable during disruption (robustness), recovers effectively as conditions evolve (resilience), and transfers across operational contexts (generalizability). This study systematically examines the suitability of predictive modeling frameworks—spanning deterministic operational baselines, data-driven decision-tree architectures, and sequential state-</w:t>
      </w:r>
      <w:r w:rsidRPr="004B155D">
        <w:rPr>
          <w:rFonts w:ascii="Times New Roman" w:eastAsia="Times New Roman" w:hAnsi="Times New Roman" w:cs="Times New Roman"/>
          <w:color w:val="000000" w:themeColor="text1"/>
          <w:kern w:val="0"/>
          <w14:ligatures w14:val="none"/>
        </w:rPr>
        <w:lastRenderedPageBreak/>
        <w:t>space hybrid models—for forecasting Transportation Security Administration (TSA) checkpoint throughput across routine, volatile, and disrupted demand regimes.</w:t>
      </w:r>
    </w:p>
    <w:p w14:paraId="07D2F29F" w14:textId="77777777" w:rsidR="000326FA" w:rsidRPr="004B155D" w:rsidRDefault="000326FA" w:rsidP="000326FA">
      <w:pPr>
        <w:spacing w:after="0" w:line="480" w:lineRule="auto"/>
        <w:outlineLvl w:val="1"/>
        <w:rPr>
          <w:rFonts w:ascii="Times New Roman" w:eastAsia="Times New Roman" w:hAnsi="Times New Roman" w:cs="Times New Roman"/>
          <w:b/>
          <w:bCs/>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Significance of the Study</w:t>
      </w:r>
    </w:p>
    <w:p w14:paraId="42B2633A" w14:textId="77777777" w:rsidR="000326FA" w:rsidRPr="004B155D" w:rsidRDefault="000326FA" w:rsidP="000326FA">
      <w:pPr>
        <w:spacing w:after="0" w:line="480" w:lineRule="auto"/>
        <w:ind w:firstLine="720"/>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color w:val="000000" w:themeColor="text1"/>
          <w:kern w:val="0"/>
          <w14:ligatures w14:val="none"/>
        </w:rPr>
        <w:t xml:space="preserve">This research aims to contribute to both theory and practice by shifting the paradigm of how predictive models are evaluated in unpredictable airport operations. While traditional approaches emphasize static accuracy, this study advances the field by establishing a multidimensional, dynamic evaluation framework that assesses models based on their robustness, resilience, and generalizability.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 </w:t>
      </w:r>
    </w:p>
    <w:p w14:paraId="50957B04" w14:textId="77777777" w:rsidR="000326FA" w:rsidRPr="004B155D" w:rsidRDefault="000326FA" w:rsidP="000326FA">
      <w:pPr>
        <w:spacing w:after="0" w:line="480" w:lineRule="auto"/>
        <w:outlineLvl w:val="1"/>
        <w:rPr>
          <w:rFonts w:ascii="Times New Roman" w:eastAsia="Times New Roman" w:hAnsi="Times New Roman" w:cs="Times New Roman"/>
          <w:b/>
          <w:bCs/>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Statement of the Problem</w:t>
      </w:r>
    </w:p>
    <w:p w14:paraId="119D2538" w14:textId="77777777" w:rsidR="000326FA" w:rsidRPr="004B155D" w:rsidRDefault="000326FA" w:rsidP="000326FA">
      <w:pPr>
        <w:spacing w:after="0" w:line="480" w:lineRule="auto"/>
        <w:ind w:firstLine="720"/>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color w:val="000000" w:themeColor="text1"/>
          <w:kern w:val="0"/>
          <w14:ligatures w14:val="none"/>
        </w:rPr>
        <w:t>Airport passenger arrivals and queuing behaviors are inherently uncertain and fluctuate dynamically based on departure bank structures, traveler booking characteristics, and air traffic disruptions (Cheng et al., 2012; Dönmez et al., 2025). Existing models for managing passenger security screening demand frequently rely on static time-of-day curves or pre-pandemic operational assumptions that fail to reflect contemporary travel patterns (Ebert et al., 2021).</w:t>
      </w:r>
    </w:p>
    <w:p w14:paraId="54A983E0" w14:textId="77777777" w:rsidR="000326FA" w:rsidRPr="004B155D" w:rsidRDefault="000326FA" w:rsidP="000326FA">
      <w:pPr>
        <w:spacing w:after="0" w:line="480" w:lineRule="auto"/>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color w:val="000000" w:themeColor="text1"/>
          <w:kern w:val="0"/>
          <w14:ligatures w14:val="none"/>
        </w:rPr>
        <w:t xml:space="preserve">This mismatch between capacity planning and fluctuating passenger demand contributes to bottlenecks at check‑in counters, TSA checkpoints, and boarding gates, ultimately leading to congestion and inefficient resource allocation. Crucially, the aviation sector currently lacks a dynamic framework for evaluating predictive models beyond aggregate, undisturbed accuracy metrics. Because modern airport operations cannot be assumed to follow static, deterministic flight schedules, the absence of </w:t>
      </w:r>
      <w:r w:rsidRPr="004B155D">
        <w:rPr>
          <w:rFonts w:ascii="Times New Roman" w:eastAsia="Times New Roman" w:hAnsi="Times New Roman" w:cs="Times New Roman"/>
          <w:b/>
          <w:bCs/>
          <w:color w:val="000000" w:themeColor="text1"/>
          <w:kern w:val="0"/>
          <w14:ligatures w14:val="none"/>
        </w:rPr>
        <w:t>a multidimensional evaluation methodology</w:t>
      </w:r>
      <w:r w:rsidRPr="004B155D">
        <w:rPr>
          <w:rFonts w:ascii="Times New Roman" w:eastAsia="Times New Roman" w:hAnsi="Times New Roman" w:cs="Times New Roman"/>
          <w:color w:val="000000" w:themeColor="text1"/>
          <w:kern w:val="0"/>
          <w14:ligatures w14:val="none"/>
        </w:rPr>
        <w:t xml:space="preserve"> leaves airport </w:t>
      </w:r>
      <w:r w:rsidRPr="004B155D">
        <w:rPr>
          <w:rFonts w:ascii="Times New Roman" w:eastAsia="Times New Roman" w:hAnsi="Times New Roman" w:cs="Times New Roman"/>
          <w:color w:val="000000" w:themeColor="text1"/>
          <w:kern w:val="0"/>
          <w14:ligatures w14:val="none"/>
        </w:rPr>
        <w:lastRenderedPageBreak/>
        <w:t>authorities at risk of deploying decision tools that collapse during sudden operational disruptions or fail when deployed across unfamiliar terminal complexes.</w:t>
      </w:r>
    </w:p>
    <w:p w14:paraId="0634FA80" w14:textId="77777777" w:rsidR="000326FA" w:rsidRPr="004B155D" w:rsidRDefault="000326FA" w:rsidP="000326FA">
      <w:pPr>
        <w:spacing w:after="0" w:line="480" w:lineRule="auto"/>
        <w:outlineLvl w:val="1"/>
        <w:rPr>
          <w:rFonts w:ascii="Times New Roman" w:eastAsia="Times New Roman" w:hAnsi="Times New Roman" w:cs="Times New Roman"/>
          <w:b/>
          <w:bCs/>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Purpose Statement</w:t>
      </w:r>
    </w:p>
    <w:p w14:paraId="397AB6F9" w14:textId="77777777" w:rsidR="000326FA" w:rsidRPr="004B155D" w:rsidRDefault="000326FA" w:rsidP="000326FA">
      <w:pPr>
        <w:spacing w:after="0" w:line="480" w:lineRule="auto"/>
        <w:ind w:firstLine="720"/>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color w:val="000000" w:themeColor="text1"/>
          <w:kern w:val="0"/>
          <w14:ligatures w14:val="none"/>
        </w:rPr>
        <w:t>The primary objective is to evaluate predictive modeling techniques, such as regression, machine learning, and queuing simulation, to optimize airport capacity via technological rather than physical – and more costly – intervention. By analyzing the empirical relationship between flight operations and TSA throughput across the top 25 U.S. commercial airfields from 2019 to 2025, this study evaluates predictive modeling framework performance against three primary operational criteria: </w:t>
      </w:r>
      <w:r w:rsidRPr="004B155D">
        <w:rPr>
          <w:rFonts w:ascii="Times New Roman" w:eastAsia="Times New Roman" w:hAnsi="Times New Roman" w:cs="Times New Roman"/>
          <w:b/>
          <w:bCs/>
          <w:color w:val="000000" w:themeColor="text1"/>
          <w:kern w:val="0"/>
          <w14:ligatures w14:val="none"/>
        </w:rPr>
        <w:t>Robustness</w:t>
      </w:r>
      <w:r w:rsidRPr="004B155D">
        <w:rPr>
          <w:rFonts w:ascii="Times New Roman" w:eastAsia="Times New Roman" w:hAnsi="Times New Roman" w:cs="Times New Roman"/>
          <w:color w:val="000000" w:themeColor="text1"/>
          <w:kern w:val="0"/>
          <w14:ligatures w14:val="none"/>
        </w:rPr>
        <w:t>, </w:t>
      </w:r>
      <w:r w:rsidRPr="004B155D">
        <w:rPr>
          <w:rFonts w:ascii="Times New Roman" w:eastAsia="Times New Roman" w:hAnsi="Times New Roman" w:cs="Times New Roman"/>
          <w:b/>
          <w:bCs/>
          <w:color w:val="000000" w:themeColor="text1"/>
          <w:kern w:val="0"/>
          <w14:ligatures w14:val="none"/>
        </w:rPr>
        <w:t>Resilience</w:t>
      </w:r>
      <w:r w:rsidRPr="004B155D">
        <w:rPr>
          <w:rFonts w:ascii="Times New Roman" w:eastAsia="Times New Roman" w:hAnsi="Times New Roman" w:cs="Times New Roman"/>
          <w:color w:val="000000" w:themeColor="text1"/>
          <w:kern w:val="0"/>
          <w14:ligatures w14:val="none"/>
        </w:rPr>
        <w:t>, and </w:t>
      </w:r>
      <w:r w:rsidRPr="004B155D">
        <w:rPr>
          <w:rFonts w:ascii="Times New Roman" w:eastAsia="Times New Roman" w:hAnsi="Times New Roman" w:cs="Times New Roman"/>
          <w:b/>
          <w:bCs/>
          <w:color w:val="000000" w:themeColor="text1"/>
          <w:kern w:val="0"/>
          <w14:ligatures w14:val="none"/>
        </w:rPr>
        <w:t>Generalizability</w:t>
      </w:r>
      <w:r w:rsidRPr="004B155D">
        <w:rPr>
          <w:rFonts w:ascii="Times New Roman" w:hAnsi="Times New Roman" w:cs="Times New Roman"/>
        </w:rPr>
        <w:t xml:space="preserve"> </w:t>
      </w:r>
      <w:r w:rsidRPr="004B155D">
        <w:rPr>
          <w:rFonts w:ascii="Times New Roman" w:eastAsia="Times New Roman" w:hAnsi="Times New Roman" w:cs="Times New Roman"/>
          <w:color w:val="000000" w:themeColor="text1"/>
          <w:kern w:val="0"/>
          <w14:ligatures w14:val="none"/>
        </w:rPr>
        <w:t>Rather than seeking a singular, universally optimal model, this research identifies which frameworks perform best under each distinct metric. Ultimately, this comparative analysis provides management with the strategic flexibility to adopt the most appropriate forecasting approach based on their specific operational priorities.</w:t>
      </w:r>
    </w:p>
    <w:p w14:paraId="33CA4A52" w14:textId="77777777" w:rsidR="000326FA" w:rsidRPr="004B155D" w:rsidRDefault="000326FA" w:rsidP="000326FA">
      <w:pPr>
        <w:spacing w:after="0" w:line="480" w:lineRule="auto"/>
        <w:outlineLvl w:val="1"/>
        <w:rPr>
          <w:rFonts w:ascii="Times New Roman" w:eastAsia="Times New Roman" w:hAnsi="Times New Roman" w:cs="Times New Roman"/>
          <w:b/>
          <w:bCs/>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Research Question</w:t>
      </w:r>
    </w:p>
    <w:p w14:paraId="7291F9C9" w14:textId="77777777" w:rsidR="000326FA" w:rsidRDefault="000326FA" w:rsidP="000326FA">
      <w:pPr>
        <w:spacing w:after="0" w:line="480" w:lineRule="auto"/>
        <w:ind w:firstLine="720"/>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color w:val="000000" w:themeColor="text1"/>
          <w:kern w:val="0"/>
          <w14:ligatures w14:val="none"/>
        </w:rPr>
        <w:t>Which predictive modeling frameworks are most effective for forecasting airport passenger security screening throughput when prioritizing </w:t>
      </w:r>
      <w:r w:rsidRPr="004B155D">
        <w:rPr>
          <w:rFonts w:ascii="Times New Roman" w:eastAsia="Times New Roman" w:hAnsi="Times New Roman" w:cs="Times New Roman"/>
          <w:b/>
          <w:bCs/>
          <w:color w:val="000000" w:themeColor="text1"/>
          <w:kern w:val="0"/>
          <w14:ligatures w14:val="none"/>
        </w:rPr>
        <w:t>robustness</w:t>
      </w:r>
      <w:r w:rsidRPr="004B155D">
        <w:rPr>
          <w:rFonts w:ascii="Times New Roman" w:eastAsia="Times New Roman" w:hAnsi="Times New Roman" w:cs="Times New Roman"/>
          <w:color w:val="000000" w:themeColor="text1"/>
          <w:kern w:val="0"/>
          <w14:ligatures w14:val="none"/>
        </w:rPr>
        <w:t> (routine operational accuracy), </w:t>
      </w:r>
      <w:r w:rsidRPr="004B155D">
        <w:rPr>
          <w:rFonts w:ascii="Times New Roman" w:eastAsia="Times New Roman" w:hAnsi="Times New Roman" w:cs="Times New Roman"/>
          <w:b/>
          <w:bCs/>
          <w:color w:val="000000" w:themeColor="text1"/>
          <w:kern w:val="0"/>
          <w14:ligatures w14:val="none"/>
        </w:rPr>
        <w:t>resilience</w:t>
      </w:r>
      <w:r w:rsidRPr="004B155D">
        <w:rPr>
          <w:rFonts w:ascii="Times New Roman" w:eastAsia="Times New Roman" w:hAnsi="Times New Roman" w:cs="Times New Roman"/>
          <w:color w:val="000000" w:themeColor="text1"/>
          <w:kern w:val="0"/>
          <w14:ligatures w14:val="none"/>
        </w:rPr>
        <w:t> (stability under convective weather and delay disruptions), or </w:t>
      </w:r>
      <w:r w:rsidRPr="004B155D">
        <w:rPr>
          <w:rFonts w:ascii="Times New Roman" w:eastAsia="Times New Roman" w:hAnsi="Times New Roman" w:cs="Times New Roman"/>
          <w:b/>
          <w:bCs/>
          <w:color w:val="000000" w:themeColor="text1"/>
          <w:kern w:val="0"/>
          <w14:ligatures w14:val="none"/>
        </w:rPr>
        <w:t>generalizability</w:t>
      </w:r>
      <w:r w:rsidRPr="004B155D">
        <w:rPr>
          <w:rFonts w:ascii="Times New Roman" w:eastAsia="Times New Roman" w:hAnsi="Times New Roman" w:cs="Times New Roman"/>
          <w:color w:val="000000" w:themeColor="text1"/>
          <w:kern w:val="0"/>
          <w14:ligatures w14:val="none"/>
        </w:rPr>
        <w:t> (cross-airport portability across terminal layouts) as the primary operational evaluation metric?</w:t>
      </w:r>
    </w:p>
    <w:p w14:paraId="65289797" w14:textId="77777777" w:rsidR="000326FA" w:rsidRPr="004B155D" w:rsidRDefault="000326FA" w:rsidP="000326FA">
      <w:pPr>
        <w:spacing w:after="0" w:line="480" w:lineRule="auto"/>
        <w:ind w:firstLine="720"/>
        <w:rPr>
          <w:rFonts w:ascii="Times New Roman" w:eastAsia="Times New Roman" w:hAnsi="Times New Roman" w:cs="Times New Roman"/>
          <w:color w:val="000000" w:themeColor="text1"/>
          <w:kern w:val="0"/>
          <w14:ligatures w14:val="none"/>
        </w:rPr>
      </w:pPr>
      <w:r w:rsidRPr="00BB150E">
        <w:rPr>
          <w:rFonts w:ascii="Times New Roman" w:eastAsia="Times New Roman" w:hAnsi="Times New Roman" w:cs="Times New Roman"/>
          <w:color w:val="000000" w:themeColor="text1"/>
          <w:kern w:val="0"/>
          <w:highlight w:val="yellow"/>
          <w14:ligatures w14:val="none"/>
        </w:rPr>
        <w:t>Hypothesis 1: Of the three different approaches to volatility forecast modeling (deterministic, probabilistic, and standard hybrid), no individual approach will prove superior across all three performance measures (resilience, robustness, and generalizability).</w:t>
      </w:r>
    </w:p>
    <w:p w14:paraId="614C7A8F" w14:textId="77777777" w:rsidR="000326FA" w:rsidRPr="004B155D" w:rsidRDefault="000326FA" w:rsidP="000326FA">
      <w:pPr>
        <w:spacing w:after="0" w:line="480" w:lineRule="auto"/>
        <w:rPr>
          <w:rFonts w:ascii="Times New Roman" w:eastAsia="Times New Roman" w:hAnsi="Times New Roman" w:cs="Times New Roman"/>
          <w:color w:val="000000" w:themeColor="text1"/>
          <w:kern w:val="0"/>
          <w14:ligatures w14:val="none"/>
        </w:rPr>
      </w:pPr>
    </w:p>
    <w:p w14:paraId="4E069FB5" w14:textId="77777777" w:rsidR="000326FA" w:rsidRPr="004B155D" w:rsidRDefault="000326FA" w:rsidP="000326FA">
      <w:pPr>
        <w:spacing w:after="0" w:line="480" w:lineRule="auto"/>
        <w:outlineLvl w:val="1"/>
        <w:rPr>
          <w:rFonts w:ascii="Times New Roman" w:eastAsia="Times New Roman" w:hAnsi="Times New Roman" w:cs="Times New Roman"/>
          <w:b/>
          <w:bCs/>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lastRenderedPageBreak/>
        <w:t>Delimitations</w:t>
      </w:r>
    </w:p>
    <w:p w14:paraId="6F29C1D6" w14:textId="77777777" w:rsidR="000326FA" w:rsidRPr="004B155D" w:rsidRDefault="000326FA" w:rsidP="000326FA">
      <w:pPr>
        <w:numPr>
          <w:ilvl w:val="0"/>
          <w:numId w:val="1"/>
        </w:numPr>
        <w:spacing w:after="0" w:line="480" w:lineRule="auto"/>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Geographic Scope</w:t>
      </w:r>
      <w:r w:rsidRPr="004B155D">
        <w:rPr>
          <w:rFonts w:ascii="Times New Roman" w:eastAsia="Times New Roman" w:hAnsi="Times New Roman" w:cs="Times New Roman"/>
          <w:color w:val="000000" w:themeColor="text1"/>
          <w:kern w:val="0"/>
          <w14:ligatures w14:val="none"/>
        </w:rPr>
        <w:t>: This study evaluates commercial air traffic and security screening operations within the contiguous United States, focusing on the Top 25 commercial airfields categorized under FAA hub classifications.</w:t>
      </w:r>
    </w:p>
    <w:p w14:paraId="2FFE1BD7" w14:textId="77777777" w:rsidR="000326FA" w:rsidRPr="004B155D" w:rsidRDefault="000326FA" w:rsidP="000326FA">
      <w:pPr>
        <w:numPr>
          <w:ilvl w:val="0"/>
          <w:numId w:val="1"/>
        </w:numPr>
        <w:spacing w:after="0" w:line="480" w:lineRule="auto"/>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Temporal Scope</w:t>
      </w:r>
      <w:r w:rsidRPr="004B155D">
        <w:rPr>
          <w:rFonts w:ascii="Times New Roman" w:eastAsia="Times New Roman" w:hAnsi="Times New Roman" w:cs="Times New Roman"/>
          <w:color w:val="000000" w:themeColor="text1"/>
          <w:kern w:val="0"/>
          <w14:ligatures w14:val="none"/>
        </w:rPr>
        <w:t xml:space="preserve">: The longitudinal dataset spans January 1, </w:t>
      </w:r>
      <w:proofErr w:type="gramStart"/>
      <w:r w:rsidRPr="004B155D">
        <w:rPr>
          <w:rFonts w:ascii="Times New Roman" w:eastAsia="Times New Roman" w:hAnsi="Times New Roman" w:cs="Times New Roman"/>
          <w:color w:val="000000" w:themeColor="text1"/>
          <w:kern w:val="0"/>
          <w14:ligatures w14:val="none"/>
        </w:rPr>
        <w:t>2019</w:t>
      </w:r>
      <w:proofErr w:type="gramEnd"/>
      <w:r w:rsidRPr="004B155D">
        <w:rPr>
          <w:rFonts w:ascii="Times New Roman" w:eastAsia="Times New Roman" w:hAnsi="Times New Roman" w:cs="Times New Roman"/>
          <w:color w:val="000000" w:themeColor="text1"/>
          <w:kern w:val="0"/>
          <w14:ligatures w14:val="none"/>
        </w:rPr>
        <w:t xml:space="preserve"> through December 31, 2025. Model training and evaluation are focused on the verified post-pandemic operational regime starting May 1, 2022 (following the nationwide rescission of federal transportation mask mandates), reserving the full 12-month calendar year of 2025 as a strict out-of-time holdout evaluation window.</w:t>
      </w:r>
    </w:p>
    <w:p w14:paraId="427ECC90" w14:textId="77777777" w:rsidR="000326FA" w:rsidRPr="004B155D" w:rsidRDefault="000326FA" w:rsidP="000326FA">
      <w:pPr>
        <w:numPr>
          <w:ilvl w:val="0"/>
          <w:numId w:val="1"/>
        </w:numPr>
        <w:spacing w:after="0" w:line="480" w:lineRule="auto"/>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Data Sources</w:t>
      </w:r>
      <w:r w:rsidRPr="004B155D">
        <w:rPr>
          <w:rFonts w:ascii="Times New Roman" w:eastAsia="Times New Roman" w:hAnsi="Times New Roman" w:cs="Times New Roman"/>
          <w:color w:val="000000" w:themeColor="text1"/>
          <w:kern w:val="0"/>
          <w14:ligatures w14:val="none"/>
        </w:rPr>
        <w:t>: Analysis is delimited to publicly accessible and FOIA-disclosed federal aviation datasets, including TSA FOIA hourly screening counts, Bureau of Transportation Statistics (BTS) On-Time Flight Performance (Form 234), BTS Schedule T-100 Segment traffic, and BTS DB1B/DB1C 10% ticket coupon surveys.</w:t>
      </w:r>
    </w:p>
    <w:p w14:paraId="157A98C4" w14:textId="77777777" w:rsidR="000326FA" w:rsidRPr="00756261" w:rsidRDefault="000326FA" w:rsidP="000326FA">
      <w:pPr>
        <w:numPr>
          <w:ilvl w:val="0"/>
          <w:numId w:val="1"/>
        </w:numPr>
        <w:spacing w:after="0" w:line="480" w:lineRule="auto"/>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Evaluation Standards</w:t>
      </w:r>
      <w:r w:rsidRPr="004B155D">
        <w:rPr>
          <w:rFonts w:ascii="Times New Roman" w:eastAsia="Times New Roman" w:hAnsi="Times New Roman" w:cs="Times New Roman"/>
          <w:color w:val="000000" w:themeColor="text1"/>
          <w:kern w:val="0"/>
          <w14:ligatures w14:val="none"/>
        </w:rPr>
        <w:t>: Model performance is measured using rigorous operational forecasting metrics, including Root Mean Squared Error (RMSE), Mean Absolute Scaled Error (MASE), the Disruption Error Multiplier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oMath>
      <w:r w:rsidRPr="004B155D">
        <w:rPr>
          <w:rFonts w:ascii="Times New Roman" w:eastAsia="Times New Roman" w:hAnsi="Times New Roman" w:cs="Times New Roman"/>
          <w:color w:val="000000" w:themeColor="text1"/>
          <w:kern w:val="0"/>
          <w14:ligatures w14:val="none"/>
        </w:rPr>
        <w:t>), the Relative Transfer Ratio (RTR), and Diebold-Mariano tests for statistical significance.</w:t>
      </w:r>
    </w:p>
    <w:p w14:paraId="1B4352A0" w14:textId="77777777" w:rsidR="000326FA" w:rsidRDefault="000326FA" w:rsidP="000326FA">
      <w:pPr>
        <w:spacing w:after="0" w:line="480" w:lineRule="auto"/>
        <w:outlineLvl w:val="1"/>
        <w:rPr>
          <w:rFonts w:ascii="Times New Roman" w:eastAsia="Times New Roman" w:hAnsi="Times New Roman" w:cs="Times New Roman"/>
          <w:color w:val="000000" w:themeColor="text1"/>
          <w:kern w:val="0"/>
          <w14:ligatures w14:val="none"/>
        </w:rPr>
      </w:pPr>
      <w:r w:rsidRPr="00D27EB7">
        <w:rPr>
          <w:rFonts w:ascii="Times New Roman" w:eastAsia="Times New Roman" w:hAnsi="Times New Roman" w:cs="Times New Roman"/>
          <w:b/>
          <w:bCs/>
          <w:color w:val="000000" w:themeColor="text1"/>
          <w:kern w:val="0"/>
          <w:highlight w:val="yellow"/>
          <w14:ligatures w14:val="none"/>
        </w:rPr>
        <w:t>Limitations and Assumptions</w:t>
      </w:r>
    </w:p>
    <w:p w14:paraId="00C5792E" w14:textId="77777777" w:rsidR="000326FA" w:rsidRPr="002F1F2D" w:rsidRDefault="000326FA" w:rsidP="000326FA">
      <w:pPr>
        <w:spacing w:after="0" w:line="480" w:lineRule="auto"/>
        <w:ind w:firstLine="360"/>
        <w:outlineLvl w:val="1"/>
        <w:rPr>
          <w:rFonts w:ascii="Times New Roman" w:eastAsia="Times New Roman" w:hAnsi="Times New Roman" w:cs="Times New Roman"/>
          <w:color w:val="000000" w:themeColor="text1"/>
          <w:kern w:val="0"/>
          <w14:ligatures w14:val="none"/>
        </w:rPr>
      </w:pPr>
      <w:r w:rsidRPr="002F1F2D">
        <w:rPr>
          <w:rFonts w:ascii="Times New Roman" w:eastAsia="Times New Roman" w:hAnsi="Times New Roman" w:cs="Times New Roman"/>
          <w:color w:val="000000" w:themeColor="text1"/>
          <w:kern w:val="0"/>
          <w14:ligatures w14:val="none"/>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w:t>
      </w:r>
      <w:r w:rsidRPr="002F1F2D">
        <w:rPr>
          <w:rFonts w:ascii="Times New Roman" w:eastAsia="Times New Roman" w:hAnsi="Times New Roman" w:cs="Times New Roman"/>
          <w:color w:val="000000" w:themeColor="text1"/>
          <w:kern w:val="0"/>
          <w14:ligatures w14:val="none"/>
        </w:rPr>
        <w:lastRenderedPageBreak/>
        <w:t>facilities and circumstances. Additionally, the methodology relies on the ability to apply monthly data on load factor to the prediction of TSA throughput on an hourly and seasonal level.</w:t>
      </w:r>
    </w:p>
    <w:p w14:paraId="32C67DE7" w14:textId="77777777" w:rsidR="000326FA" w:rsidRPr="004B155D" w:rsidRDefault="000326FA" w:rsidP="000326FA">
      <w:pPr>
        <w:numPr>
          <w:ilvl w:val="0"/>
          <w:numId w:val="2"/>
        </w:numPr>
        <w:spacing w:after="0" w:line="480" w:lineRule="auto"/>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Staffing and Lane Configuration Opacity</w:t>
      </w:r>
      <w:r w:rsidRPr="004B155D">
        <w:rPr>
          <w:rFonts w:ascii="Times New Roman" w:eastAsia="Times New Roman" w:hAnsi="Times New Roman" w:cs="Times New Roman"/>
          <w:color w:val="000000" w:themeColor="text1"/>
          <w:kern w:val="0"/>
          <w14:ligatures w14:val="none"/>
        </w:rPr>
        <w:t>: Due to the proprietary and security-sensitive nature of TSA checkpoint operations, confidential operational variables</w:t>
      </w:r>
      <w:r>
        <w:rPr>
          <w:rFonts w:ascii="Times New Roman" w:eastAsia="Times New Roman" w:hAnsi="Times New Roman" w:cs="Times New Roman"/>
          <w:color w:val="000000" w:themeColor="text1"/>
          <w:kern w:val="0"/>
          <w14:ligatures w14:val="none"/>
        </w:rPr>
        <w:t xml:space="preserve"> - </w:t>
      </w:r>
      <w:r w:rsidRPr="004B155D">
        <w:rPr>
          <w:rFonts w:ascii="Times New Roman" w:eastAsia="Times New Roman" w:hAnsi="Times New Roman" w:cs="Times New Roman"/>
          <w:color w:val="000000" w:themeColor="text1"/>
          <w:kern w:val="0"/>
          <w14:ligatures w14:val="none"/>
        </w:rPr>
        <w:t>such as exact Transportation Security Officer (TSO) shift allocations</w:t>
      </w:r>
      <w:r>
        <w:rPr>
          <w:rFonts w:ascii="Times New Roman" w:eastAsia="Times New Roman" w:hAnsi="Times New Roman" w:cs="Times New Roman"/>
          <w:color w:val="000000" w:themeColor="text1"/>
          <w:kern w:val="0"/>
          <w14:ligatures w14:val="none"/>
        </w:rPr>
        <w:t xml:space="preserve"> </w:t>
      </w:r>
      <w:r w:rsidRPr="004B155D">
        <w:rPr>
          <w:rFonts w:ascii="Times New Roman" w:eastAsia="Times New Roman" w:hAnsi="Times New Roman" w:cs="Times New Roman"/>
          <w:color w:val="000000" w:themeColor="text1"/>
          <w:kern w:val="0"/>
          <w14:ligatures w14:val="none"/>
        </w:rPr>
        <w:t>and manual snake reconfigurations</w:t>
      </w:r>
      <w:r>
        <w:rPr>
          <w:rFonts w:ascii="Times New Roman" w:eastAsia="Times New Roman" w:hAnsi="Times New Roman" w:cs="Times New Roman"/>
          <w:color w:val="000000" w:themeColor="text1"/>
          <w:kern w:val="0"/>
          <w14:ligatures w14:val="none"/>
        </w:rPr>
        <w:t xml:space="preserve"> - </w:t>
      </w:r>
      <w:r w:rsidRPr="004B155D">
        <w:rPr>
          <w:rFonts w:ascii="Times New Roman" w:eastAsia="Times New Roman" w:hAnsi="Times New Roman" w:cs="Times New Roman"/>
          <w:color w:val="000000" w:themeColor="text1"/>
          <w:kern w:val="0"/>
          <w14:ligatures w14:val="none"/>
        </w:rPr>
        <w:t>are not publicly available. The methodology controls for this by aggregating lane-level counts into terminal complex throughput totals.</w:t>
      </w:r>
    </w:p>
    <w:p w14:paraId="560E074C" w14:textId="213B4D9A" w:rsidR="006D7379" w:rsidRPr="000326FA" w:rsidRDefault="000326FA" w:rsidP="000326FA">
      <w:pPr>
        <w:numPr>
          <w:ilvl w:val="0"/>
          <w:numId w:val="2"/>
        </w:numPr>
        <w:spacing w:after="0" w:line="480" w:lineRule="auto"/>
        <w:rPr>
          <w:rFonts w:ascii="Times New Roman" w:eastAsia="Times New Roman" w:hAnsi="Times New Roman" w:cs="Times New Roman"/>
          <w:color w:val="000000" w:themeColor="text1"/>
          <w:kern w:val="0"/>
          <w14:ligatures w14:val="none"/>
        </w:rPr>
      </w:pPr>
      <w:r w:rsidRPr="004B155D">
        <w:rPr>
          <w:rFonts w:ascii="Times New Roman" w:eastAsia="Times New Roman" w:hAnsi="Times New Roman" w:cs="Times New Roman"/>
          <w:b/>
          <w:bCs/>
          <w:color w:val="000000" w:themeColor="text1"/>
          <w:kern w:val="0"/>
          <w14:ligatures w14:val="none"/>
        </w:rPr>
        <w:t>Connecting Passenger Surveys</w:t>
      </w:r>
      <w:r w:rsidRPr="004B155D">
        <w:rPr>
          <w:rFonts w:ascii="Times New Roman" w:eastAsia="Times New Roman" w:hAnsi="Times New Roman" w:cs="Times New Roman"/>
          <w:color w:val="000000" w:themeColor="text1"/>
          <w:kern w:val="0"/>
          <w14:ligatures w14:val="none"/>
        </w:rPr>
        <w:t>: The proportion of transferring passengers who remain airside is estimated using quarterly BTS DB1B coupon surveys. The framework assumes that connecting ratios remain stable across monthly operating horizons within given carrier-terminal complexes.</w:t>
      </w:r>
    </w:p>
    <w:sectPr w:rsidR="006D7379" w:rsidRPr="000326FA" w:rsidSect="000326FA">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D4D052" w14:textId="77777777" w:rsidR="000326FA" w:rsidRPr="008D3FC7" w:rsidRDefault="000326FA">
    <w:pPr>
      <w:pStyle w:val="Header"/>
      <w:rPr>
        <w:rFonts w:ascii="Times New Roman" w:hAnsi="Times New Roman" w:cs="Times New Roman"/>
      </w:rPr>
    </w:pPr>
    <w:r w:rsidRPr="008D3FC7">
      <w:rPr>
        <w:rFonts w:ascii="Times New Roman" w:hAnsi="Times New Roman" w:cs="Times New Roman"/>
      </w:rPr>
      <w:t>A Multi-Dimensional Evaluation Strategy for Forecasting TSA Throughput Volatility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44356C"/>
    <w:multiLevelType w:val="multilevel"/>
    <w:tmpl w:val="5670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B43D9"/>
    <w:multiLevelType w:val="multilevel"/>
    <w:tmpl w:val="36B8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354419">
    <w:abstractNumId w:val="1"/>
  </w:num>
  <w:num w:numId="2" w16cid:durableId="4132070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1B"/>
    <w:rsid w:val="000326FA"/>
    <w:rsid w:val="00072B91"/>
    <w:rsid w:val="00075543"/>
    <w:rsid w:val="0040551D"/>
    <w:rsid w:val="006D7379"/>
    <w:rsid w:val="00704B1B"/>
    <w:rsid w:val="00737BD6"/>
    <w:rsid w:val="00894227"/>
    <w:rsid w:val="00905D39"/>
    <w:rsid w:val="00B062B6"/>
    <w:rsid w:val="00C079D0"/>
    <w:rsid w:val="00D02787"/>
    <w:rsid w:val="00DF6FF0"/>
    <w:rsid w:val="00E0676C"/>
    <w:rsid w:val="00E55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DD057"/>
  <w15:chartTrackingRefBased/>
  <w15:docId w15:val="{6DB79331-79C8-E14C-95EC-8C11F067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6FA"/>
  </w:style>
  <w:style w:type="paragraph" w:styleId="Heading1">
    <w:name w:val="heading 1"/>
    <w:basedOn w:val="Normal"/>
    <w:next w:val="Normal"/>
    <w:link w:val="Heading1Char"/>
    <w:uiPriority w:val="9"/>
    <w:qFormat/>
    <w:rsid w:val="00704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1B"/>
    <w:rPr>
      <w:rFonts w:eastAsiaTheme="majorEastAsia" w:cstheme="majorBidi"/>
      <w:color w:val="272727" w:themeColor="text1" w:themeTint="D8"/>
    </w:rPr>
  </w:style>
  <w:style w:type="paragraph" w:styleId="Title">
    <w:name w:val="Title"/>
    <w:basedOn w:val="Normal"/>
    <w:next w:val="Normal"/>
    <w:link w:val="TitleChar"/>
    <w:uiPriority w:val="10"/>
    <w:qFormat/>
    <w:rsid w:val="00704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1B"/>
    <w:pPr>
      <w:spacing w:before="160"/>
      <w:jc w:val="center"/>
    </w:pPr>
    <w:rPr>
      <w:i/>
      <w:iCs/>
      <w:color w:val="404040" w:themeColor="text1" w:themeTint="BF"/>
    </w:rPr>
  </w:style>
  <w:style w:type="character" w:customStyle="1" w:styleId="QuoteChar">
    <w:name w:val="Quote Char"/>
    <w:basedOn w:val="DefaultParagraphFont"/>
    <w:link w:val="Quote"/>
    <w:uiPriority w:val="29"/>
    <w:rsid w:val="00704B1B"/>
    <w:rPr>
      <w:i/>
      <w:iCs/>
      <w:color w:val="404040" w:themeColor="text1" w:themeTint="BF"/>
    </w:rPr>
  </w:style>
  <w:style w:type="paragraph" w:styleId="ListParagraph">
    <w:name w:val="List Paragraph"/>
    <w:basedOn w:val="Normal"/>
    <w:uiPriority w:val="34"/>
    <w:qFormat/>
    <w:rsid w:val="00704B1B"/>
    <w:pPr>
      <w:ind w:left="720"/>
      <w:contextualSpacing/>
    </w:pPr>
  </w:style>
  <w:style w:type="character" w:styleId="IntenseEmphasis">
    <w:name w:val="Intense Emphasis"/>
    <w:basedOn w:val="DefaultParagraphFont"/>
    <w:uiPriority w:val="21"/>
    <w:qFormat/>
    <w:rsid w:val="00704B1B"/>
    <w:rPr>
      <w:i/>
      <w:iCs/>
      <w:color w:val="0F4761" w:themeColor="accent1" w:themeShade="BF"/>
    </w:rPr>
  </w:style>
  <w:style w:type="paragraph" w:styleId="IntenseQuote">
    <w:name w:val="Intense Quote"/>
    <w:basedOn w:val="Normal"/>
    <w:next w:val="Normal"/>
    <w:link w:val="IntenseQuoteChar"/>
    <w:uiPriority w:val="30"/>
    <w:qFormat/>
    <w:rsid w:val="00704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B1B"/>
    <w:rPr>
      <w:i/>
      <w:iCs/>
      <w:color w:val="0F4761" w:themeColor="accent1" w:themeShade="BF"/>
    </w:rPr>
  </w:style>
  <w:style w:type="character" w:styleId="IntenseReference">
    <w:name w:val="Intense Reference"/>
    <w:basedOn w:val="DefaultParagraphFont"/>
    <w:uiPriority w:val="32"/>
    <w:qFormat/>
    <w:rsid w:val="00704B1B"/>
    <w:rPr>
      <w:b/>
      <w:bCs/>
      <w:smallCaps/>
      <w:color w:val="0F4761" w:themeColor="accent1" w:themeShade="BF"/>
      <w:spacing w:val="5"/>
    </w:rPr>
  </w:style>
  <w:style w:type="paragraph" w:styleId="NormalWeb">
    <w:name w:val="Normal (Web)"/>
    <w:basedOn w:val="Normal"/>
    <w:uiPriority w:val="99"/>
    <w:semiHidden/>
    <w:unhideWhenUsed/>
    <w:rsid w:val="00704B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04B1B"/>
  </w:style>
  <w:style w:type="paragraph" w:styleId="Header">
    <w:name w:val="header"/>
    <w:basedOn w:val="Normal"/>
    <w:link w:val="HeaderChar"/>
    <w:uiPriority w:val="99"/>
    <w:unhideWhenUsed/>
    <w:rsid w:val="00032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8</cp:revision>
  <dcterms:created xsi:type="dcterms:W3CDTF">2026-08-17T03:20:00Z</dcterms:created>
  <dcterms:modified xsi:type="dcterms:W3CDTF">2026-10-05T03:58:00Z</dcterms:modified>
</cp:coreProperties>
</file>