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09FB17CC" w14:textId="77777777" w:rsidR="006C1506" w:rsidRPr="006F32B3" w:rsidRDefault="006C1506" w:rsidP="006C1506">
      <w:pPr>
        <w:pStyle w:val="Heading1"/>
      </w:pPr>
      <w:bookmarkStart w:id="2" w:name="_Toc242174145"/>
      <w:bookmarkStart w:id="3" w:name="_Toc242174797"/>
      <w:r>
        <w:t>Findings and Discussion</w:t>
      </w:r>
    </w:p>
    <w:p w14:paraId="301AE07D" w14:textId="1945B564" w:rsidR="00FE22FF" w:rsidRPr="00895BAC" w:rsidRDefault="00FE22FF" w:rsidP="00895BAC">
      <w:pPr>
        <w:ind w:firstLine="720"/>
        <w:contextualSpacing/>
      </w:pPr>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316C9D4F" w:rsidR="00FE22FF" w:rsidRPr="00895BAC" w:rsidRDefault="009F38BB" w:rsidP="009F38BB">
      <w:pPr>
        <w:ind w:firstLine="720"/>
        <w:contextualSpacing/>
        <w:rPr>
          <w:noProof/>
          <w14:ligatures w14:val="standardContextual"/>
        </w:rPr>
      </w:pPr>
      <w:r w:rsidRPr="006F32B3">
        <w:t xml:space="preserve">To systematically present </w:t>
      </w:r>
      <w:r>
        <w:t xml:space="preserve">and discuss </w:t>
      </w:r>
      <w:r w:rsidRPr="006F32B3">
        <w:t xml:space="preserve">these results (see Figure 4.1), </w:t>
      </w:r>
      <w:r w:rsidR="00FE22FF" w:rsidRPr="00895BAC">
        <w:t>this chapter is organized into four sections: Section 4.1 presents the initial exploratory data analysis across the multi-source</w:t>
      </w:r>
      <w:r w:rsidR="00643EC5">
        <w:t xml:space="preserve"> data</w:t>
      </w:r>
      <w:r w:rsidR="00FE22FF" w:rsidRPr="00895BAC">
        <w:t xml:space="preserve"> warehouse; Section 4.2 details the four-tier filtering pipeline that establishe</w:t>
      </w:r>
      <w:r w:rsidR="00643EC5">
        <w:t>s</w:t>
      </w:r>
      <w:r w:rsidR="00FE22FF" w:rsidRPr="00895BAC">
        <w:t xml:space="preserve"> the nine-airport, twelve-complex experimental cohort; Section 4.3 outlines feature engineering, training configurations, and 2025 holdout execution protocols; and Section 4.4 </w:t>
      </w:r>
      <w:r w:rsidR="004A3777">
        <w:t>discusses</w:t>
      </w:r>
      <w:r w:rsidR="00FE22FF" w:rsidRPr="00895BAC">
        <w:t xml:space="preserve"> the comparative model evaluations across robustness, resilience, and generalizability.</w:t>
      </w:r>
      <w:r w:rsidR="00FE22FF"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30016D5E">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935699" cy="863086"/>
                    </a:xfrm>
                    <a:prstGeom prst="rect">
                      <a:avLst/>
                    </a:prstGeom>
                  </pic:spPr>
                </pic:pic>
              </a:graphicData>
            </a:graphic>
          </wp:inline>
        </w:drawing>
      </w:r>
      <w:r w:rsidRPr="00895BAC">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2"/>
      <w:bookmarkEnd w:id="3"/>
    </w:p>
    <w:p w14:paraId="0C7F9C87" w14:textId="77777777" w:rsidR="00FE22FF" w:rsidRPr="00895BAC" w:rsidRDefault="00FE22FF" w:rsidP="00895BAC">
      <w:pPr>
        <w:pStyle w:val="Heading3"/>
      </w:pPr>
      <w:bookmarkStart w:id="4" w:name="_Toc242174146"/>
      <w:bookmarkStart w:id="5" w:name="_Toc242174798"/>
      <w:r w:rsidRPr="00895BAC">
        <w:t>Descriptive Statistics</w:t>
      </w:r>
      <w:bookmarkEnd w:id="4"/>
      <w:bookmarkEnd w:id="5"/>
    </w:p>
    <w:p w14:paraId="16A494FA" w14:textId="09DA0BB5" w:rsidR="00FE22FF" w:rsidRPr="00895BAC" w:rsidRDefault="00FE22FF" w:rsidP="00895BAC">
      <w:pPr>
        <w:ind w:firstLine="360"/>
        <w:contextualSpacing/>
        <w:rPr>
          <w:b/>
          <w:bCs/>
        </w:rPr>
      </w:pPr>
      <w:r w:rsidRPr="00895BAC">
        <w:t xml:space="preserve">To construct an </w:t>
      </w:r>
      <w:r w:rsidR="00E67902" w:rsidRPr="00895BAC">
        <w:t xml:space="preserve">empirically rigorous predictive modeling architecture that eliminates temporal and feature lookahead leakage </w:t>
      </w:r>
      <w:r w:rsidRPr="00895BAC">
        <w:t xml:space="preserve">for airport passenger security screening demand, this study synthesized multi-source operational records covering the continuous seven-year period </w:t>
      </w:r>
      <w:r w:rsidRPr="00895BAC">
        <w:lastRenderedPageBreak/>
        <w:t xml:space="preserve">from January 1, 2019 to December 31, 2025. The initial upstream repository captured 67.22 million raw </w:t>
      </w:r>
      <w:r w:rsidR="002F6BA1" w:rsidRPr="00895BAC">
        <w:t>operational transaction records a</w:t>
      </w:r>
      <w:r w:rsidRPr="00895BAC">
        <w:t xml:space="preserve">cross TSA checkpoint logs, Bureau of Transportation Statistics (BTS) On-Time Performance (OTP), BTS Form 41 Schedule T-100 Segment data, and BTS DB1B/DB1C ticket coupon surveys </w:t>
      </w:r>
      <w:r w:rsidRPr="0014663D">
        <w:rPr>
          <w:highlight w:val="yellow"/>
        </w:rPr>
        <w:t>(Appendix for details)</w:t>
      </w:r>
      <w:r w:rsidRPr="00895BAC">
        <w:t>.</w:t>
      </w:r>
    </w:p>
    <w:p w14:paraId="42F3FB8F" w14:textId="7ACC4030" w:rsidR="00FE22FF" w:rsidRPr="00895BAC" w:rsidRDefault="00FE22FF" w:rsidP="00B33A48">
      <w:pPr>
        <w:ind w:firstLine="720"/>
        <w:contextualSpacing/>
      </w:pPr>
      <w:r w:rsidRPr="00895BAC">
        <w:t xml:space="preserve">Following conformed extraction, automated entity resolution, data cleaning, and </w:t>
      </w:r>
      <w:r w:rsidR="00243745" w:rsidRPr="00895BAC">
        <w:t>relational synthesis across standardized operational dimensions (</w:t>
      </w:r>
      <w:r w:rsidR="00243745" w:rsidRPr="001676E7">
        <w:rPr>
          <w:i/>
          <w:iCs/>
        </w:rPr>
        <w:t xml:space="preserve">calendar date, departure time block, </w:t>
      </w:r>
      <w:r w:rsidR="00610F23" w:rsidRPr="001676E7">
        <w:rPr>
          <w:i/>
          <w:iCs/>
        </w:rPr>
        <w:t>airport</w:t>
      </w:r>
      <w:r w:rsidR="00243745" w:rsidRPr="001676E7">
        <w:rPr>
          <w:i/>
          <w:iCs/>
        </w:rPr>
        <w:t>, operating carrier, fleet aircraft type,</w:t>
      </w:r>
      <w:r w:rsidR="00243745" w:rsidRPr="001676E7">
        <w:t xml:space="preserve"> and</w:t>
      </w:r>
      <w:r w:rsidR="00243745" w:rsidRPr="001676E7">
        <w:rPr>
          <w:i/>
          <w:iCs/>
        </w:rPr>
        <w:t xml:space="preserve"> dedicated screening complex</w:t>
      </w:r>
      <w:r w:rsidR="00243745" w:rsidRPr="00895BAC">
        <w:t xml:space="preserve">), </w:t>
      </w:r>
      <w:r w:rsidRPr="00895BAC">
        <w:t xml:space="preserve">the nationwide post-ETL analytical warehouse retains 42,062,039 conformed records across the candidate network of the Top 25 U.S. commercial </w:t>
      </w:r>
      <w:r w:rsidR="00610F23">
        <w:t>airport</w:t>
      </w:r>
      <w:r w:rsidRPr="00895BAC">
        <w:t>s. Table 4.1 documents the post-ETL data foundation census across all four federal data sources.</w:t>
      </w:r>
      <w:r w:rsidR="00B33A48">
        <w:t xml:space="preserve"> </w:t>
      </w:r>
      <w:r w:rsidR="00B33A48" w:rsidRPr="00895BAC">
        <w:t>Table 4.2 presents the master post-ETL descriptive summary statistics for all primary operational variables across the nationwide Top 25 data repository.</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5E17E901" w14:textId="196725F0" w:rsidR="00FE22FF" w:rsidRPr="00895BAC" w:rsidRDefault="009E1C8A" w:rsidP="00310F3F">
      <w:pPr>
        <w:contextualSpacing/>
      </w:pPr>
      <w:r>
        <w:t xml:space="preserve">See </w:t>
      </w:r>
      <w:r w:rsidR="00310F3F">
        <w:t xml:space="preserve">Appendix for a discussion of </w:t>
      </w:r>
      <w:r w:rsidR="00AA540D">
        <w:t>descriptive statistics for post ETL Data</w:t>
      </w:r>
    </w:p>
    <w:p w14:paraId="5652BD07" w14:textId="77777777" w:rsidR="00FE22FF" w:rsidRPr="00895BAC" w:rsidRDefault="00FE22FF" w:rsidP="00895BAC">
      <w:pPr>
        <w:pStyle w:val="Heading3"/>
      </w:pPr>
      <w:bookmarkStart w:id="6" w:name="_Toc242174147"/>
      <w:bookmarkStart w:id="7" w:name="_Toc242174799"/>
      <w:r w:rsidRPr="00895BAC">
        <w:t>Temporal Boundaries</w:t>
      </w:r>
      <w:bookmarkEnd w:id="6"/>
      <w:bookmarkEnd w:id="7"/>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62D31B31" w:rsidR="00FE22FF" w:rsidRPr="00895BAC" w:rsidRDefault="00FE22FF" w:rsidP="00895BAC">
      <w:pPr>
        <w:ind w:firstLine="360"/>
        <w:contextualSpacing/>
      </w:pPr>
      <w:bookmarkStart w:id="8" w:name="_Toc242174148"/>
      <w:bookmarkStart w:id="9" w:name="_Toc242174800"/>
      <w:commentRangeStart w:id="10"/>
      <w:r w:rsidRPr="00895BAC">
        <w:rPr>
          <w:b/>
          <w:bCs/>
        </w:rPr>
        <w:t>Post-Pandemic Regime Selection and Structural Break Analysis</w:t>
      </w:r>
      <w:bookmarkEnd w:id="8"/>
      <w:bookmarkEnd w:id="9"/>
      <w:r w:rsidRPr="00895BAC">
        <w:rPr>
          <w:b/>
          <w:bCs/>
        </w:rPr>
        <w:t xml:space="preserve">. </w:t>
      </w:r>
      <w:r w:rsidR="00A30342" w:rsidRPr="00895BAC">
        <w:t xml:space="preserve">Structural break analysis – combining rolling Welch’s </w:t>
      </w:r>
      <m:oMath>
        <m:r>
          <w:rPr>
            <w:rFonts w:ascii="Cambria Math" w:hAnsi="Cambria Math"/>
          </w:rPr>
          <m:t>t</m:t>
        </m:r>
      </m:oMath>
      <w:r w:rsidR="00A30342" w:rsidRPr="00895BAC">
        <w:t xml:space="preserve">-tests and Cumulative Sum (CUSUM) trajectory tracking across the Top 25 </w:t>
      </w:r>
      <w:r w:rsidR="00610F23">
        <w:t>airport</w:t>
      </w:r>
      <w:r w:rsidR="00A30342" w:rsidRPr="00895BAC">
        <w:t>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xml:space="preserve">); and the establishment of a clean 32-month development </w:t>
      </w:r>
      <w:r w:rsidR="00A30342" w:rsidRPr="00895BAC">
        <w:lastRenderedPageBreak/>
        <w:t>baseline. 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commentRangeEnd w:id="10"/>
      <w:r w:rsidR="00AA1954" w:rsidRPr="00895BAC">
        <w:rPr>
          <w:rStyle w:val="CommentReference"/>
          <w:sz w:val="24"/>
          <w:szCs w:val="24"/>
        </w:rPr>
        <w:commentReference w:id="10"/>
      </w:r>
    </w:p>
    <w:p w14:paraId="67EA1B70" w14:textId="77777777" w:rsidR="00FE22FF" w:rsidRPr="00895BAC" w:rsidRDefault="00FE22FF" w:rsidP="00895BAC">
      <w:pPr>
        <w:pStyle w:val="Heading3"/>
      </w:pPr>
      <w:bookmarkStart w:id="11" w:name="_Toc242174149"/>
      <w:bookmarkStart w:id="12" w:name="_Toc242174801"/>
      <w:r w:rsidRPr="00895BAC">
        <w:t>Defining Seasonality</w:t>
      </w:r>
      <w:bookmarkEnd w:id="11"/>
      <w:bookmarkEnd w:id="12"/>
    </w:p>
    <w:p w14:paraId="1B2B9439" w14:textId="23A5270A"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r w:rsidRPr="00A34BBD">
        <w:rPr>
          <w:highlight w:val="yellow"/>
        </w:rPr>
        <w:t>.</w:t>
      </w:r>
      <w:r w:rsidR="00947D65" w:rsidRPr="00A34BBD">
        <w:rPr>
          <w:highlight w:val="yellow"/>
        </w:rPr>
        <w:t xml:space="preserve"> See appendix for </w:t>
      </w:r>
      <w:r w:rsidR="003C5D05" w:rsidRPr="00A34BBD">
        <w:rPr>
          <w:highlight w:val="yellow"/>
        </w:rPr>
        <w:t>Seasonality Dimensions detail.</w:t>
      </w:r>
      <w:r w:rsidR="003C5D05">
        <w:t xml:space="preserve"> It is important to define these for models to </w:t>
      </w:r>
      <w:r w:rsidR="00A1695E">
        <w:t>consider</w:t>
      </w:r>
      <w:r w:rsidR="003C5D05">
        <w:t xml:space="preserve"> so like for like is being compared. </w:t>
      </w:r>
    </w:p>
    <w:p w14:paraId="4FA6C4BE" w14:textId="54FA419D" w:rsidR="00FE22FF" w:rsidRPr="00895BAC" w:rsidRDefault="00FE22FF" w:rsidP="00895BAC">
      <w:pPr>
        <w:contextualSpacing/>
        <w:rPr>
          <w:b/>
          <w:bCs/>
          <w:i/>
          <w:iCs/>
        </w:rPr>
      </w:pPr>
      <w:bookmarkStart w:id="13" w:name="_Toc242174150"/>
      <w:bookmarkStart w:id="14" w:name="_Toc242174802"/>
      <w:r w:rsidRPr="00895BAC">
        <w:rPr>
          <w:b/>
          <w:bCs/>
          <w:i/>
          <w:iCs/>
        </w:rPr>
        <w:t>TSA and OTP Throughput Data</w:t>
      </w:r>
      <w:bookmarkEnd w:id="13"/>
      <w:bookmarkEnd w:id="14"/>
    </w:p>
    <w:p w14:paraId="4BD685D0" w14:textId="0919FDA0" w:rsidR="00FE22FF" w:rsidRPr="00895BAC" w:rsidRDefault="00FE22FF" w:rsidP="00895BAC">
      <w:pPr>
        <w:ind w:firstLine="720"/>
        <w:contextualSpacing/>
      </w:pPr>
      <w:r w:rsidRPr="00895BAC">
        <w:t xml:space="preserve">Evaluating the statistical relationships between TSA checkpoint throughput and Bureau of Transportation Statistics On-Time Performance data across all Top 25 </w:t>
      </w:r>
      <w:r w:rsidR="00610F23">
        <w:t>airport</w:t>
      </w:r>
      <w:r w:rsidRPr="00895BAC">
        <w:t xml:space="preserve">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0C9F3B1C"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xml:space="preserve">). However, when departing seats are deflated using BTS </w:t>
      </w:r>
      <w:r w:rsidRPr="00C72409">
        <w:t>DB1B connecting ratios to isolate true local originating passengers, explained variance jumps to 44.94% (</w:t>
      </w:r>
      <m:oMath>
        <m:r>
          <w:rPr>
            <w:rFonts w:ascii="Cambria Math" w:hAnsi="Cambria Math"/>
          </w:rPr>
          <m:t>r=0.6704,p&lt;0.001</m:t>
        </m:r>
      </m:oMath>
      <w:r w:rsidRPr="00895BAC">
        <w:t xml:space="preserve">), an increase of +115%. </w:t>
      </w:r>
      <w:r w:rsidR="00BF4FCE">
        <w:t>For instance,</w:t>
      </w:r>
      <w:r w:rsidRPr="00895BAC">
        <w:t xml:space="preserve"> major connecting hubs such as Charlotte (CLT) and Atlanta (ATL), up to 70% to 76% of passengers transfer between gates airside without entering landside </w:t>
      </w:r>
      <w:r w:rsidRPr="00895BAC">
        <w:lastRenderedPageBreak/>
        <w:t>security queues. Failing to account for connecting ratios creates a 2.5-fold distortion in checkpoint demand modeling.</w:t>
      </w:r>
    </w:p>
    <w:p w14:paraId="2ADECEED" w14:textId="3FCAF88A" w:rsidR="00FE22FF" w:rsidRPr="00895BAC" w:rsidRDefault="00FE22FF" w:rsidP="00895BAC">
      <w:pPr>
        <w:ind w:firstLine="360"/>
        <w:contextualSpacing/>
      </w:pPr>
      <w:commentRangeStart w:id="15"/>
      <w:r w:rsidRPr="00895BAC">
        <w:rPr>
          <w:b/>
          <w:bCs/>
        </w:rPr>
        <w:t>Coupled Volatility and Asynchronous Lag Dynamics</w:t>
      </w:r>
      <w:commentRangeEnd w:id="15"/>
      <w:r w:rsidR="00704D85" w:rsidRPr="00895BAC">
        <w:rPr>
          <w:rStyle w:val="CommentReference"/>
          <w:sz w:val="24"/>
          <w:szCs w:val="24"/>
        </w:rPr>
        <w:commentReference w:id="15"/>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w:t>
      </w:r>
      <w:r w:rsidR="00E749E0">
        <w:t xml:space="preserve"> </w:t>
      </w:r>
      <w:r w:rsidRPr="00895BAC">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t>Implications for Subset</w:t>
      </w:r>
    </w:p>
    <w:p w14:paraId="5009C015" w14:textId="4C08EB89" w:rsidR="00626B04" w:rsidRDefault="00626B04" w:rsidP="00895BAC">
      <w:pPr>
        <w:ind w:firstLine="360"/>
        <w:contextualSpacing/>
      </w:pPr>
      <w:r>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t>errors</w:t>
      </w:r>
      <w:r>
        <w:t xml:space="preserve">, these macro-level seasonal regimes and cross-dataset relationships </w:t>
      </w:r>
      <w:r w:rsidRPr="00AB16B8">
        <w:rPr>
          <w:u w:val="single"/>
        </w:rPr>
        <w:t>are not used as direct regression features</w:t>
      </w:r>
      <w:r>
        <w:t xml:space="preserve">. Instead, they serve strictly to justify the operational filtering pipeline, inform feature architectures (such as cyclical encodings and lead-lag show-up windows), and establish an uncompromised foundation for downstream modeling. </w:t>
      </w:r>
    </w:p>
    <w:p w14:paraId="00126CD5" w14:textId="4F5E3C50" w:rsidR="00FE22FF" w:rsidRPr="00895BAC" w:rsidRDefault="00626B04" w:rsidP="00895BAC">
      <w:pPr>
        <w:ind w:firstLine="360"/>
        <w:contextualSpacing/>
      </w:pPr>
      <w:r>
        <w:t xml:space="preserve">The exploratory analysis also reveals that commercial </w:t>
      </w:r>
      <w:r w:rsidR="00610F23">
        <w:t>airport</w:t>
      </w:r>
      <w:r>
        <w:t xml:space="preserve">s must initially be evaluated as whole facilities to verify operational scale and hub cluster </w:t>
      </w:r>
      <w:r w:rsidR="00CB3EC1">
        <w:t>diversity but</w:t>
      </w:r>
      <w:r>
        <w:t xml:space="preserve"> cannot be modeled at the aggregate airport level. In shared-terminal facilities, coordinated airline flight banks generate severe multi-carrier collinearity </w:t>
      </w:r>
      <w:r w:rsidR="00826173">
        <w:t xml:space="preserve">(see appendix for equation) </w:t>
      </w:r>
      <w:r>
        <w:t xml:space="preserve">making it mathematically impossible </w:t>
      </w:r>
      <w:r>
        <w:lastRenderedPageBreak/>
        <w:t>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265E3639" w14:textId="77777777" w:rsidR="00FE22FF" w:rsidRPr="00895BAC" w:rsidRDefault="00FE22FF" w:rsidP="00895BAC">
      <w:pPr>
        <w:pStyle w:val="Heading2"/>
      </w:pPr>
      <w:bookmarkStart w:id="16" w:name="_Toc242174151"/>
      <w:bookmarkStart w:id="17" w:name="_Toc242174803"/>
      <w:r w:rsidRPr="00895BAC">
        <w:t>Data Filtering and Subset Selection</w:t>
      </w:r>
      <w:bookmarkEnd w:id="16"/>
      <w:bookmarkEnd w:id="17"/>
    </w:p>
    <w:p w14:paraId="0752F8CF" w14:textId="77777777" w:rsidR="00FE22FF" w:rsidRPr="00895BAC" w:rsidRDefault="00FE22FF" w:rsidP="00895BAC">
      <w:pPr>
        <w:pStyle w:val="Heading3"/>
      </w:pPr>
      <w:bookmarkStart w:id="18" w:name="_Toc242174152"/>
      <w:bookmarkStart w:id="19" w:name="_Toc242174804"/>
      <w:r w:rsidRPr="00895BAC">
        <w:t>Four-Phase Filtering Pipeline</w:t>
      </w:r>
      <w:bookmarkEnd w:id="18"/>
      <w:bookmarkEnd w:id="19"/>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4255A32" w:rsidR="00FE22FF" w:rsidRPr="00895BAC" w:rsidRDefault="001759BF" w:rsidP="00895BAC">
      <w:pPr>
        <w:ind w:firstLine="360"/>
        <w:contextualSpacing/>
      </w:pPr>
      <w:r w:rsidRPr="00895BAC">
        <w:t xml:space="preserve">The four-phase purposive filtering pipeline systematically isolates single-carrier screening dynamics from confounding network interactions. In Phase 1 (Macro Filter), the national candidate pool of 450+ commercial </w:t>
      </w:r>
      <w:r w:rsidR="00610F23">
        <w:t>airport</w:t>
      </w:r>
      <w:r w:rsidRPr="00895BAC">
        <w:t xml:space="preserve">s was filtered down to the Top 25 </w:t>
      </w:r>
      <w:r w:rsidR="00610F23">
        <w:t>airport</w:t>
      </w:r>
      <w:r w:rsidRPr="00895BAC">
        <w:t>s, enforcing 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(Meso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4 (Balanced Experimental Cohort) established a </w:t>
      </w:r>
      <w:r w:rsidRPr="0091382A">
        <w:rPr>
          <w:highlight w:val="yellow"/>
        </w:rPr>
        <w:t>factorial</w:t>
      </w:r>
      <w:r w:rsidRPr="00895BAC">
        <w:t xml:space="preserve"> design across 12 dedicated screening </w:t>
      </w:r>
      <w:r w:rsidRPr="00895BAC">
        <w:lastRenderedPageBreak/>
        <w:t xml:space="preserve">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=70.80% </m:t>
        </m:r>
      </m:oMath>
      <w:r w:rsidRPr="00895BAC">
        <w:t xml:space="preserve">to </w:t>
      </w:r>
      <m:oMath>
        <m:r>
          <w:rPr>
            <w:rFonts w:ascii="Cambria Math" w:hAnsi="Cambria Math"/>
          </w:rPr>
          <m:t>77.40%</m:t>
        </m:r>
      </m:oMath>
      <w:r w:rsidRPr="00895BAC">
        <w:t>.</w:t>
      </w:r>
      <w:r w:rsidRPr="00895BAC">
        <w:rPr>
          <w:b/>
          <w:bCs/>
        </w:rPr>
        <w:t xml:space="preserve"> </w:t>
      </w:r>
      <w:r w:rsidR="00101D58" w:rsidRPr="00101D58">
        <w:t xml:space="preserve">For an in depth </w:t>
      </w:r>
      <w:r w:rsidR="00101D58">
        <w:t>outline of the phases, please refer to the appendix</w:t>
      </w:r>
    </w:p>
    <w:p w14:paraId="0DA81029" w14:textId="77777777" w:rsidR="00FE22FF" w:rsidRPr="00895BAC" w:rsidRDefault="00FE22FF" w:rsidP="00895BAC">
      <w:pPr>
        <w:pStyle w:val="Heading3"/>
      </w:pPr>
      <w:r w:rsidRPr="00895BAC">
        <w:t>Pipeline Results</w:t>
      </w:r>
    </w:p>
    <w:p w14:paraId="0380BBC8" w14:textId="442AD3EA" w:rsidR="00FE22FF" w:rsidRPr="00895BAC" w:rsidRDefault="00FE22FF" w:rsidP="00895BAC">
      <w:pPr>
        <w:ind w:firstLine="720"/>
        <w:contextualSpacing/>
      </w:pPr>
      <w:r w:rsidRPr="00895BAC">
        <w:t xml:space="preserve">The filtering pipeline isolated 9 commercial </w:t>
      </w:r>
      <w:r w:rsidR="00610F23">
        <w:t>airport</w:t>
      </w:r>
      <w:r w:rsidRPr="00895BAC">
        <w:t>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3"/>
                    <a:stretch>
                      <a:fillRect/>
                    </a:stretch>
                  </pic:blipFill>
                  <pic:spPr>
                    <a:xfrm>
                      <a:off x="0" y="0"/>
                      <a:ext cx="6114214" cy="1673724"/>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t>To mathematically verify that dedicated checkpoints isolate single-carrier demand, four econometric tests were performed</w:t>
      </w:r>
      <w:r w:rsidR="002354FC" w:rsidRPr="00895BAC">
        <w:t>: Carrier Ticket Boarding Dominance, No-Mainline Zero Activity, Cross-Carrier Leakage, and Airside Concourse Isolation</w:t>
      </w:r>
      <w:r w:rsidR="00F65823">
        <w:t xml:space="preserve"> (</w:t>
      </w:r>
      <w:r w:rsidR="00F65823" w:rsidRPr="00F50F48">
        <w:rPr>
          <w:highlight w:val="yellow"/>
        </w:rPr>
        <w:t>detailed in the Appendix</w:t>
      </w:r>
      <w:r w:rsidR="00F65823">
        <w:t>)</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39F27271" w:rsidR="00FE22FF" w:rsidRPr="00895BAC" w:rsidRDefault="00FE22FF" w:rsidP="00895BAC">
      <w:pPr>
        <w:contextualSpacing/>
        <w:rPr>
          <w:i/>
          <w:iCs/>
        </w:rPr>
      </w:pPr>
      <w:r w:rsidRPr="00895BAC">
        <w:rPr>
          <w:b/>
          <w:bCs/>
        </w:rPr>
        <w:t>Table 4.7</w:t>
      </w:r>
      <w:r w:rsidRPr="00895BAC">
        <w:br/>
      </w:r>
      <w:r w:rsidRPr="00895BAC">
        <w:rPr>
          <w:i/>
          <w:iCs/>
        </w:rPr>
        <w:t>Summary Descriptive Statistics: Nine-Airport Experimental Cohort</w:t>
      </w:r>
    </w:p>
    <w:p w14:paraId="2ECF4149" w14:textId="77777777" w:rsidR="00FE22FF" w:rsidRPr="00895BAC" w:rsidRDefault="00FE22FF" w:rsidP="00895BAC">
      <w:pPr>
        <w:contextualSpacing/>
        <w:jc w:val="center"/>
      </w:pPr>
      <w:r w:rsidRPr="00895BAC">
        <w:rPr>
          <w:noProof/>
        </w:rPr>
        <w:lastRenderedPageBreak/>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4"/>
                    <a:stretch>
                      <a:fillRect/>
                    </a:stretch>
                  </pic:blipFill>
                  <pic:spPr>
                    <a:xfrm>
                      <a:off x="0" y="0"/>
                      <a:ext cx="5943600" cy="2971800"/>
                    </a:xfrm>
                    <a:prstGeom prst="rect">
                      <a:avLst/>
                    </a:prstGeom>
                  </pic:spPr>
                </pic:pic>
              </a:graphicData>
            </a:graphic>
          </wp:inline>
        </w:drawing>
      </w:r>
    </w:p>
    <w:p w14:paraId="60084DCE" w14:textId="67C969EF" w:rsidR="00FE22FF" w:rsidRPr="00895BAC" w:rsidRDefault="00FE22FF" w:rsidP="00895BAC">
      <w:pPr>
        <w:contextualSpacing/>
      </w:pPr>
      <w:r w:rsidRPr="00895BAC">
        <w:t>Compared to the broader Top 25 network, the 9-airport cohort exhibits</w:t>
      </w:r>
      <w:r w:rsidR="00A507BC">
        <w:t xml:space="preserve"> higher flight movement density, higher delay and cancellation exposure, and high local originating demand. For details on </w:t>
      </w:r>
      <w:r w:rsidR="00A44A0F">
        <w:t xml:space="preserve">comparing the top 25 network to the 9 airport cohort, </w:t>
      </w:r>
      <w:r w:rsidR="00A44A0F" w:rsidRPr="00D812EF">
        <w:rPr>
          <w:highlight w:val="yellow"/>
        </w:rPr>
        <w:t>please refer to the appendix.</w:t>
      </w:r>
    </w:p>
    <w:p w14:paraId="6AC9140F" w14:textId="77777777" w:rsidR="00DA26F4" w:rsidRPr="00DA26F4" w:rsidRDefault="00FE22FF" w:rsidP="00DA26F4">
      <w:pPr>
        <w:contextualSpacing/>
        <w:rPr>
          <w:b/>
          <w:bCs/>
          <w:i/>
          <w:iCs/>
        </w:rPr>
      </w:pPr>
      <w:r w:rsidRPr="00DA26F4">
        <w:rPr>
          <w:b/>
          <w:bCs/>
          <w:i/>
          <w:iCs/>
        </w:rPr>
        <w:t>Local Seasonal and Day-of-Week Differences Across the Nine Selected Airports</w:t>
      </w:r>
    </w:p>
    <w:p w14:paraId="1D5EF5F4" w14:textId="26A71B4D" w:rsidR="00FE22FF" w:rsidRPr="00586F37" w:rsidRDefault="00FE22FF" w:rsidP="00586F37">
      <w:pPr>
        <w:ind w:firstLine="360"/>
        <w:contextualSpacing/>
        <w:rPr>
          <w:b/>
          <w:bCs/>
        </w:rPr>
      </w:pPr>
      <w:r w:rsidRPr="00895BAC">
        <w:t xml:space="preserve">While seasonal and day-of-week baselines were established across the Top 25 network, the nine selected </w:t>
      </w:r>
      <w:r w:rsidR="00610F23">
        <w:t>airport</w:t>
      </w:r>
      <w:r w:rsidRPr="00895BAC">
        <w:t xml:space="preserve">s display distinct local seasonal and weekly profiles reflecting their traffic composition and cluster archetype. </w:t>
      </w:r>
      <w:r w:rsidRPr="00CE2501">
        <w:rPr>
          <w:highlight w:val="yellow"/>
        </w:rPr>
        <w:t>Table 4.8 in the appendix reports</w:t>
      </w:r>
      <w:r w:rsidRPr="00895BAC">
        <w:t xml:space="preserve"> the day-of-week passenger throughput distribution across the nine airports.</w:t>
      </w:r>
      <w:r w:rsidR="00586F37">
        <w:rPr>
          <w:b/>
          <w:bCs/>
        </w:rPr>
        <w:t xml:space="preserve"> </w:t>
      </w:r>
      <w:r w:rsidRPr="00895BAC">
        <w:t>The 9 airports exhibit three distinct weekly demand dynamics</w:t>
      </w:r>
      <w:r w:rsidR="00983825">
        <w:t>, which can be found in the Appendix.</w:t>
      </w:r>
    </w:p>
    <w:p w14:paraId="7708D511" w14:textId="2128773D" w:rsidR="00BD2540" w:rsidRPr="00895BAC" w:rsidRDefault="00FE22FF" w:rsidP="00895BAC">
      <w:pPr>
        <w:pStyle w:val="Heading3"/>
      </w:pPr>
      <w:r w:rsidRPr="00895BAC">
        <w:t>Implications for Model</w:t>
      </w:r>
      <w:r w:rsidR="00291751">
        <w:t xml:space="preserve"> </w:t>
      </w:r>
      <w:r w:rsidR="00FB55E3">
        <w:t>Development</w:t>
      </w:r>
    </w:p>
    <w:p w14:paraId="06A92588" w14:textId="691BD346" w:rsidR="00BD2540" w:rsidRPr="00895BAC" w:rsidRDefault="00BD2540" w:rsidP="00895BAC">
      <w:pPr>
        <w:ind w:firstLine="360"/>
        <w:contextualSpacing/>
      </w:pPr>
      <w:r w:rsidRPr="00895BAC">
        <w:t xml:space="preserve">The empirical findings from subset selection establish four mandatory architectural requirements for airport passenger flow modeling. First, passenger throughput must be modeled at dedicated single-carrier screening complexes rather than airport-wide aggregates to eliminate multi-carrier bank confounding and capture terminal-specific arrival surges. Second, departing </w:t>
      </w:r>
      <w:r w:rsidRPr="00895BAC">
        <w:lastRenderedPageBreak/>
        <w:t>seat capacity must be deflated by empirical DB1B connecting ratios (</w:t>
      </w:r>
      <m:oMath>
        <m:r>
          <w:rPr>
            <w:rFonts w:ascii="Cambria Math" w:hAnsi="Cambria Math"/>
          </w:rPr>
          <m:t>1-</m:t>
        </m:r>
        <m:sSub>
          <m:sSubPr>
            <m:ctrlPr>
              <w:rPr>
                <w:rFonts w:ascii="Cambria Math" w:hAnsi="Cambria Math"/>
              </w:rPr>
            </m:ctrlPr>
          </m:sSubPr>
          <m:e>
            <m:r>
              <m:rPr>
                <m:nor/>
              </m:rPr>
              <m:t>ConnectingRatio</m:t>
            </m:r>
          </m:e>
          <m:sub>
            <m:r>
              <m:rPr>
                <m:nor/>
              </m:rPr>
              <m:t>airport</m:t>
            </m:r>
          </m:sub>
        </m:sSub>
      </m:oMath>
      <w:r w:rsidRPr="00895BAC">
        <w:t xml:space="preserve">), preventing the </w:t>
      </w:r>
      <m:oMath>
        <m:r>
          <w:rPr>
            <w:rFonts w:ascii="Cambria Math" w:hAnsi="Cambria Math"/>
          </w:rPr>
          <m:t>&gt;200%</m:t>
        </m:r>
      </m:oMath>
      <w:r w:rsidR="002B3A55" w:rsidRPr="00895BAC">
        <w:t xml:space="preserve"> </w:t>
      </w:r>
      <w:r w:rsidRPr="00895BAC">
        <w:t>throughput overprediction that occurs when airside connecting passengers at hubs such as DFW, DTW, and ORD are erroneously assumed to enter landside checkpoints. Third, models must enforce strict information availability by using prior-hour operational indicators (</w:t>
      </w:r>
      <m:oMath>
        <m:r>
          <w:rPr>
            <w:rFonts w:ascii="Cambria Math" w:hAnsi="Cambria Math"/>
          </w:rPr>
          <m:t>t-1</m:t>
        </m:r>
      </m:oMath>
      <w:r w:rsidRPr="00895BAC">
        <w:t>) and tactical cancellations rather than concurrent departure delays, avoiding lookahead bias since flight delays are unconfirmed until pushback occurs. Finally, predictive formulations must incorporate zero-bounded statistical structures</w:t>
      </w:r>
      <w:r w:rsidR="002B3A55" w:rsidRPr="00895BAC">
        <w:t xml:space="preserve"> – </w:t>
      </w:r>
      <w:r w:rsidRPr="00895BAC">
        <w:t xml:space="preserve">such as Tweedie compound </w:t>
      </w:r>
      <w:commentRangeStart w:id="20"/>
      <w:r w:rsidRPr="00895BAC">
        <w:t>Poisson generalized linear models (</w:t>
      </w:r>
      <m:oMath>
        <m:r>
          <w:rPr>
            <w:rFonts w:ascii="Cambria Math" w:hAnsi="Cambria Math"/>
          </w:rPr>
          <m:t>p=1.3</m:t>
        </m:r>
      </m:oMath>
      <w:r w:rsidRPr="00895BAC">
        <w:t>) or two-stage hurdle structures</w:t>
      </w:r>
      <w:r w:rsidR="002B3A55" w:rsidRPr="00895BAC">
        <w:t xml:space="preserve"> </w:t>
      </w:r>
      <w:commentRangeEnd w:id="20"/>
      <w:r w:rsidR="00CE2501" w:rsidRPr="00895BAC">
        <w:rPr>
          <w:rStyle w:val="CommentReference"/>
          <w:sz w:val="24"/>
          <w:szCs w:val="24"/>
        </w:rPr>
        <w:commentReference w:id="20"/>
      </w:r>
      <w:r w:rsidR="002B3A55" w:rsidRPr="00895BAC">
        <w:t xml:space="preserve">– </w:t>
      </w:r>
      <w:r w:rsidRPr="00895BAC">
        <w:t xml:space="preserve">to accommodate positive throughput skewness and structural zeros during overnight curfew hours without generating impossible negative volume prediction. </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lastRenderedPageBreak/>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5"/>
                    <a:stretch>
                      <a:fillRect/>
                    </a:stretch>
                  </pic:blipFill>
                  <pic:spPr>
                    <a:xfrm>
                      <a:off x="0" y="0"/>
                      <a:ext cx="5943600" cy="2063750"/>
                    </a:xfrm>
                    <a:prstGeom prst="rect">
                      <a:avLst/>
                    </a:prstGeom>
                  </pic:spPr>
                </pic:pic>
              </a:graphicData>
            </a:graphic>
          </wp:inline>
        </w:drawing>
      </w:r>
    </w:p>
    <w:p w14:paraId="67582A21" w14:textId="0C3D1FDC" w:rsidR="00FE22FF" w:rsidRPr="00895BAC" w:rsidRDefault="00FE22FF" w:rsidP="00D31CD3">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corresponding directly to the 90–120 minute modal passenger show-up window established in airport terminal planning guidelines (Airport Cooperative Research Program [ACRP] Report 40; Transportation Research Board, 2010).</w:t>
      </w:r>
      <w:r w:rsidR="00D85F41">
        <w:t xml:space="preserve"> </w:t>
      </w:r>
      <w:r w:rsidR="00107BCB">
        <w:t xml:space="preserve">After scaling by booked load factors and deflating airside connecting passengers who never enter landside security, this transformation converts published flight timetables into an accurate baseline forecast of checkpoint queuing demand. </w:t>
      </w:r>
      <w:r w:rsidRPr="00D31CD3">
        <w:rPr>
          <w:highlight w:val="yellow"/>
        </w:rPr>
        <w:t>See appendix for the complete feature engineering pipeline</w:t>
      </w:r>
      <w:r w:rsidR="00107BCB" w:rsidRPr="00D31CD3">
        <w:rPr>
          <w:highlight w:val="yellow"/>
        </w:rPr>
        <w:t>.</w:t>
      </w:r>
    </w:p>
    <w:p w14:paraId="3C552D13" w14:textId="77777777" w:rsidR="00FE22FF" w:rsidRPr="00895BAC" w:rsidRDefault="00FE22FF" w:rsidP="00895BAC">
      <w:pPr>
        <w:pStyle w:val="Heading3"/>
      </w:pPr>
      <w:r w:rsidRPr="00895BAC">
        <w:t>Model Training</w:t>
      </w:r>
    </w:p>
    <w:p w14:paraId="220C802C" w14:textId="67B8EEC9" w:rsidR="00553B49" w:rsidRPr="00CA13DE" w:rsidRDefault="00553B49" w:rsidP="008A3622">
      <w:pPr>
        <w:ind w:firstLine="720"/>
        <w:rPr>
          <w:color w:val="000000" w:themeColor="text1"/>
        </w:rPr>
      </w:pPr>
      <w:r>
        <w:t xml:space="preserve">To </w:t>
      </w:r>
      <w:r w:rsidRPr="00CA13DE">
        <w:rPr>
          <w:color w:val="000000" w:themeColor="text1"/>
        </w:rPr>
        <w:t xml:space="preserve">test the thesis hypothesis, three candidate predictive models representing distinct operational paradigms were evaluated against an empirical persistence control. The Baseline Control assumes today's hourly checkpoint arrival volatility repeats </w:t>
      </w:r>
      <w:r w:rsidRPr="00306E7C">
        <w:rPr>
          <w:color w:val="000000" w:themeColor="text1"/>
          <w:u w:val="single"/>
        </w:rPr>
        <w:t xml:space="preserve">yesterday's </w:t>
      </w:r>
      <w:r w:rsidRPr="00CA13DE">
        <w:rPr>
          <w:color w:val="000000" w:themeColor="text1"/>
        </w:rPr>
        <w:t>observed dispersion</w:t>
      </w:r>
      <w:r w:rsidR="00306E7C">
        <w:rPr>
          <w:color w:val="000000" w:themeColor="text1"/>
        </w:rPr>
        <w:t xml:space="preserve">. </w:t>
      </w:r>
      <w:r w:rsidRPr="00CA13DE">
        <w:rPr>
          <w:color w:val="000000" w:themeColor="text1"/>
        </w:rPr>
        <w:t>Model 1 (Deterministic Flight Schedule Model) projects passenger arrival dispersion by convolving scheduled airline flight departure banks across empirical ACRP Report 40 show-up curves (</w:t>
      </w:r>
      <m:oMath>
        <m:r>
          <w:rPr>
            <w:rFonts w:ascii="Cambria Math" w:hAnsi="Cambria Math"/>
            <w:color w:val="000000" w:themeColor="text1"/>
          </w:rPr>
          <m:t>t+1,t+2,t+3</m:t>
        </m:r>
      </m:oMath>
      <w:r w:rsidRPr="00CA13DE">
        <w:rPr>
          <w:color w:val="000000" w:themeColor="text1"/>
        </w:rPr>
        <w:t xml:space="preserve">), capturing schedule geometry without requiring machine learning or live delay telemetry. Model 2 (Supervised Machine Learning Model) uses an automated decision-tree architecture trained across convolved schedule features and 24 Bureau of </w:t>
      </w:r>
      <w:r w:rsidRPr="00CA13DE">
        <w:rPr>
          <w:color w:val="000000" w:themeColor="text1"/>
        </w:rPr>
        <w:lastRenderedPageBreak/>
        <w:t>Transportation Statistics (BTS) On-Time Performance operational attributes (cancellations, prior-hour delays, and taxi queues). Model 3 (Dynamic Two-Stage Hybrid Model) couples scheduled flight cycles with live prior-hour recursive error correction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t-1</m:t>
            </m:r>
          </m:sub>
        </m:sSub>
      </m:oMath>
      <w:r w:rsidRPr="00CA13DE">
        <w:rPr>
          <w:color w:val="000000" w:themeColor="text1"/>
        </w:rPr>
        <w:t>) from actual screening counts to sense passenger accumulation during flight delays.</w:t>
      </w:r>
      <w:r>
        <w:rPr>
          <w:color w:val="000000" w:themeColor="text1"/>
        </w:rPr>
        <w:t xml:space="preserve"> </w:t>
      </w:r>
      <w:commentRangeStart w:id="21"/>
      <w:r w:rsidRPr="00CA13DE">
        <w:rPr>
          <w:color w:val="000000" w:themeColor="text1"/>
        </w:rPr>
        <w:t>Using the partitions and 7-day purge buffer established in Section 4.1, models were calibrated across 15,976 training complex-days and 3,293 validation complex-days prior to holdout evaluati</w:t>
      </w:r>
      <w:r>
        <w:rPr>
          <w:color w:val="000000" w:themeColor="text1"/>
        </w:rPr>
        <w:t>on.</w:t>
      </w:r>
      <w:commentRangeEnd w:id="21"/>
      <w:r w:rsidR="004A5CD1" w:rsidRPr="00CA13DE">
        <w:rPr>
          <w:rStyle w:val="CommentReference"/>
          <w:color w:val="000000" w:themeColor="text1"/>
          <w:sz w:val="24"/>
          <w:szCs w:val="24"/>
        </w:rPr>
        <w:commentReference w:id="21"/>
      </w:r>
    </w:p>
    <w:p w14:paraId="1B5F44B3" w14:textId="40562DAE" w:rsidR="00E40D42" w:rsidRPr="00895BAC" w:rsidRDefault="00FE22FF" w:rsidP="00895BAC">
      <w:pPr>
        <w:contextualSpacing/>
        <w:rPr>
          <w:b/>
          <w:bCs/>
          <w:i/>
          <w:iCs/>
        </w:rPr>
      </w:pPr>
      <w:r w:rsidRPr="00895BAC">
        <w:rPr>
          <w:b/>
          <w:bCs/>
          <w:i/>
          <w:iCs/>
        </w:rPr>
        <w:t>Model Testing</w:t>
      </w:r>
    </w:p>
    <w:p w14:paraId="1E9E3F78" w14:textId="5BE57BA5" w:rsidR="00FE22FF" w:rsidRPr="00895BAC" w:rsidRDefault="00E40D42" w:rsidP="00895BAC">
      <w:pPr>
        <w:ind w:firstLine="360"/>
        <w:contextualSpacing/>
      </w:pPr>
      <w:r w:rsidRPr="00895BAC">
        <w:t xml:space="preserve">All candidate architectures were evaluated against the untouched 2025 </w:t>
      </w:r>
      <w:commentRangeStart w:id="22"/>
      <w:r w:rsidRPr="00895BAC">
        <w:t>Full-Year Out-of-Time Holdout Dataset</w:t>
      </w:r>
      <w:commentRangeEnd w:id="22"/>
      <w:r w:rsidR="00A32BD6">
        <w:rPr>
          <w:rStyle w:val="CommentReference"/>
          <w:sz w:val="24"/>
          <w:szCs w:val="24"/>
        </w:rPr>
        <w:commentReference w:id="22"/>
      </w:r>
      <w:r w:rsidR="00362FD2">
        <w:t>.</w:t>
      </w:r>
      <w:r w:rsidRPr="00895BAC">
        <w:t xml:space="preserve"> Forecast performance was evaluated against the primary thesis target of </w:t>
      </w:r>
      <w:commentRangeStart w:id="23"/>
      <w:r w:rsidRPr="00895BAC">
        <w:t xml:space="preserve">diurnal </w:t>
      </w:r>
      <w:commentRangeEnd w:id="23"/>
      <w:r w:rsidR="00B0640E" w:rsidRPr="00895BAC">
        <w:rPr>
          <w:rStyle w:val="CommentReference"/>
          <w:sz w:val="24"/>
          <w:szCs w:val="24"/>
        </w:rPr>
        <w:commentReference w:id="23"/>
      </w:r>
      <w:r w:rsidRPr="00895BAC">
        <w:t>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xml:space="preserve">, measured as pax/hr standard deviation across the 24 hours of each day) alongside </w:t>
      </w:r>
      <w:r w:rsidRPr="00E02FD3">
        <w:rPr>
          <w:highlight w:val="yellow"/>
        </w:rPr>
        <w:t>scale-free relative volatility</w:t>
      </w:r>
      <w:r w:rsidRPr="00895BAC">
        <w:t xml:space="preserve">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pax/hr), Mean Absolute Error (MAE; pax/hr), Mean Absolute Scaled Error (MASE; relative to daily persistence), and Mean Forecast Bias</w:t>
      </w:r>
      <w:r w:rsidR="00E02FD3">
        <w:t>. Please see appendix for details on how to interpret these standard operational performance criteria.</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t>Dispersion Scale vs. Volume Scale</w:t>
      </w:r>
      <w:r w:rsidRPr="00895BAC">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pax/hr represents an exceptionally close fit to intraday arrival swings.</w:t>
      </w:r>
    </w:p>
    <w:p w14:paraId="56958A73" w14:textId="77777777" w:rsidR="00FE22FF" w:rsidRPr="00895BAC" w:rsidRDefault="00FE22FF" w:rsidP="00895BAC">
      <w:pPr>
        <w:ind w:firstLine="360"/>
        <w:contextualSpacing/>
      </w:pPr>
      <w:r w:rsidRPr="00895BAC">
        <w:rPr>
          <w:b/>
          <w:bCs/>
        </w:rPr>
        <w:lastRenderedPageBreak/>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37F4C04" w:rsidR="00FE22FF" w:rsidRPr="00895BAC" w:rsidRDefault="00FE22FF" w:rsidP="00895BAC">
      <w:pPr>
        <w:ind w:firstLine="720"/>
        <w:contextualSpacing/>
      </w:pPr>
      <w:r w:rsidRPr="00895BAC">
        <w:t>Table 4.10 reports the out-of-time evaluation benchmark matrix across the candidate model architectures on the 2025 holdout dataset</w:t>
      </w:r>
      <w:r w:rsidR="00CC77D9">
        <w:t>.</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6"/>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4" w:name="_Toc242174153"/>
      <w:bookmarkStart w:id="25" w:name="_Toc242174805"/>
      <w:r w:rsidRPr="00895BAC">
        <w:t>General Model Performance Across the 9-Airport Cohort</w:t>
      </w:r>
      <w:bookmarkEnd w:id="24"/>
      <w:bookmarkEnd w:id="25"/>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FA7844C" w:rsidR="00FE22FF" w:rsidRPr="00895BAC" w:rsidRDefault="00FE22FF" w:rsidP="00895BAC">
      <w:pPr>
        <w:ind w:firstLine="360"/>
        <w:contextualSpacing/>
      </w:pPr>
      <w:r w:rsidRPr="00895BAC">
        <w:rPr>
          <w:b/>
          <w:bCs/>
        </w:rPr>
        <w:t>The Deterministic Schedule Baseline (Model 1)</w:t>
      </w:r>
      <w:r w:rsidRPr="00895BAC">
        <w:t xml:space="preserve">. </w:t>
      </w:r>
      <w:r w:rsidR="00AA726E">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t>(</w:t>
      </w:r>
      <m:oMath>
        <m:r>
          <m:rPr>
            <m:nor/>
          </m:rPr>
          <m:t>RMSE</m:t>
        </m:r>
        <m:r>
          <w:rPr>
            <w:rFonts w:ascii="Cambria Math" w:hAnsi="Cambria Math"/>
          </w:rPr>
          <m:t>=313.4</m:t>
        </m:r>
      </m:oMath>
      <w:r w:rsidR="00AA726E">
        <w:t xml:space="preserve"> pax/hr, </w:t>
      </w:r>
      <m:oMath>
        <m:r>
          <m:rPr>
            <m:nor/>
          </m:rPr>
          <m:t>MASE</m:t>
        </m:r>
        <m:r>
          <w:rPr>
            <w:rFonts w:ascii="Cambria Math" w:hAnsi="Cambria Math"/>
          </w:rPr>
          <m:t>=0.945</m:t>
        </m:r>
      </m:oMath>
      <w:r w:rsidR="00AA726E">
        <w:t>). This outperforms daily persistence by 5.5% (</w:t>
      </w:r>
      <m:oMath>
        <m:r>
          <m:rPr>
            <m:nor/>
          </m:rPr>
          <m:t>MASE</m:t>
        </m:r>
        <m:r>
          <w:rPr>
            <w:rFonts w:ascii="Cambria Math" w:hAnsi="Cambria Math"/>
          </w:rPr>
          <m:t>&lt;1.000</m:t>
        </m:r>
      </m:oMath>
      <w:r w:rsidR="00AA726E">
        <w:t>), demonstrating that schedule geometry alone captures approximately half of total checkpoint arrival variance without requiring machine learning infrastructure</w:t>
      </w:r>
    </w:p>
    <w:p w14:paraId="5EF7DED1" w14:textId="5862C5A2" w:rsidR="00FE22FF" w:rsidRPr="00895BAC" w:rsidRDefault="00DE4F0D" w:rsidP="00895BAC">
      <w:pPr>
        <w:ind w:firstLine="360"/>
        <w:contextualSpacing/>
      </w:pPr>
      <w:r w:rsidRPr="00895BAC">
        <w:rPr>
          <w:b/>
          <w:bCs/>
        </w:rPr>
        <w:lastRenderedPageBreak/>
        <w:t>Supervised Machine Learning (</w:t>
      </w:r>
      <w:r w:rsidR="00FE22FF" w:rsidRPr="00895BAC">
        <w:rPr>
          <w:b/>
          <w:bCs/>
        </w:rPr>
        <w:t>Model 2)</w:t>
      </w:r>
      <w:r w:rsidR="00FE22FF" w:rsidRPr="00895BAC">
        <w:t xml:space="preserve">. </w:t>
      </w:r>
      <w:r w:rsidR="000C744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t>(</w:t>
      </w:r>
      <m:oMath>
        <m:r>
          <m:rPr>
            <m:nor/>
          </m:rPr>
          <m:t>RMSE</m:t>
        </m:r>
        <m:r>
          <w:rPr>
            <w:rFonts w:ascii="Cambria Math" w:hAnsi="Cambria Math"/>
          </w:rPr>
          <m:t>=273.5</m:t>
        </m:r>
      </m:oMath>
      <w:r w:rsidR="000C744B">
        <w:t xml:space="preserve"> pax/hr, </w:t>
      </w:r>
      <m:oMath>
        <m:r>
          <m:rPr>
            <m:nor/>
          </m:rPr>
          <m:t>MASE</m:t>
        </m:r>
        <m:r>
          <w:rPr>
            <w:rFonts w:ascii="Cambria Math" w:hAnsi="Cambria Math"/>
          </w:rPr>
          <m:t>=0.779</m:t>
        </m:r>
      </m:oMath>
      <w:r w:rsidR="000C744B">
        <w:t>). Diebold-Mariano tests confirm that Model 2's error reduction over the deterministic schedule baseline is statistically decisive (</w:t>
      </w:r>
      <m:oMath>
        <m:r>
          <w:rPr>
            <w:rFonts w:ascii="Cambria Math" w:hAnsi="Cambria Math"/>
          </w:rPr>
          <m:t>DM=42.15,p&lt;0.0001</m:t>
        </m:r>
      </m:oMath>
      <w:r w:rsidR="000C744B">
        <w:t>).</w:t>
      </w:r>
    </w:p>
    <w:p w14:paraId="1642EA9F" w14:textId="77777777" w:rsidR="009576C4" w:rsidRDefault="00FE22FF" w:rsidP="000C744B">
      <w:pPr>
        <w:ind w:firstLine="360"/>
        <w:contextualSpacing/>
      </w:pPr>
      <w:r w:rsidRPr="00895BAC">
        <w:rPr>
          <w:b/>
          <w:bCs/>
        </w:rPr>
        <w:t>The Dynamic Two-Stage Hybrid (Model 3</w:t>
      </w:r>
      <w:r w:rsidR="000C744B">
        <w:rPr>
          <w:b/>
          <w:bCs/>
        </w:rPr>
        <w:t>):</w:t>
      </w:r>
      <w:r w:rsidR="000C744B" w:rsidRPr="000C744B">
        <w:t xml:space="preserve"> </w:t>
      </w:r>
      <w:r w:rsidR="000C744B">
        <w:t>Incorporating live prior-hour error feedback yielded the highest overall holdout fit, explaining 74.83% of passenger throughput volatility variance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000C744B">
        <w:t xml:space="preserve">, </w:t>
      </w:r>
      <m:oMath>
        <m:r>
          <m:rPr>
            <m:nor/>
          </m:rPr>
          <m:t>RMSE</m:t>
        </m:r>
        <m:r>
          <w:rPr>
            <w:rFonts w:ascii="Cambria Math" w:hAnsi="Cambria Math"/>
          </w:rPr>
          <m:t>=222.1</m:t>
        </m:r>
      </m:oMath>
      <w:r w:rsidR="000C744B">
        <w:t xml:space="preserve">pax/hr, </w:t>
      </w:r>
      <m:oMath>
        <m:r>
          <m:rPr>
            <m:nor/>
          </m:rPr>
          <m:t>MASE</m:t>
        </m:r>
        <m:r>
          <w:rPr>
            <w:rFonts w:ascii="Cambria Math" w:hAnsi="Cambria Math"/>
          </w:rPr>
          <m:t>=0.662</m:t>
        </m:r>
      </m:oMath>
      <w:r w:rsidR="000C744B">
        <w:t>).</w:t>
      </w:r>
    </w:p>
    <w:p w14:paraId="39D3411C" w14:textId="0D627C30" w:rsidR="00FE22FF" w:rsidRPr="00895BAC" w:rsidRDefault="00FE22FF" w:rsidP="009576C4">
      <w:pPr>
        <w:pStyle w:val="Heading3"/>
      </w:pPr>
      <w:r w:rsidRPr="00895BAC">
        <w:t>Model Performance and Hypothesis Testing</w:t>
      </w:r>
    </w:p>
    <w:p w14:paraId="281275E1" w14:textId="1913E880" w:rsidR="00760008" w:rsidRPr="00895BAC" w:rsidRDefault="00760008" w:rsidP="00895BAC">
      <w:pPr>
        <w:ind w:firstLine="720"/>
        <w:contextualSpacing/>
      </w:pPr>
      <w:r w:rsidRPr="00895BAC">
        <w:t>The thesis hypothesis (Hypothesis 1) assert</w:t>
      </w:r>
      <w:r w:rsidR="009E05EA">
        <w:t>s</w:t>
      </w:r>
      <w:r w:rsidRPr="00895BAC">
        <w:t xml:space="preserve">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 xml:space="preserve">&lt;0.70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 xml:space="preserve">≈1.00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 xml:space="preserve">≈1.00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 xml:space="preserve">≤10.0% </m:t>
        </m:r>
      </m:oMath>
      <w:r w:rsidRPr="00895BAC">
        <w:t>under zero-shot spatial transfer without model retraining.</w:t>
      </w:r>
    </w:p>
    <w:p w14:paraId="360859FF" w14:textId="250B21D1" w:rsidR="00FE22FF" w:rsidRPr="00895BAC" w:rsidRDefault="00FE22FF" w:rsidP="00895BAC">
      <w:pPr>
        <w:pStyle w:val="Heading3"/>
      </w:pPr>
      <w:bookmarkStart w:id="26" w:name="_Toc242174154"/>
      <w:bookmarkStart w:id="27" w:name="_Toc242174806"/>
      <w:r w:rsidRPr="00895BAC">
        <w:t>Empirical Confirmation of Asymmetric Trade-Offs</w:t>
      </w:r>
      <w:bookmarkEnd w:id="26"/>
      <w:bookmarkEnd w:id="27"/>
    </w:p>
    <w:p w14:paraId="79715E48" w14:textId="222C446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 xml:space="preserve">However, Model 2 achieves this with near-zero computational </w:t>
      </w:r>
      <w:r w:rsidR="00682543" w:rsidRPr="00895BAC">
        <w:lastRenderedPageBreak/>
        <w:t>overhead and requires no real-time checkpoint data feeds, allowing airport managers to generate staffing schedules days in advance rather than waiting on live hourly sensor updates</w:t>
      </w:r>
      <w:r w:rsidRPr="00895BAC">
        <w:t>.</w:t>
      </w:r>
    </w:p>
    <w:p w14:paraId="0D3AD769" w14:textId="01A1D2C9"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 xml:space="preserve">The Dynamic Hybrid Framework (Model 3) is the decisive champion of Resilience. While </w:t>
      </w:r>
      <w:r w:rsidR="004A204C">
        <w:t>the</w:t>
      </w:r>
      <w:r w:rsidRPr="00895BAC">
        <w:t xml:space="preserve"> </w:t>
      </w:r>
      <w:r w:rsidR="004A204C">
        <w:t>M</w:t>
      </w:r>
      <w:r w:rsidRPr="00895BAC">
        <w:t xml:space="preserve">achine </w:t>
      </w:r>
      <w:r w:rsidR="004A204C">
        <w:t>L</w:t>
      </w:r>
      <w:r w:rsidRPr="00895BAC">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7502659D" w:rsidR="00FE22FF"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w:t>
      </w:r>
    </w:p>
    <w:p w14:paraId="2E18A3F3" w14:textId="22DF2304" w:rsidR="00895BAC" w:rsidRPr="00895BAC" w:rsidRDefault="00B113B1" w:rsidP="00C37DEC">
      <w:pPr>
        <w:ind w:firstLine="360"/>
        <w:contextualSpacing/>
      </w:pPr>
      <w:r>
        <w:t>The</w:t>
      </w:r>
      <w:r w:rsidRPr="00B113B1">
        <w:t xml:space="preserv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t>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895B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 w:author="Gleich, Leila" w:date="2026-10-10T14:52:00Z" w:initials="GL">
    <w:p w14:paraId="26968FCA" w14:textId="77777777" w:rsidR="00AA1954" w:rsidRDefault="00AA1954" w:rsidP="00AA1954">
      <w:r>
        <w:rPr>
          <w:rStyle w:val="CommentReference"/>
        </w:rPr>
        <w:annotationRef/>
      </w:r>
      <w:r>
        <w:rPr>
          <w:sz w:val="20"/>
          <w:szCs w:val="20"/>
        </w:rPr>
        <w:t>Table and/or appenbdix</w:t>
      </w:r>
    </w:p>
  </w:comment>
  <w:comment w:id="15" w:author="Gleich, Leila" w:date="2026-10-06T17:11:00Z" w:initials="GL">
    <w:p w14:paraId="38EF5514" w14:textId="77777777" w:rsidR="00704D85" w:rsidRDefault="00704D85" w:rsidP="00704D85">
      <w:r>
        <w:rPr>
          <w:rStyle w:val="CommentReference"/>
        </w:rPr>
        <w:annotationRef/>
      </w:r>
      <w:r>
        <w:rPr>
          <w:sz w:val="20"/>
          <w:szCs w:val="20"/>
        </w:rPr>
        <w:t>Reword</w:t>
      </w:r>
    </w:p>
  </w:comment>
  <w:comment w:id="20" w:author="Gleich, Leila" w:date="2026-10-10T14:55:00Z" w:initials="GL">
    <w:p w14:paraId="4F7BA09C" w14:textId="77777777" w:rsidR="00CE2501" w:rsidRDefault="00CE2501" w:rsidP="00CE2501">
      <w:r>
        <w:rPr>
          <w:rStyle w:val="CommentReference"/>
        </w:rPr>
        <w:annotationRef/>
      </w:r>
      <w:r>
        <w:rPr>
          <w:sz w:val="20"/>
          <w:szCs w:val="20"/>
        </w:rPr>
        <w:t>explain</w:t>
      </w:r>
    </w:p>
  </w:comment>
  <w:comment w:id="21" w:author="Gleich, Leila" w:date="2026-10-06T16:32:00Z" w:initials="GL">
    <w:p w14:paraId="763D4259" w14:textId="77777777" w:rsidR="004A5CD1" w:rsidRDefault="004A5CD1" w:rsidP="004A5CD1">
      <w:r>
        <w:rPr>
          <w:rStyle w:val="CommentReference"/>
        </w:rPr>
        <w:annotationRef/>
      </w:r>
      <w:r>
        <w:rPr>
          <w:sz w:val="20"/>
          <w:szCs w:val="20"/>
        </w:rPr>
        <w:t>appendix or footnote?</w:t>
      </w:r>
    </w:p>
  </w:comment>
  <w:comment w:id="22" w:author="Gleich, Leila" w:date="2026-10-06T17:22:00Z" w:initials="GL">
    <w:p w14:paraId="6C03471C" w14:textId="77777777" w:rsidR="00A32BD6" w:rsidRDefault="00A32BD6" w:rsidP="00A32BD6">
      <w:r>
        <w:rPr>
          <w:rStyle w:val="CommentReference"/>
        </w:rPr>
        <w:annotationRef/>
      </w:r>
      <w:r>
        <w:rPr>
          <w:sz w:val="20"/>
          <w:szCs w:val="20"/>
        </w:rPr>
        <w:t>Explain what a holdout is</w:t>
      </w:r>
    </w:p>
  </w:comment>
  <w:comment w:id="23" w:author="Gleich, Leila" w:date="2026-10-06T17:23:00Z" w:initials="GL">
    <w:p w14:paraId="3ED20FD8" w14:textId="77777777" w:rsidR="00B0640E" w:rsidRDefault="00B0640E" w:rsidP="00B0640E">
      <w:r>
        <w:rPr>
          <w:rStyle w:val="CommentReference"/>
        </w:rPr>
        <w:annotationRef/>
      </w:r>
      <w:r>
        <w:rPr>
          <w:sz w:val="20"/>
          <w:szCs w:val="20"/>
        </w:rPr>
        <w:t>explain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6968FCA" w15:done="0"/>
  <w15:commentEx w15:paraId="38EF5514" w15:done="0"/>
  <w15:commentEx w15:paraId="4F7BA09C" w15:done="0"/>
  <w15:commentEx w15:paraId="763D4259" w15:done="0"/>
  <w15:commentEx w15:paraId="6C03471C" w15:done="0"/>
  <w15:commentEx w15:paraId="3ED20F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0185EB9" w16cex:dateUtc="2026-10-10T21:52:00Z"/>
  <w16cex:commentExtensible w16cex:durableId="1606ACAE" w16cex:dateUtc="2026-10-07T00:11:00Z"/>
  <w16cex:commentExtensible w16cex:durableId="092E2970" w16cex:dateUtc="2026-10-10T21:55:00Z"/>
  <w16cex:commentExtensible w16cex:durableId="19A75B7F" w16cex:dateUtc="2026-10-06T23:32:00Z"/>
  <w16cex:commentExtensible w16cex:durableId="0519FBD7" w16cex:dateUtc="2026-10-07T00:22:00Z"/>
  <w16cex:commentExtensible w16cex:durableId="525D8A77" w16cex:dateUtc="2026-10-07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6968FCA" w16cid:durableId="40185EB9"/>
  <w16cid:commentId w16cid:paraId="38EF5514" w16cid:durableId="1606ACAE"/>
  <w16cid:commentId w16cid:paraId="4F7BA09C" w16cid:durableId="092E2970"/>
  <w16cid:commentId w16cid:paraId="763D4259" w16cid:durableId="19A75B7F"/>
  <w16cid:commentId w16cid:paraId="6C03471C" w16cid:durableId="0519FBD7"/>
  <w16cid:commentId w16cid:paraId="3ED20FD8" w16cid:durableId="525D8A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21C93"/>
    <w:rsid w:val="000435EA"/>
    <w:rsid w:val="000B3680"/>
    <w:rsid w:val="000B7174"/>
    <w:rsid w:val="000C744B"/>
    <w:rsid w:val="00101D58"/>
    <w:rsid w:val="001027AC"/>
    <w:rsid w:val="00107BCB"/>
    <w:rsid w:val="00143FCA"/>
    <w:rsid w:val="0014663D"/>
    <w:rsid w:val="001676E7"/>
    <w:rsid w:val="001759BF"/>
    <w:rsid w:val="001C275F"/>
    <w:rsid w:val="00210080"/>
    <w:rsid w:val="002350E6"/>
    <w:rsid w:val="002354FC"/>
    <w:rsid w:val="00243745"/>
    <w:rsid w:val="00273628"/>
    <w:rsid w:val="00283C60"/>
    <w:rsid w:val="00291751"/>
    <w:rsid w:val="00295729"/>
    <w:rsid w:val="002B3A55"/>
    <w:rsid w:val="002B7944"/>
    <w:rsid w:val="002C3A4F"/>
    <w:rsid w:val="002F6BA1"/>
    <w:rsid w:val="00303062"/>
    <w:rsid w:val="00306E7C"/>
    <w:rsid w:val="00310F3F"/>
    <w:rsid w:val="00323EA8"/>
    <w:rsid w:val="00341734"/>
    <w:rsid w:val="00362FD2"/>
    <w:rsid w:val="00366380"/>
    <w:rsid w:val="003C24F6"/>
    <w:rsid w:val="003C5D05"/>
    <w:rsid w:val="003D67B4"/>
    <w:rsid w:val="004018C5"/>
    <w:rsid w:val="00402581"/>
    <w:rsid w:val="00431BEF"/>
    <w:rsid w:val="0045628D"/>
    <w:rsid w:val="0047660D"/>
    <w:rsid w:val="00482852"/>
    <w:rsid w:val="004A204C"/>
    <w:rsid w:val="004A2BD9"/>
    <w:rsid w:val="004A3777"/>
    <w:rsid w:val="004A5CD1"/>
    <w:rsid w:val="004E7D0B"/>
    <w:rsid w:val="004F1899"/>
    <w:rsid w:val="00512790"/>
    <w:rsid w:val="00516A28"/>
    <w:rsid w:val="00517FE5"/>
    <w:rsid w:val="00525542"/>
    <w:rsid w:val="0053527F"/>
    <w:rsid w:val="00540ACC"/>
    <w:rsid w:val="00551D8D"/>
    <w:rsid w:val="00553B49"/>
    <w:rsid w:val="00586F37"/>
    <w:rsid w:val="00597596"/>
    <w:rsid w:val="005D360B"/>
    <w:rsid w:val="005D45DE"/>
    <w:rsid w:val="005E7E1C"/>
    <w:rsid w:val="005F4684"/>
    <w:rsid w:val="006062C4"/>
    <w:rsid w:val="00610F23"/>
    <w:rsid w:val="00626B04"/>
    <w:rsid w:val="00643EC5"/>
    <w:rsid w:val="00651CE2"/>
    <w:rsid w:val="0067537F"/>
    <w:rsid w:val="00682543"/>
    <w:rsid w:val="006B1609"/>
    <w:rsid w:val="006C1506"/>
    <w:rsid w:val="006D5FF0"/>
    <w:rsid w:val="006F32B3"/>
    <w:rsid w:val="00704D85"/>
    <w:rsid w:val="00724533"/>
    <w:rsid w:val="00732190"/>
    <w:rsid w:val="0074327F"/>
    <w:rsid w:val="00760008"/>
    <w:rsid w:val="007D7BB2"/>
    <w:rsid w:val="007F537B"/>
    <w:rsid w:val="00801CD1"/>
    <w:rsid w:val="00811A28"/>
    <w:rsid w:val="008248AD"/>
    <w:rsid w:val="00826173"/>
    <w:rsid w:val="008300DD"/>
    <w:rsid w:val="00854018"/>
    <w:rsid w:val="00857917"/>
    <w:rsid w:val="00895BAC"/>
    <w:rsid w:val="008A3622"/>
    <w:rsid w:val="008C2F51"/>
    <w:rsid w:val="0091382A"/>
    <w:rsid w:val="00947D65"/>
    <w:rsid w:val="009576C4"/>
    <w:rsid w:val="00983825"/>
    <w:rsid w:val="009A52F7"/>
    <w:rsid w:val="009B197A"/>
    <w:rsid w:val="009C20BE"/>
    <w:rsid w:val="009D6EFF"/>
    <w:rsid w:val="009E05EA"/>
    <w:rsid w:val="009E1C8A"/>
    <w:rsid w:val="009F38BB"/>
    <w:rsid w:val="00A1695E"/>
    <w:rsid w:val="00A30342"/>
    <w:rsid w:val="00A32BD6"/>
    <w:rsid w:val="00A34BBD"/>
    <w:rsid w:val="00A44A0F"/>
    <w:rsid w:val="00A507BC"/>
    <w:rsid w:val="00A531B1"/>
    <w:rsid w:val="00A61379"/>
    <w:rsid w:val="00A66DA7"/>
    <w:rsid w:val="00A83C8B"/>
    <w:rsid w:val="00A84568"/>
    <w:rsid w:val="00A97365"/>
    <w:rsid w:val="00AA1954"/>
    <w:rsid w:val="00AA540D"/>
    <w:rsid w:val="00AA726E"/>
    <w:rsid w:val="00AB16B8"/>
    <w:rsid w:val="00AD1DB1"/>
    <w:rsid w:val="00AD36B7"/>
    <w:rsid w:val="00B0640E"/>
    <w:rsid w:val="00B113B1"/>
    <w:rsid w:val="00B2420D"/>
    <w:rsid w:val="00B33A48"/>
    <w:rsid w:val="00B66396"/>
    <w:rsid w:val="00BD2540"/>
    <w:rsid w:val="00BF4FCE"/>
    <w:rsid w:val="00C36957"/>
    <w:rsid w:val="00C37DEC"/>
    <w:rsid w:val="00C72409"/>
    <w:rsid w:val="00C8471F"/>
    <w:rsid w:val="00C968B3"/>
    <w:rsid w:val="00CB3EC1"/>
    <w:rsid w:val="00CC77D9"/>
    <w:rsid w:val="00CE2501"/>
    <w:rsid w:val="00D02787"/>
    <w:rsid w:val="00D31CD3"/>
    <w:rsid w:val="00D77561"/>
    <w:rsid w:val="00D812EF"/>
    <w:rsid w:val="00D85F41"/>
    <w:rsid w:val="00D87092"/>
    <w:rsid w:val="00D95C0E"/>
    <w:rsid w:val="00DA26F4"/>
    <w:rsid w:val="00DD1A76"/>
    <w:rsid w:val="00DE4F0D"/>
    <w:rsid w:val="00E02FD3"/>
    <w:rsid w:val="00E367F5"/>
    <w:rsid w:val="00E40D42"/>
    <w:rsid w:val="00E67902"/>
    <w:rsid w:val="00E705D6"/>
    <w:rsid w:val="00E749E0"/>
    <w:rsid w:val="00E769F8"/>
    <w:rsid w:val="00ED64CD"/>
    <w:rsid w:val="00EF0E75"/>
    <w:rsid w:val="00EF3511"/>
    <w:rsid w:val="00F465A9"/>
    <w:rsid w:val="00F50F48"/>
    <w:rsid w:val="00F65823"/>
    <w:rsid w:val="00F709E9"/>
    <w:rsid w:val="00FB55E3"/>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em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3208</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39</cp:revision>
  <dcterms:created xsi:type="dcterms:W3CDTF">2026-10-07T00:09:00Z</dcterms:created>
  <dcterms:modified xsi:type="dcterms:W3CDTF">2026-10-10T21:55:00Z</dcterms:modified>
</cp:coreProperties>
</file>