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343EF16" w14:textId="77777777" w:rsidR="00FE22FF" w:rsidRPr="00895BAC" w:rsidRDefault="00FE22FF" w:rsidP="00895BAC">
      <w:pPr>
        <w:contextualSpacing/>
        <w:jc w:val="center"/>
        <w:rPr>
          <w:b/>
          <w:bCs/>
        </w:rPr>
      </w:pPr>
      <w:bookmarkStart w:id="0" w:name="_Toc242174143"/>
      <w:bookmarkStart w:id="1" w:name="_Toc242174795"/>
      <w:r w:rsidRPr="00895BAC">
        <w:rPr>
          <w:b/>
          <w:bCs/>
        </w:rPr>
        <w:t>Chapter IV</w:t>
      </w:r>
      <w:bookmarkEnd w:id="0"/>
      <w:bookmarkEnd w:id="1"/>
    </w:p>
    <w:p w14:paraId="09FB17CC" w14:textId="77777777" w:rsidR="006C1506" w:rsidRPr="006F32B3" w:rsidRDefault="006C1506" w:rsidP="006C1506">
      <w:pPr>
        <w:pStyle w:val="Heading1"/>
      </w:pPr>
      <w:bookmarkStart w:id="2" w:name="_Toc242174145"/>
      <w:bookmarkStart w:id="3" w:name="_Toc242174797"/>
      <w:r>
        <w:t>Findings and Discussion</w:t>
      </w:r>
    </w:p>
    <w:p w14:paraId="301AE07D" w14:textId="1945B564" w:rsidR="00FE22FF" w:rsidRPr="00895BAC" w:rsidRDefault="00FE22FF" w:rsidP="00895BAC">
      <w:pPr>
        <w:ind w:firstLine="720"/>
        <w:contextualSpacing/>
      </w:pPr>
      <w:r w:rsidRPr="00895BAC">
        <w:t>This chapter presents the empirical findings and comparative performance evaluations for modeling the stochastic volatility of airport passenger screening throughput (</w:t>
      </w:r>
      <m:oMath>
        <m:sSub>
          <m:sSubPr>
            <m:ctrlPr>
              <w:rPr>
                <w:rFonts w:ascii="Cambria Math" w:hAnsi="Cambria Math"/>
              </w:rPr>
            </m:ctrlPr>
          </m:sSubPr>
          <m:e>
            <m:r>
              <w:rPr>
                <w:rFonts w:ascii="Cambria Math" w:hAnsi="Cambria Math"/>
              </w:rPr>
              <m:t>σ</m:t>
            </m:r>
          </m:e>
          <m:sub>
            <m:r>
              <m:rPr>
                <m:nor/>
              </m:rPr>
              <m:t>TSA</m:t>
            </m:r>
          </m:sub>
        </m:sSub>
      </m:oMath>
      <w:r w:rsidRPr="00895BAC">
        <w:t> and </w:t>
      </w:r>
      <m:oMath>
        <m:r>
          <w:rPr>
            <w:rFonts w:ascii="Cambria Math" w:hAnsi="Cambria Math"/>
          </w:rPr>
          <m:t>C</m:t>
        </m:r>
        <m:sSub>
          <m:sSubPr>
            <m:ctrlPr>
              <w:rPr>
                <w:rFonts w:ascii="Cambria Math" w:hAnsi="Cambria Math"/>
              </w:rPr>
            </m:ctrlPr>
          </m:sSubPr>
          <m:e>
            <m:r>
              <w:rPr>
                <w:rFonts w:ascii="Cambria Math" w:hAnsi="Cambria Math"/>
              </w:rPr>
              <m:t>V</m:t>
            </m:r>
          </m:e>
          <m:sub>
            <m:r>
              <m:rPr>
                <m:nor/>
              </m:rPr>
              <m:t>TSA</m:t>
            </m:r>
          </m:sub>
        </m:sSub>
      </m:oMath>
      <w:r w:rsidRPr="00895BAC">
        <w:t xml:space="preserve">). The study evaluates three candidate operational models – Model 1 (Deterministic Flight Schedule Model), Model 2 (Supervised Machine Learning Model), and Model 3 (Dynamic Two-Stage Hybrid Model) – against an empirical Baseline Control across a 2025 holdout dataset. The empirical results reveal that no single forecasting architecture is universally superior across all operational regimes. Instead, models exhibit distinct asymmetric trade-offs. </w:t>
      </w:r>
    </w:p>
    <w:p w14:paraId="1222F1CE" w14:textId="316C9D4F" w:rsidR="00FE22FF" w:rsidRPr="00895BAC" w:rsidRDefault="009F38BB" w:rsidP="009F38BB">
      <w:pPr>
        <w:ind w:firstLine="720"/>
        <w:contextualSpacing/>
        <w:rPr>
          <w:noProof/>
          <w14:ligatures w14:val="standardContextual"/>
        </w:rPr>
      </w:pPr>
      <w:r w:rsidRPr="006F32B3">
        <w:t xml:space="preserve">To systematically present </w:t>
      </w:r>
      <w:r>
        <w:t xml:space="preserve">and discuss </w:t>
      </w:r>
      <w:r w:rsidRPr="006F32B3">
        <w:t xml:space="preserve">these results (see Figure 4.1), </w:t>
      </w:r>
      <w:r w:rsidR="00FE22FF" w:rsidRPr="00895BAC">
        <w:t>this chapter is organized into four sections: Section 4.1 presents the initial exploratory data analysis across the multi-source</w:t>
      </w:r>
      <w:r w:rsidR="00643EC5">
        <w:t xml:space="preserve"> data</w:t>
      </w:r>
      <w:r w:rsidR="00FE22FF" w:rsidRPr="00895BAC">
        <w:t xml:space="preserve"> warehouse; Section 4.2 details the four-tier filtering pipeline that establishe</w:t>
      </w:r>
      <w:r w:rsidR="00643EC5">
        <w:t>s</w:t>
      </w:r>
      <w:r w:rsidR="00FE22FF" w:rsidRPr="00895BAC">
        <w:t xml:space="preserve"> the nine-airport, twelve-complex experimental cohort; Section 4.3 outlines feature engineering, training configurations, and 2025 holdout execution protocols; and Section 4.4 </w:t>
      </w:r>
      <w:r w:rsidR="004A3777">
        <w:t>discusses</w:t>
      </w:r>
      <w:r w:rsidR="00FE22FF" w:rsidRPr="00895BAC">
        <w:t xml:space="preserve"> the comparative model evaluations across robustness, resilience, and generalizability.</w:t>
      </w:r>
      <w:r w:rsidR="00FE22FF" w:rsidRPr="00895BAC">
        <w:rPr>
          <w:noProof/>
          <w14:ligatures w14:val="standardContextual"/>
        </w:rPr>
        <w:t xml:space="preserve"> </w:t>
      </w:r>
    </w:p>
    <w:p w14:paraId="61A32FDE" w14:textId="77777777" w:rsidR="00FE22FF" w:rsidRPr="00895BAC" w:rsidRDefault="00FE22FF" w:rsidP="00895BAC">
      <w:pPr>
        <w:contextualSpacing/>
        <w:jc w:val="center"/>
      </w:pPr>
      <w:r w:rsidRPr="00895BAC">
        <w:rPr>
          <w:noProof/>
        </w:rPr>
        <w:drawing>
          <wp:inline distT="0" distB="0" distL="0" distR="0" wp14:anchorId="135913D6" wp14:editId="30016D5E">
            <wp:extent cx="5892800" cy="856848"/>
            <wp:effectExtent l="0" t="0" r="0" b="0"/>
            <wp:docPr id="222590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590240" name=""/>
                    <pic:cNvPicPr/>
                  </pic:nvPicPr>
                  <pic:blipFill>
                    <a:blip r:embed="rId6"/>
                    <a:stretch>
                      <a:fillRect/>
                    </a:stretch>
                  </pic:blipFill>
                  <pic:spPr>
                    <a:xfrm>
                      <a:off x="0" y="0"/>
                      <a:ext cx="5935699" cy="863086"/>
                    </a:xfrm>
                    <a:prstGeom prst="rect">
                      <a:avLst/>
                    </a:prstGeom>
                  </pic:spPr>
                </pic:pic>
              </a:graphicData>
            </a:graphic>
          </wp:inline>
        </w:drawing>
      </w:r>
      <w:r w:rsidRPr="00895BAC">
        <w:rPr>
          <w:noProof/>
        </w:rPr>
        <mc:AlternateContent>
          <mc:Choice Requires="wpg">
            <w:drawing>
              <wp:anchor distT="0" distB="0" distL="114300" distR="114300" simplePos="0" relativeHeight="251658240" behindDoc="0" locked="0" layoutInCell="1" allowOverlap="1" wp14:anchorId="4322D445" wp14:editId="2A363FB2">
                <wp:simplePos x="0" y="0"/>
                <wp:positionH relativeFrom="column">
                  <wp:posOffset>-914400</wp:posOffset>
                </wp:positionH>
                <wp:positionV relativeFrom="paragraph">
                  <wp:posOffset>-8281670</wp:posOffset>
                </wp:positionV>
                <wp:extent cx="11493062" cy="1647908"/>
                <wp:effectExtent l="12700" t="12700" r="13335" b="15875"/>
                <wp:wrapNone/>
                <wp:docPr id="3" name="Group 2">
                  <a:extLst xmlns:a="http://schemas.openxmlformats.org/drawingml/2006/main">
                    <a:ext uri="{FF2B5EF4-FFF2-40B4-BE49-F238E27FC236}">
                      <a16:creationId xmlns:a16="http://schemas.microsoft.com/office/drawing/2014/main" id="{80A5CA1C-551E-3394-ACF3-31089B9E85E4}"/>
                    </a:ext>
                  </a:extLst>
                </wp:docPr>
                <wp:cNvGraphicFramePr/>
                <a:graphic xmlns:a="http://schemas.openxmlformats.org/drawingml/2006/main">
                  <a:graphicData uri="http://schemas.microsoft.com/office/word/2010/wordprocessingGroup">
                    <wpg:wgp>
                      <wpg:cNvGrpSpPr/>
                      <wpg:grpSpPr>
                        <a:xfrm>
                          <a:off x="0" y="0"/>
                          <a:ext cx="11493062" cy="1647908"/>
                          <a:chOff x="0" y="0"/>
                          <a:chExt cx="8121888" cy="3589812"/>
                        </a:xfrm>
                      </wpg:grpSpPr>
                      <wps:wsp>
                        <wps:cNvPr id="1517318082" name="Freeform 1517318082">
                          <a:extLst>
                            <a:ext uri="{FF2B5EF4-FFF2-40B4-BE49-F238E27FC236}">
                              <a16:creationId xmlns:a16="http://schemas.microsoft.com/office/drawing/2014/main" id="{651A62C8-062D-B880-E107-20916DFD38FC}"/>
                            </a:ext>
                          </a:extLst>
                        </wps:cNvPr>
                        <wps:cNvSpPr/>
                        <wps:spPr>
                          <a:xfrm>
                            <a:off x="0" y="0"/>
                            <a:ext cx="1837531" cy="735012"/>
                          </a:xfrm>
                          <a:custGeom>
                            <a:avLst/>
                            <a:gdLst>
                              <a:gd name="csX0" fmla="*/ 0 w 1837531"/>
                              <a:gd name="csY0" fmla="*/ 0 h 735012"/>
                              <a:gd name="csX1" fmla="*/ 1837531 w 1837531"/>
                              <a:gd name="csY1" fmla="*/ 0 h 735012"/>
                              <a:gd name="csX2" fmla="*/ 1837531 w 1837531"/>
                              <a:gd name="csY2" fmla="*/ 735012 h 735012"/>
                              <a:gd name="csX3" fmla="*/ 0 w 1837531"/>
                              <a:gd name="csY3" fmla="*/ 735012 h 735012"/>
                              <a:gd name="csX4" fmla="*/ 0 w 1837531"/>
                              <a:gd name="csY4" fmla="*/ 0 h 735012"/>
                            </a:gdLst>
                            <a:ahLst/>
                            <a:cxnLst>
                              <a:cxn ang="0">
                                <a:pos x="csX0" y="csY0"/>
                              </a:cxn>
                              <a:cxn ang="0">
                                <a:pos x="csX1" y="csY1"/>
                              </a:cxn>
                              <a:cxn ang="0">
                                <a:pos x="csX2" y="csY2"/>
                              </a:cxn>
                              <a:cxn ang="0">
                                <a:pos x="csX3" y="csY3"/>
                              </a:cxn>
                              <a:cxn ang="0">
                                <a:pos x="csX4" y="csY4"/>
                              </a:cxn>
                            </a:cxnLst>
                            <a:rect l="l" t="t" r="r" b="b"/>
                            <a:pathLst>
                              <a:path w="1837531" h="735012">
                                <a:moveTo>
                                  <a:pt x="0" y="0"/>
                                </a:moveTo>
                                <a:lnTo>
                                  <a:pt x="1837531" y="0"/>
                                </a:lnTo>
                                <a:lnTo>
                                  <a:pt x="1837531" y="735012"/>
                                </a:lnTo>
                                <a:lnTo>
                                  <a:pt x="0" y="735012"/>
                                </a:lnTo>
                                <a:lnTo>
                                  <a:pt x="0" y="0"/>
                                </a:lnTo>
                                <a:close/>
                              </a:path>
                            </a:pathLst>
                          </a:custGeom>
                        </wps:spPr>
                        <wps:style>
                          <a:lnRef idx="2">
                            <a:schemeClr val="dk1">
                              <a:shade val="80000"/>
                              <a:hueOff val="0"/>
                              <a:satOff val="0"/>
                              <a:lumOff val="0"/>
                              <a:alphaOff val="0"/>
                            </a:schemeClr>
                          </a:lnRef>
                          <a:fillRef idx="1">
                            <a:schemeClr val="lt1">
                              <a:hueOff val="0"/>
                              <a:satOff val="0"/>
                              <a:lumOff val="0"/>
                              <a:alphaOff val="0"/>
                            </a:schemeClr>
                          </a:fillRef>
                          <a:effectRef idx="0">
                            <a:schemeClr val="lt1">
                              <a:hueOff val="0"/>
                              <a:satOff val="0"/>
                              <a:lumOff val="0"/>
                              <a:alphaOff val="0"/>
                            </a:schemeClr>
                          </a:effectRef>
                          <a:fontRef idx="minor">
                            <a:schemeClr val="dk1">
                              <a:hueOff val="0"/>
                              <a:satOff val="0"/>
                              <a:lumOff val="0"/>
                              <a:alphaOff val="0"/>
                            </a:schemeClr>
                          </a:fontRef>
                        </wps:style>
                        <wps:txbx>
                          <w:txbxContent>
                            <w:p w14:paraId="5A6D8614" w14:textId="77777777" w:rsidR="00FE22FF" w:rsidRDefault="00FE22FF" w:rsidP="00FE22FF">
                              <w:pPr>
                                <w:spacing w:after="101"/>
                                <w:jc w:val="center"/>
                                <w:rPr>
                                  <w:color w:val="000000" w:themeColor="dark1"/>
                                  <w:kern w:val="24"/>
                                  <w14:textFill>
                                    <w14:solidFill>
                                      <w14:schemeClr w14:val="dk1">
                                        <w14:satOff w14:val="0"/>
                                        <w14:lumOff w14:val="0"/>
                                      </w14:schemeClr>
                                    </w14:solidFill>
                                  </w14:textFill>
                                </w:rPr>
                              </w:pPr>
                              <w:r>
                                <w:rPr>
                                  <w:color w:val="000000" w:themeColor="dark1"/>
                                  <w:kern w:val="24"/>
                                  <w14:textFill>
                                    <w14:solidFill>
                                      <w14:schemeClr w14:val="dk1">
                                        <w14:satOff w14:val="0"/>
                                        <w14:lumOff w14:val="0"/>
                                      </w14:schemeClr>
                                    </w14:solidFill>
                                  </w14:textFill>
                                </w:rPr>
                                <w:t>Initial Exploratory Data Analysis</w:t>
                              </w:r>
                            </w:p>
                          </w:txbxContent>
                        </wps:txbx>
                        <wps:bodyPr spcFirstLastPara="0" vert="horz" wrap="square" lIns="85344" tIns="48768" rIns="85344" bIns="48768" numCol="1" spcCol="1270" anchor="ctr" anchorCtr="0">
                          <a:noAutofit/>
                        </wps:bodyPr>
                      </wps:wsp>
                      <wps:wsp>
                        <wps:cNvPr id="125864282" name="Freeform 125864282">
                          <a:extLst>
                            <a:ext uri="{FF2B5EF4-FFF2-40B4-BE49-F238E27FC236}">
                              <a16:creationId xmlns:a16="http://schemas.microsoft.com/office/drawing/2014/main" id="{F74513C2-BD57-A952-7C60-80F046522CB4}"/>
                            </a:ext>
                          </a:extLst>
                        </wps:cNvPr>
                        <wps:cNvSpPr/>
                        <wps:spPr>
                          <a:xfrm>
                            <a:off x="0" y="735012"/>
                            <a:ext cx="1837531" cy="2854800"/>
                          </a:xfrm>
                          <a:custGeom>
                            <a:avLst/>
                            <a:gdLst>
                              <a:gd name="csX0" fmla="*/ 0 w 1837531"/>
                              <a:gd name="csY0" fmla="*/ 0 h 2854800"/>
                              <a:gd name="csX1" fmla="*/ 1837531 w 1837531"/>
                              <a:gd name="csY1" fmla="*/ 0 h 2854800"/>
                              <a:gd name="csX2" fmla="*/ 1837531 w 1837531"/>
                              <a:gd name="csY2" fmla="*/ 2854800 h 2854800"/>
                              <a:gd name="csX3" fmla="*/ 0 w 1837531"/>
                              <a:gd name="csY3" fmla="*/ 2854800 h 2854800"/>
                              <a:gd name="csX4" fmla="*/ 0 w 1837531"/>
                              <a:gd name="csY4" fmla="*/ 0 h 2854800"/>
                            </a:gdLst>
                            <a:ahLst/>
                            <a:cxnLst>
                              <a:cxn ang="0">
                                <a:pos x="csX0" y="csY0"/>
                              </a:cxn>
                              <a:cxn ang="0">
                                <a:pos x="csX1" y="csY1"/>
                              </a:cxn>
                              <a:cxn ang="0">
                                <a:pos x="csX2" y="csY2"/>
                              </a:cxn>
                              <a:cxn ang="0">
                                <a:pos x="csX3" y="csY3"/>
                              </a:cxn>
                              <a:cxn ang="0">
                                <a:pos x="csX4" y="csY4"/>
                              </a:cxn>
                            </a:cxnLst>
                            <a:rect l="l" t="t" r="r" b="b"/>
                            <a:pathLst>
                              <a:path w="1837531" h="2854800">
                                <a:moveTo>
                                  <a:pt x="0" y="0"/>
                                </a:moveTo>
                                <a:lnTo>
                                  <a:pt x="1837531" y="0"/>
                                </a:lnTo>
                                <a:lnTo>
                                  <a:pt x="1837531" y="2854800"/>
                                </a:lnTo>
                                <a:lnTo>
                                  <a:pt x="0" y="2854800"/>
                                </a:lnTo>
                                <a:lnTo>
                                  <a:pt x="0" y="0"/>
                                </a:lnTo>
                                <a:close/>
                              </a:path>
                            </a:pathLst>
                          </a:custGeom>
                        </wps:spPr>
                        <wps:style>
                          <a:lnRef idx="2">
                            <a:schemeClr val="dk1">
                              <a:alpha val="90000"/>
                              <a:hueOff val="0"/>
                              <a:satOff val="0"/>
                              <a:lumOff val="0"/>
                              <a:alphaOff val="0"/>
                            </a:schemeClr>
                          </a:lnRef>
                          <a:fillRef idx="1">
                            <a:schemeClr val="lt1">
                              <a:alpha val="90000"/>
                              <a:tint val="40000"/>
                              <a:hueOff val="0"/>
                              <a:satOff val="0"/>
                              <a:lumOff val="0"/>
                              <a:alphaOff val="0"/>
                            </a:schemeClr>
                          </a:fillRef>
                          <a:effectRef idx="0">
                            <a:schemeClr val="lt1">
                              <a:alpha val="90000"/>
                              <a:tint val="40000"/>
                              <a:hueOff val="0"/>
                              <a:satOff val="0"/>
                              <a:lumOff val="0"/>
                              <a:alphaOff val="0"/>
                            </a:schemeClr>
                          </a:effectRef>
                          <a:fontRef idx="minor">
                            <a:schemeClr val="dk1">
                              <a:hueOff val="0"/>
                              <a:satOff val="0"/>
                              <a:lumOff val="0"/>
                              <a:alphaOff val="0"/>
                            </a:schemeClr>
                          </a:fontRef>
                        </wps:style>
                        <wps:txbx>
                          <w:txbxContent>
                            <w:p w14:paraId="222E0EE0" w14:textId="77777777" w:rsidR="00FE22FF" w:rsidRDefault="00FE22FF" w:rsidP="00FE22FF">
                              <w:pPr>
                                <w:pStyle w:val="ListParagraph"/>
                                <w:numPr>
                                  <w:ilvl w:val="1"/>
                                  <w:numId w:val="9"/>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Descriptive Statistics</w:t>
                              </w:r>
                            </w:p>
                            <w:p w14:paraId="5BFD766C" w14:textId="77777777" w:rsidR="00FE22FF" w:rsidRDefault="00FE22FF" w:rsidP="00FE22FF">
                              <w:pPr>
                                <w:pStyle w:val="ListParagraph"/>
                                <w:numPr>
                                  <w:ilvl w:val="1"/>
                                  <w:numId w:val="9"/>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Temporal Baselines</w:t>
                              </w:r>
                            </w:p>
                            <w:p w14:paraId="25B4FF47" w14:textId="77777777" w:rsidR="00FE22FF" w:rsidRDefault="00FE22FF" w:rsidP="00FE22FF">
                              <w:pPr>
                                <w:pStyle w:val="ListParagraph"/>
                                <w:numPr>
                                  <w:ilvl w:val="1"/>
                                  <w:numId w:val="9"/>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Defining Seasonality</w:t>
                              </w:r>
                            </w:p>
                            <w:p w14:paraId="2BB20BCE" w14:textId="77777777" w:rsidR="00FE22FF" w:rsidRDefault="00FE22FF" w:rsidP="00FE22FF">
                              <w:pPr>
                                <w:pStyle w:val="ListParagraph"/>
                                <w:numPr>
                                  <w:ilvl w:val="1"/>
                                  <w:numId w:val="9"/>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OTP &amp; TSA Throughput data</w:t>
                              </w:r>
                            </w:p>
                            <w:p w14:paraId="687B9C79" w14:textId="77777777" w:rsidR="00FE22FF" w:rsidRDefault="00FE22FF" w:rsidP="00FE22FF">
                              <w:pPr>
                                <w:pStyle w:val="ListParagraph"/>
                                <w:numPr>
                                  <w:ilvl w:val="1"/>
                                  <w:numId w:val="9"/>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Implications for Data Subset</w:t>
                              </w:r>
                            </w:p>
                          </w:txbxContent>
                        </wps:txbx>
                        <wps:bodyPr spcFirstLastPara="0" vert="horz" wrap="square" lIns="64008" tIns="64008" rIns="85344" bIns="96012" numCol="1" spcCol="1270" anchor="t" anchorCtr="0">
                          <a:noAutofit/>
                        </wps:bodyPr>
                      </wps:wsp>
                      <wps:wsp>
                        <wps:cNvPr id="1135924628" name="Freeform 1135924628">
                          <a:extLst>
                            <a:ext uri="{FF2B5EF4-FFF2-40B4-BE49-F238E27FC236}">
                              <a16:creationId xmlns:a16="http://schemas.microsoft.com/office/drawing/2014/main" id="{AE4E94B5-C138-486F-E44C-8EC431513700}"/>
                            </a:ext>
                          </a:extLst>
                        </wps:cNvPr>
                        <wps:cNvSpPr/>
                        <wps:spPr>
                          <a:xfrm>
                            <a:off x="2094786" y="0"/>
                            <a:ext cx="1837531" cy="735012"/>
                          </a:xfrm>
                          <a:custGeom>
                            <a:avLst/>
                            <a:gdLst>
                              <a:gd name="csX0" fmla="*/ 0 w 1837531"/>
                              <a:gd name="csY0" fmla="*/ 0 h 735012"/>
                              <a:gd name="csX1" fmla="*/ 1837531 w 1837531"/>
                              <a:gd name="csY1" fmla="*/ 0 h 735012"/>
                              <a:gd name="csX2" fmla="*/ 1837531 w 1837531"/>
                              <a:gd name="csY2" fmla="*/ 735012 h 735012"/>
                              <a:gd name="csX3" fmla="*/ 0 w 1837531"/>
                              <a:gd name="csY3" fmla="*/ 735012 h 735012"/>
                              <a:gd name="csX4" fmla="*/ 0 w 1837531"/>
                              <a:gd name="csY4" fmla="*/ 0 h 735012"/>
                            </a:gdLst>
                            <a:ahLst/>
                            <a:cxnLst>
                              <a:cxn ang="0">
                                <a:pos x="csX0" y="csY0"/>
                              </a:cxn>
                              <a:cxn ang="0">
                                <a:pos x="csX1" y="csY1"/>
                              </a:cxn>
                              <a:cxn ang="0">
                                <a:pos x="csX2" y="csY2"/>
                              </a:cxn>
                              <a:cxn ang="0">
                                <a:pos x="csX3" y="csY3"/>
                              </a:cxn>
                              <a:cxn ang="0">
                                <a:pos x="csX4" y="csY4"/>
                              </a:cxn>
                            </a:cxnLst>
                            <a:rect l="l" t="t" r="r" b="b"/>
                            <a:pathLst>
                              <a:path w="1837531" h="735012">
                                <a:moveTo>
                                  <a:pt x="0" y="0"/>
                                </a:moveTo>
                                <a:lnTo>
                                  <a:pt x="1837531" y="0"/>
                                </a:lnTo>
                                <a:lnTo>
                                  <a:pt x="1837531" y="735012"/>
                                </a:lnTo>
                                <a:lnTo>
                                  <a:pt x="0" y="735012"/>
                                </a:lnTo>
                                <a:lnTo>
                                  <a:pt x="0" y="0"/>
                                </a:lnTo>
                                <a:close/>
                              </a:path>
                            </a:pathLst>
                          </a:custGeom>
                        </wps:spPr>
                        <wps:style>
                          <a:lnRef idx="2">
                            <a:schemeClr val="dk1">
                              <a:shade val="80000"/>
                              <a:hueOff val="0"/>
                              <a:satOff val="0"/>
                              <a:lumOff val="0"/>
                              <a:alphaOff val="0"/>
                            </a:schemeClr>
                          </a:lnRef>
                          <a:fillRef idx="1">
                            <a:schemeClr val="lt1">
                              <a:hueOff val="0"/>
                              <a:satOff val="0"/>
                              <a:lumOff val="0"/>
                              <a:alphaOff val="0"/>
                            </a:schemeClr>
                          </a:fillRef>
                          <a:effectRef idx="0">
                            <a:schemeClr val="lt1">
                              <a:hueOff val="0"/>
                              <a:satOff val="0"/>
                              <a:lumOff val="0"/>
                              <a:alphaOff val="0"/>
                            </a:schemeClr>
                          </a:effectRef>
                          <a:fontRef idx="minor">
                            <a:schemeClr val="dk1">
                              <a:hueOff val="0"/>
                              <a:satOff val="0"/>
                              <a:lumOff val="0"/>
                              <a:alphaOff val="0"/>
                            </a:schemeClr>
                          </a:fontRef>
                        </wps:style>
                        <wps:txbx>
                          <w:txbxContent>
                            <w:p w14:paraId="42CD5665" w14:textId="77777777" w:rsidR="00FE22FF" w:rsidRDefault="00FE22FF" w:rsidP="00FE22FF">
                              <w:pPr>
                                <w:spacing w:after="101"/>
                                <w:jc w:val="center"/>
                                <w:rPr>
                                  <w:color w:val="000000" w:themeColor="dark1"/>
                                  <w:kern w:val="24"/>
                                  <w14:textFill>
                                    <w14:solidFill>
                                      <w14:schemeClr w14:val="dk1">
                                        <w14:satOff w14:val="0"/>
                                        <w14:lumOff w14:val="0"/>
                                      </w14:schemeClr>
                                    </w14:solidFill>
                                  </w14:textFill>
                                </w:rPr>
                              </w:pPr>
                              <w:r>
                                <w:rPr>
                                  <w:color w:val="000000" w:themeColor="dark1"/>
                                  <w:kern w:val="24"/>
                                  <w14:textFill>
                                    <w14:solidFill>
                                      <w14:schemeClr w14:val="dk1">
                                        <w14:satOff w14:val="0"/>
                                        <w14:lumOff w14:val="0"/>
                                      </w14:schemeClr>
                                    </w14:solidFill>
                                  </w14:textFill>
                                </w:rPr>
                                <w:t>Data Filtering and Subset Selection</w:t>
                              </w:r>
                            </w:p>
                          </w:txbxContent>
                        </wps:txbx>
                        <wps:bodyPr spcFirstLastPara="0" vert="horz" wrap="square" lIns="85344" tIns="48768" rIns="85344" bIns="48768" numCol="1" spcCol="1270" anchor="ctr" anchorCtr="0">
                          <a:noAutofit/>
                        </wps:bodyPr>
                      </wps:wsp>
                      <wps:wsp>
                        <wps:cNvPr id="1905515733" name="Freeform 1905515733">
                          <a:extLst>
                            <a:ext uri="{FF2B5EF4-FFF2-40B4-BE49-F238E27FC236}">
                              <a16:creationId xmlns:a16="http://schemas.microsoft.com/office/drawing/2014/main" id="{1233E706-4044-4FA1-033F-C10D6F0B8440}"/>
                            </a:ext>
                          </a:extLst>
                        </wps:cNvPr>
                        <wps:cNvSpPr/>
                        <wps:spPr>
                          <a:xfrm>
                            <a:off x="2094786" y="735012"/>
                            <a:ext cx="1837531" cy="2854800"/>
                          </a:xfrm>
                          <a:custGeom>
                            <a:avLst/>
                            <a:gdLst>
                              <a:gd name="csX0" fmla="*/ 0 w 1837531"/>
                              <a:gd name="csY0" fmla="*/ 0 h 2854800"/>
                              <a:gd name="csX1" fmla="*/ 1837531 w 1837531"/>
                              <a:gd name="csY1" fmla="*/ 0 h 2854800"/>
                              <a:gd name="csX2" fmla="*/ 1837531 w 1837531"/>
                              <a:gd name="csY2" fmla="*/ 2854800 h 2854800"/>
                              <a:gd name="csX3" fmla="*/ 0 w 1837531"/>
                              <a:gd name="csY3" fmla="*/ 2854800 h 2854800"/>
                              <a:gd name="csX4" fmla="*/ 0 w 1837531"/>
                              <a:gd name="csY4" fmla="*/ 0 h 2854800"/>
                            </a:gdLst>
                            <a:ahLst/>
                            <a:cxnLst>
                              <a:cxn ang="0">
                                <a:pos x="csX0" y="csY0"/>
                              </a:cxn>
                              <a:cxn ang="0">
                                <a:pos x="csX1" y="csY1"/>
                              </a:cxn>
                              <a:cxn ang="0">
                                <a:pos x="csX2" y="csY2"/>
                              </a:cxn>
                              <a:cxn ang="0">
                                <a:pos x="csX3" y="csY3"/>
                              </a:cxn>
                              <a:cxn ang="0">
                                <a:pos x="csX4" y="csY4"/>
                              </a:cxn>
                            </a:cxnLst>
                            <a:rect l="l" t="t" r="r" b="b"/>
                            <a:pathLst>
                              <a:path w="1837531" h="2854800">
                                <a:moveTo>
                                  <a:pt x="0" y="0"/>
                                </a:moveTo>
                                <a:lnTo>
                                  <a:pt x="1837531" y="0"/>
                                </a:lnTo>
                                <a:lnTo>
                                  <a:pt x="1837531" y="2854800"/>
                                </a:lnTo>
                                <a:lnTo>
                                  <a:pt x="0" y="2854800"/>
                                </a:lnTo>
                                <a:lnTo>
                                  <a:pt x="0" y="0"/>
                                </a:lnTo>
                                <a:close/>
                              </a:path>
                            </a:pathLst>
                          </a:custGeom>
                        </wps:spPr>
                        <wps:style>
                          <a:lnRef idx="2">
                            <a:schemeClr val="dk1">
                              <a:alpha val="90000"/>
                              <a:hueOff val="0"/>
                              <a:satOff val="0"/>
                              <a:lumOff val="0"/>
                              <a:alphaOff val="0"/>
                            </a:schemeClr>
                          </a:lnRef>
                          <a:fillRef idx="1">
                            <a:schemeClr val="lt1">
                              <a:alpha val="90000"/>
                              <a:tint val="40000"/>
                              <a:hueOff val="0"/>
                              <a:satOff val="0"/>
                              <a:lumOff val="0"/>
                              <a:alphaOff val="0"/>
                            </a:schemeClr>
                          </a:fillRef>
                          <a:effectRef idx="0">
                            <a:schemeClr val="lt1">
                              <a:alpha val="90000"/>
                              <a:tint val="40000"/>
                              <a:hueOff val="0"/>
                              <a:satOff val="0"/>
                              <a:lumOff val="0"/>
                              <a:alphaOff val="0"/>
                            </a:schemeClr>
                          </a:effectRef>
                          <a:fontRef idx="minor">
                            <a:schemeClr val="dk1">
                              <a:hueOff val="0"/>
                              <a:satOff val="0"/>
                              <a:lumOff val="0"/>
                              <a:alphaOff val="0"/>
                            </a:schemeClr>
                          </a:fontRef>
                        </wps:style>
                        <wps:txbx>
                          <w:txbxContent>
                            <w:p w14:paraId="524A7AFD" w14:textId="77777777" w:rsidR="00FE22FF" w:rsidRDefault="00FE22FF" w:rsidP="00FE22FF">
                              <w:pPr>
                                <w:pStyle w:val="ListParagraph"/>
                                <w:numPr>
                                  <w:ilvl w:val="1"/>
                                  <w:numId w:val="10"/>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4 Phase Filtering Pipeline</w:t>
                              </w:r>
                            </w:p>
                            <w:p w14:paraId="0E5D2D21" w14:textId="77777777" w:rsidR="00FE22FF" w:rsidRDefault="00FE22FF" w:rsidP="00FE22FF">
                              <w:pPr>
                                <w:pStyle w:val="ListParagraph"/>
                                <w:numPr>
                                  <w:ilvl w:val="1"/>
                                  <w:numId w:val="10"/>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Pipeline Results</w:t>
                              </w:r>
                            </w:p>
                            <w:p w14:paraId="27991013" w14:textId="77777777" w:rsidR="00FE22FF" w:rsidRDefault="00FE22FF" w:rsidP="00FE22FF">
                              <w:pPr>
                                <w:pStyle w:val="ListParagraph"/>
                                <w:numPr>
                                  <w:ilvl w:val="1"/>
                                  <w:numId w:val="10"/>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Descriptive Statistics for Data Subset</w:t>
                              </w:r>
                            </w:p>
                            <w:p w14:paraId="360A6E83" w14:textId="77777777" w:rsidR="00FE22FF" w:rsidRDefault="00FE22FF" w:rsidP="00FE22FF">
                              <w:pPr>
                                <w:pStyle w:val="ListParagraph"/>
                                <w:numPr>
                                  <w:ilvl w:val="1"/>
                                  <w:numId w:val="10"/>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Implications for Model Selection</w:t>
                              </w:r>
                            </w:p>
                          </w:txbxContent>
                        </wps:txbx>
                        <wps:bodyPr spcFirstLastPara="0" vert="horz" wrap="square" lIns="64008" tIns="64008" rIns="85344" bIns="96012" numCol="1" spcCol="1270" anchor="t" anchorCtr="0">
                          <a:noAutofit/>
                        </wps:bodyPr>
                      </wps:wsp>
                      <wps:wsp>
                        <wps:cNvPr id="1262674272" name="Freeform 1262674272">
                          <a:extLst>
                            <a:ext uri="{FF2B5EF4-FFF2-40B4-BE49-F238E27FC236}">
                              <a16:creationId xmlns:a16="http://schemas.microsoft.com/office/drawing/2014/main" id="{41958F0B-8D46-019F-7C61-F5405380FF2F}"/>
                            </a:ext>
                          </a:extLst>
                        </wps:cNvPr>
                        <wps:cNvSpPr/>
                        <wps:spPr>
                          <a:xfrm>
                            <a:off x="4189572" y="0"/>
                            <a:ext cx="1837531" cy="735012"/>
                          </a:xfrm>
                          <a:custGeom>
                            <a:avLst/>
                            <a:gdLst>
                              <a:gd name="csX0" fmla="*/ 0 w 1837531"/>
                              <a:gd name="csY0" fmla="*/ 0 h 735012"/>
                              <a:gd name="csX1" fmla="*/ 1837531 w 1837531"/>
                              <a:gd name="csY1" fmla="*/ 0 h 735012"/>
                              <a:gd name="csX2" fmla="*/ 1837531 w 1837531"/>
                              <a:gd name="csY2" fmla="*/ 735012 h 735012"/>
                              <a:gd name="csX3" fmla="*/ 0 w 1837531"/>
                              <a:gd name="csY3" fmla="*/ 735012 h 735012"/>
                              <a:gd name="csX4" fmla="*/ 0 w 1837531"/>
                              <a:gd name="csY4" fmla="*/ 0 h 735012"/>
                            </a:gdLst>
                            <a:ahLst/>
                            <a:cxnLst>
                              <a:cxn ang="0">
                                <a:pos x="csX0" y="csY0"/>
                              </a:cxn>
                              <a:cxn ang="0">
                                <a:pos x="csX1" y="csY1"/>
                              </a:cxn>
                              <a:cxn ang="0">
                                <a:pos x="csX2" y="csY2"/>
                              </a:cxn>
                              <a:cxn ang="0">
                                <a:pos x="csX3" y="csY3"/>
                              </a:cxn>
                              <a:cxn ang="0">
                                <a:pos x="csX4" y="csY4"/>
                              </a:cxn>
                            </a:cxnLst>
                            <a:rect l="l" t="t" r="r" b="b"/>
                            <a:pathLst>
                              <a:path w="1837531" h="735012">
                                <a:moveTo>
                                  <a:pt x="0" y="0"/>
                                </a:moveTo>
                                <a:lnTo>
                                  <a:pt x="1837531" y="0"/>
                                </a:lnTo>
                                <a:lnTo>
                                  <a:pt x="1837531" y="735012"/>
                                </a:lnTo>
                                <a:lnTo>
                                  <a:pt x="0" y="735012"/>
                                </a:lnTo>
                                <a:lnTo>
                                  <a:pt x="0" y="0"/>
                                </a:lnTo>
                                <a:close/>
                              </a:path>
                            </a:pathLst>
                          </a:custGeom>
                        </wps:spPr>
                        <wps:style>
                          <a:lnRef idx="2">
                            <a:schemeClr val="dk1">
                              <a:shade val="80000"/>
                              <a:hueOff val="0"/>
                              <a:satOff val="0"/>
                              <a:lumOff val="0"/>
                              <a:alphaOff val="0"/>
                            </a:schemeClr>
                          </a:lnRef>
                          <a:fillRef idx="1">
                            <a:schemeClr val="lt1">
                              <a:hueOff val="0"/>
                              <a:satOff val="0"/>
                              <a:lumOff val="0"/>
                              <a:alphaOff val="0"/>
                            </a:schemeClr>
                          </a:fillRef>
                          <a:effectRef idx="0">
                            <a:schemeClr val="lt1">
                              <a:hueOff val="0"/>
                              <a:satOff val="0"/>
                              <a:lumOff val="0"/>
                              <a:alphaOff val="0"/>
                            </a:schemeClr>
                          </a:effectRef>
                          <a:fontRef idx="minor">
                            <a:schemeClr val="dk1">
                              <a:hueOff val="0"/>
                              <a:satOff val="0"/>
                              <a:lumOff val="0"/>
                              <a:alphaOff val="0"/>
                            </a:schemeClr>
                          </a:fontRef>
                        </wps:style>
                        <wps:txbx>
                          <w:txbxContent>
                            <w:p w14:paraId="7A19CB92" w14:textId="77777777" w:rsidR="00FE22FF" w:rsidRDefault="00FE22FF" w:rsidP="00FE22FF">
                              <w:pPr>
                                <w:spacing w:after="101"/>
                                <w:jc w:val="center"/>
                                <w:rPr>
                                  <w:color w:val="000000" w:themeColor="dark1"/>
                                  <w:kern w:val="24"/>
                                  <w14:textFill>
                                    <w14:solidFill>
                                      <w14:schemeClr w14:val="dk1">
                                        <w14:satOff w14:val="0"/>
                                        <w14:lumOff w14:val="0"/>
                                      </w14:schemeClr>
                                    </w14:solidFill>
                                  </w14:textFill>
                                </w:rPr>
                              </w:pPr>
                              <w:r>
                                <w:rPr>
                                  <w:color w:val="000000" w:themeColor="dark1"/>
                                  <w:kern w:val="24"/>
                                  <w14:textFill>
                                    <w14:solidFill>
                                      <w14:schemeClr w14:val="dk1">
                                        <w14:satOff w14:val="0"/>
                                        <w14:lumOff w14:val="0"/>
                                      </w14:schemeClr>
                                    </w14:solidFill>
                                  </w14:textFill>
                                </w:rPr>
                                <w:t>Model development and execution</w:t>
                              </w:r>
                            </w:p>
                          </w:txbxContent>
                        </wps:txbx>
                        <wps:bodyPr spcFirstLastPara="0" vert="horz" wrap="square" lIns="85344" tIns="48768" rIns="85344" bIns="48768" numCol="1" spcCol="1270" anchor="ctr" anchorCtr="0">
                          <a:noAutofit/>
                        </wps:bodyPr>
                      </wps:wsp>
                      <wps:wsp>
                        <wps:cNvPr id="1803851919" name="Freeform 1803851919">
                          <a:extLst>
                            <a:ext uri="{FF2B5EF4-FFF2-40B4-BE49-F238E27FC236}">
                              <a16:creationId xmlns:a16="http://schemas.microsoft.com/office/drawing/2014/main" id="{3C7DD6D7-6C63-83C3-0E49-E0123E5AE98C}"/>
                            </a:ext>
                          </a:extLst>
                        </wps:cNvPr>
                        <wps:cNvSpPr/>
                        <wps:spPr>
                          <a:xfrm>
                            <a:off x="4189572" y="735012"/>
                            <a:ext cx="1837531" cy="2854800"/>
                          </a:xfrm>
                          <a:custGeom>
                            <a:avLst/>
                            <a:gdLst>
                              <a:gd name="csX0" fmla="*/ 0 w 1837531"/>
                              <a:gd name="csY0" fmla="*/ 0 h 2854800"/>
                              <a:gd name="csX1" fmla="*/ 1837531 w 1837531"/>
                              <a:gd name="csY1" fmla="*/ 0 h 2854800"/>
                              <a:gd name="csX2" fmla="*/ 1837531 w 1837531"/>
                              <a:gd name="csY2" fmla="*/ 2854800 h 2854800"/>
                              <a:gd name="csX3" fmla="*/ 0 w 1837531"/>
                              <a:gd name="csY3" fmla="*/ 2854800 h 2854800"/>
                              <a:gd name="csX4" fmla="*/ 0 w 1837531"/>
                              <a:gd name="csY4" fmla="*/ 0 h 2854800"/>
                            </a:gdLst>
                            <a:ahLst/>
                            <a:cxnLst>
                              <a:cxn ang="0">
                                <a:pos x="csX0" y="csY0"/>
                              </a:cxn>
                              <a:cxn ang="0">
                                <a:pos x="csX1" y="csY1"/>
                              </a:cxn>
                              <a:cxn ang="0">
                                <a:pos x="csX2" y="csY2"/>
                              </a:cxn>
                              <a:cxn ang="0">
                                <a:pos x="csX3" y="csY3"/>
                              </a:cxn>
                              <a:cxn ang="0">
                                <a:pos x="csX4" y="csY4"/>
                              </a:cxn>
                            </a:cxnLst>
                            <a:rect l="l" t="t" r="r" b="b"/>
                            <a:pathLst>
                              <a:path w="1837531" h="2854800">
                                <a:moveTo>
                                  <a:pt x="0" y="0"/>
                                </a:moveTo>
                                <a:lnTo>
                                  <a:pt x="1837531" y="0"/>
                                </a:lnTo>
                                <a:lnTo>
                                  <a:pt x="1837531" y="2854800"/>
                                </a:lnTo>
                                <a:lnTo>
                                  <a:pt x="0" y="2854800"/>
                                </a:lnTo>
                                <a:lnTo>
                                  <a:pt x="0" y="0"/>
                                </a:lnTo>
                                <a:close/>
                              </a:path>
                            </a:pathLst>
                          </a:custGeom>
                        </wps:spPr>
                        <wps:style>
                          <a:lnRef idx="2">
                            <a:schemeClr val="dk1">
                              <a:alpha val="90000"/>
                              <a:hueOff val="0"/>
                              <a:satOff val="0"/>
                              <a:lumOff val="0"/>
                              <a:alphaOff val="0"/>
                            </a:schemeClr>
                          </a:lnRef>
                          <a:fillRef idx="1">
                            <a:schemeClr val="lt1">
                              <a:alpha val="90000"/>
                              <a:tint val="40000"/>
                              <a:hueOff val="0"/>
                              <a:satOff val="0"/>
                              <a:lumOff val="0"/>
                              <a:alphaOff val="0"/>
                            </a:schemeClr>
                          </a:fillRef>
                          <a:effectRef idx="0">
                            <a:schemeClr val="lt1">
                              <a:alpha val="90000"/>
                              <a:tint val="40000"/>
                              <a:hueOff val="0"/>
                              <a:satOff val="0"/>
                              <a:lumOff val="0"/>
                              <a:alphaOff val="0"/>
                            </a:schemeClr>
                          </a:effectRef>
                          <a:fontRef idx="minor">
                            <a:schemeClr val="dk1">
                              <a:hueOff val="0"/>
                              <a:satOff val="0"/>
                              <a:lumOff val="0"/>
                              <a:alphaOff val="0"/>
                            </a:schemeClr>
                          </a:fontRef>
                        </wps:style>
                        <wps:txbx>
                          <w:txbxContent>
                            <w:p w14:paraId="02A05831" w14:textId="77777777" w:rsidR="00FE22FF" w:rsidRDefault="00FE22FF" w:rsidP="00FE22FF">
                              <w:pPr>
                                <w:pStyle w:val="ListParagraph"/>
                                <w:numPr>
                                  <w:ilvl w:val="1"/>
                                  <w:numId w:val="11"/>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Feature Engineering</w:t>
                              </w:r>
                            </w:p>
                            <w:p w14:paraId="5C63F62A" w14:textId="77777777" w:rsidR="00FE22FF" w:rsidRDefault="00FE22FF" w:rsidP="00FE22FF">
                              <w:pPr>
                                <w:pStyle w:val="ListParagraph"/>
                                <w:numPr>
                                  <w:ilvl w:val="1"/>
                                  <w:numId w:val="11"/>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Model Training</w:t>
                              </w:r>
                            </w:p>
                            <w:p w14:paraId="01E7831A" w14:textId="77777777" w:rsidR="00FE22FF" w:rsidRDefault="00FE22FF" w:rsidP="00FE22FF">
                              <w:pPr>
                                <w:pStyle w:val="ListParagraph"/>
                                <w:numPr>
                                  <w:ilvl w:val="1"/>
                                  <w:numId w:val="11"/>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Model Testing</w:t>
                              </w:r>
                            </w:p>
                            <w:p w14:paraId="299D3EC2" w14:textId="77777777" w:rsidR="00FE22FF" w:rsidRDefault="00FE22FF" w:rsidP="00FE22FF">
                              <w:pPr>
                                <w:pStyle w:val="ListParagraph"/>
                                <w:numPr>
                                  <w:ilvl w:val="1"/>
                                  <w:numId w:val="11"/>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Implications for Results Interpretation</w:t>
                              </w:r>
                            </w:p>
                          </w:txbxContent>
                        </wps:txbx>
                        <wps:bodyPr spcFirstLastPara="0" vert="horz" wrap="square" lIns="64008" tIns="64008" rIns="85344" bIns="96012" numCol="1" spcCol="1270" anchor="t" anchorCtr="0">
                          <a:noAutofit/>
                        </wps:bodyPr>
                      </wps:wsp>
                      <wps:wsp>
                        <wps:cNvPr id="1641276436" name="Freeform 1641276436">
                          <a:extLst>
                            <a:ext uri="{FF2B5EF4-FFF2-40B4-BE49-F238E27FC236}">
                              <a16:creationId xmlns:a16="http://schemas.microsoft.com/office/drawing/2014/main" id="{E9C8508A-7998-018D-8DB9-18897167C239}"/>
                            </a:ext>
                          </a:extLst>
                        </wps:cNvPr>
                        <wps:cNvSpPr/>
                        <wps:spPr>
                          <a:xfrm>
                            <a:off x="6284357" y="0"/>
                            <a:ext cx="1837531" cy="735012"/>
                          </a:xfrm>
                          <a:custGeom>
                            <a:avLst/>
                            <a:gdLst>
                              <a:gd name="csX0" fmla="*/ 0 w 1837531"/>
                              <a:gd name="csY0" fmla="*/ 0 h 735012"/>
                              <a:gd name="csX1" fmla="*/ 1837531 w 1837531"/>
                              <a:gd name="csY1" fmla="*/ 0 h 735012"/>
                              <a:gd name="csX2" fmla="*/ 1837531 w 1837531"/>
                              <a:gd name="csY2" fmla="*/ 735012 h 735012"/>
                              <a:gd name="csX3" fmla="*/ 0 w 1837531"/>
                              <a:gd name="csY3" fmla="*/ 735012 h 735012"/>
                              <a:gd name="csX4" fmla="*/ 0 w 1837531"/>
                              <a:gd name="csY4" fmla="*/ 0 h 735012"/>
                            </a:gdLst>
                            <a:ahLst/>
                            <a:cxnLst>
                              <a:cxn ang="0">
                                <a:pos x="csX0" y="csY0"/>
                              </a:cxn>
                              <a:cxn ang="0">
                                <a:pos x="csX1" y="csY1"/>
                              </a:cxn>
                              <a:cxn ang="0">
                                <a:pos x="csX2" y="csY2"/>
                              </a:cxn>
                              <a:cxn ang="0">
                                <a:pos x="csX3" y="csY3"/>
                              </a:cxn>
                              <a:cxn ang="0">
                                <a:pos x="csX4" y="csY4"/>
                              </a:cxn>
                            </a:cxnLst>
                            <a:rect l="l" t="t" r="r" b="b"/>
                            <a:pathLst>
                              <a:path w="1837531" h="735012">
                                <a:moveTo>
                                  <a:pt x="0" y="0"/>
                                </a:moveTo>
                                <a:lnTo>
                                  <a:pt x="1837531" y="0"/>
                                </a:lnTo>
                                <a:lnTo>
                                  <a:pt x="1837531" y="735012"/>
                                </a:lnTo>
                                <a:lnTo>
                                  <a:pt x="0" y="735012"/>
                                </a:lnTo>
                                <a:lnTo>
                                  <a:pt x="0" y="0"/>
                                </a:lnTo>
                                <a:close/>
                              </a:path>
                            </a:pathLst>
                          </a:custGeom>
                        </wps:spPr>
                        <wps:style>
                          <a:lnRef idx="2">
                            <a:schemeClr val="dk1">
                              <a:shade val="80000"/>
                              <a:hueOff val="0"/>
                              <a:satOff val="0"/>
                              <a:lumOff val="0"/>
                              <a:alphaOff val="0"/>
                            </a:schemeClr>
                          </a:lnRef>
                          <a:fillRef idx="1">
                            <a:schemeClr val="lt1">
                              <a:hueOff val="0"/>
                              <a:satOff val="0"/>
                              <a:lumOff val="0"/>
                              <a:alphaOff val="0"/>
                            </a:schemeClr>
                          </a:fillRef>
                          <a:effectRef idx="0">
                            <a:schemeClr val="lt1">
                              <a:hueOff val="0"/>
                              <a:satOff val="0"/>
                              <a:lumOff val="0"/>
                              <a:alphaOff val="0"/>
                            </a:schemeClr>
                          </a:effectRef>
                          <a:fontRef idx="minor">
                            <a:schemeClr val="dk1">
                              <a:hueOff val="0"/>
                              <a:satOff val="0"/>
                              <a:lumOff val="0"/>
                              <a:alphaOff val="0"/>
                            </a:schemeClr>
                          </a:fontRef>
                        </wps:style>
                        <wps:txbx>
                          <w:txbxContent>
                            <w:p w14:paraId="362A6687" w14:textId="77777777" w:rsidR="00FE22FF" w:rsidRDefault="00FE22FF" w:rsidP="00FE22FF">
                              <w:pPr>
                                <w:spacing w:after="101"/>
                                <w:jc w:val="center"/>
                                <w:rPr>
                                  <w:color w:val="000000" w:themeColor="dark1"/>
                                  <w:kern w:val="24"/>
                                  <w14:textFill>
                                    <w14:solidFill>
                                      <w14:schemeClr w14:val="dk1">
                                        <w14:satOff w14:val="0"/>
                                        <w14:lumOff w14:val="0"/>
                                      </w14:schemeClr>
                                    </w14:solidFill>
                                  </w14:textFill>
                                </w:rPr>
                              </w:pPr>
                              <w:r>
                                <w:rPr>
                                  <w:color w:val="000000" w:themeColor="dark1"/>
                                  <w:kern w:val="24"/>
                                  <w14:textFill>
                                    <w14:solidFill>
                                      <w14:schemeClr w14:val="dk1">
                                        <w14:satOff w14:val="0"/>
                                        <w14:lumOff w14:val="0"/>
                                      </w14:schemeClr>
                                    </w14:solidFill>
                                  </w14:textFill>
                                </w:rPr>
                                <w:t>Model Results and Evaluation</w:t>
                              </w:r>
                            </w:p>
                          </w:txbxContent>
                        </wps:txbx>
                        <wps:bodyPr spcFirstLastPara="0" vert="horz" wrap="square" lIns="85344" tIns="48768" rIns="85344" bIns="48768" numCol="1" spcCol="1270" anchor="ctr" anchorCtr="0">
                          <a:noAutofit/>
                        </wps:bodyPr>
                      </wps:wsp>
                      <wps:wsp>
                        <wps:cNvPr id="757736189" name="Freeform 757736189">
                          <a:extLst>
                            <a:ext uri="{FF2B5EF4-FFF2-40B4-BE49-F238E27FC236}">
                              <a16:creationId xmlns:a16="http://schemas.microsoft.com/office/drawing/2014/main" id="{42AAECAF-38F3-6025-8FC8-EA37068D7BE6}"/>
                            </a:ext>
                          </a:extLst>
                        </wps:cNvPr>
                        <wps:cNvSpPr/>
                        <wps:spPr>
                          <a:xfrm>
                            <a:off x="6284357" y="735012"/>
                            <a:ext cx="1837531" cy="2854800"/>
                          </a:xfrm>
                          <a:custGeom>
                            <a:avLst/>
                            <a:gdLst>
                              <a:gd name="csX0" fmla="*/ 0 w 1837531"/>
                              <a:gd name="csY0" fmla="*/ 0 h 2854800"/>
                              <a:gd name="csX1" fmla="*/ 1837531 w 1837531"/>
                              <a:gd name="csY1" fmla="*/ 0 h 2854800"/>
                              <a:gd name="csX2" fmla="*/ 1837531 w 1837531"/>
                              <a:gd name="csY2" fmla="*/ 2854800 h 2854800"/>
                              <a:gd name="csX3" fmla="*/ 0 w 1837531"/>
                              <a:gd name="csY3" fmla="*/ 2854800 h 2854800"/>
                              <a:gd name="csX4" fmla="*/ 0 w 1837531"/>
                              <a:gd name="csY4" fmla="*/ 0 h 2854800"/>
                            </a:gdLst>
                            <a:ahLst/>
                            <a:cxnLst>
                              <a:cxn ang="0">
                                <a:pos x="csX0" y="csY0"/>
                              </a:cxn>
                              <a:cxn ang="0">
                                <a:pos x="csX1" y="csY1"/>
                              </a:cxn>
                              <a:cxn ang="0">
                                <a:pos x="csX2" y="csY2"/>
                              </a:cxn>
                              <a:cxn ang="0">
                                <a:pos x="csX3" y="csY3"/>
                              </a:cxn>
                              <a:cxn ang="0">
                                <a:pos x="csX4" y="csY4"/>
                              </a:cxn>
                            </a:cxnLst>
                            <a:rect l="l" t="t" r="r" b="b"/>
                            <a:pathLst>
                              <a:path w="1837531" h="2854800">
                                <a:moveTo>
                                  <a:pt x="0" y="0"/>
                                </a:moveTo>
                                <a:lnTo>
                                  <a:pt x="1837531" y="0"/>
                                </a:lnTo>
                                <a:lnTo>
                                  <a:pt x="1837531" y="2854800"/>
                                </a:lnTo>
                                <a:lnTo>
                                  <a:pt x="0" y="2854800"/>
                                </a:lnTo>
                                <a:lnTo>
                                  <a:pt x="0" y="0"/>
                                </a:lnTo>
                                <a:close/>
                              </a:path>
                            </a:pathLst>
                          </a:custGeom>
                        </wps:spPr>
                        <wps:style>
                          <a:lnRef idx="2">
                            <a:schemeClr val="dk1">
                              <a:alpha val="90000"/>
                              <a:hueOff val="0"/>
                              <a:satOff val="0"/>
                              <a:lumOff val="0"/>
                              <a:alphaOff val="0"/>
                            </a:schemeClr>
                          </a:lnRef>
                          <a:fillRef idx="1">
                            <a:schemeClr val="lt1">
                              <a:alpha val="90000"/>
                              <a:tint val="40000"/>
                              <a:hueOff val="0"/>
                              <a:satOff val="0"/>
                              <a:lumOff val="0"/>
                              <a:alphaOff val="0"/>
                            </a:schemeClr>
                          </a:fillRef>
                          <a:effectRef idx="0">
                            <a:schemeClr val="lt1">
                              <a:alpha val="90000"/>
                              <a:tint val="40000"/>
                              <a:hueOff val="0"/>
                              <a:satOff val="0"/>
                              <a:lumOff val="0"/>
                              <a:alphaOff val="0"/>
                            </a:schemeClr>
                          </a:effectRef>
                          <a:fontRef idx="minor">
                            <a:schemeClr val="dk1">
                              <a:hueOff val="0"/>
                              <a:satOff val="0"/>
                              <a:lumOff val="0"/>
                              <a:alphaOff val="0"/>
                            </a:schemeClr>
                          </a:fontRef>
                        </wps:style>
                        <wps:txbx>
                          <w:txbxContent>
                            <w:p w14:paraId="4A47F1DD" w14:textId="77777777" w:rsidR="00FE22FF" w:rsidRDefault="00FE22FF" w:rsidP="00FE22FF">
                              <w:pPr>
                                <w:pStyle w:val="ListParagraph"/>
                                <w:numPr>
                                  <w:ilvl w:val="1"/>
                                  <w:numId w:val="12"/>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Model Results</w:t>
                              </w:r>
                            </w:p>
                            <w:p w14:paraId="45169037" w14:textId="77777777" w:rsidR="00FE22FF" w:rsidRDefault="00FE22FF" w:rsidP="00FE22FF">
                              <w:pPr>
                                <w:pStyle w:val="ListParagraph"/>
                                <w:numPr>
                                  <w:ilvl w:val="1"/>
                                  <w:numId w:val="12"/>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General Model Performance</w:t>
                              </w:r>
                            </w:p>
                            <w:p w14:paraId="0DA75B29" w14:textId="77777777" w:rsidR="00FE22FF" w:rsidRDefault="00FE22FF" w:rsidP="00FE22FF">
                              <w:pPr>
                                <w:pStyle w:val="ListParagraph"/>
                                <w:numPr>
                                  <w:ilvl w:val="1"/>
                                  <w:numId w:val="12"/>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Hypothesis Testing</w:t>
                              </w:r>
                            </w:p>
                            <w:p w14:paraId="6860EAD1" w14:textId="77777777" w:rsidR="00FE22FF" w:rsidRDefault="00FE22FF" w:rsidP="00FE22FF">
                              <w:pPr>
                                <w:pStyle w:val="ListParagraph"/>
                                <w:numPr>
                                  <w:ilvl w:val="1"/>
                                  <w:numId w:val="12"/>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Real-World Application</w:t>
                              </w:r>
                            </w:p>
                          </w:txbxContent>
                        </wps:txbx>
                        <wps:bodyPr spcFirstLastPara="0" vert="horz" wrap="square" lIns="64008" tIns="64008" rIns="85344" bIns="96012" numCol="1" spcCol="1270" anchor="t" anchorCtr="0">
                          <a:noAutofit/>
                        </wps:bodyPr>
                      </wps:wsp>
                    </wpg:wgp>
                  </a:graphicData>
                </a:graphic>
              </wp:anchor>
            </w:drawing>
          </mc:Choice>
          <mc:Fallback>
            <w:pict>
              <v:group w14:anchorId="4322D445" id="Group 2" o:spid="_x0000_s1026" style="position:absolute;left:0;text-align:left;margin-left:-1in;margin-top:-652.1pt;width:904.95pt;height:129.75pt;z-index:251658240" coordsize="81218,3589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">
                <v:shape id="Freeform 1517318082" o:spid="_x0000_s1027" style="position:absolute;width:18375;height:7350;visibility:visible;mso-wrap-style:square;v-text-anchor:middle" coordsize="1837531,735012" o:spt="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" adj="-11796480,,5400" path="m,l1837531,r,735012l,735012,,xe" fillcolor="white [3201]" strokecolor="black [2560]" strokeweight="1.5pt">
                  <v:stroke joinstyle="miter"/>
                  <v:formulas/>
                  <v:path arrowok="t" o:connecttype="custom" o:connectlocs="0,0;1837531,0;1837531,735012;0,735012;0,0" o:connectangles="0,0,0,0,0" textboxrect="0,0,1837531,735012"/>
                  <v:textbox inset="6.72pt,3.84pt,6.72pt,3.84pt">
                    <w:txbxContent>
                      <w:p w14:paraId="5A6D8614" w14:textId="77777777" w:rsidR="00FE22FF" w:rsidRDefault="00FE22FF" w:rsidP="00FE22FF">
                        <w:pPr>
                          <w:spacing w:after="101"/>
                          <w:jc w:val="center"/>
                          <w:rPr>
                            <w:color w:val="000000" w:themeColor="dark1"/>
                            <w:kern w:val="24"/>
                            <w14:textFill>
                              <w14:solidFill>
                                <w14:schemeClr w14:val="dk1">
                                  <w14:satOff w14:val="0"/>
                                  <w14:lumOff w14:val="0"/>
                                </w14:schemeClr>
                              </w14:solidFill>
                            </w14:textFill>
                          </w:rPr>
                        </w:pPr>
                        <w:r>
                          <w:rPr>
                            <w:color w:val="000000" w:themeColor="dark1"/>
                            <w:kern w:val="24"/>
                            <w14:textFill>
                              <w14:solidFill>
                                <w14:schemeClr w14:val="dk1">
                                  <w14:satOff w14:val="0"/>
                                  <w14:lumOff w14:val="0"/>
                                </w14:schemeClr>
                              </w14:solidFill>
                            </w14:textFill>
                          </w:rPr>
                          <w:t>Initial Exploratory Data Analysis</w:t>
                        </w:r>
                      </w:p>
                    </w:txbxContent>
                  </v:textbox>
                </v:shape>
                <v:shape id="Freeform 125864282" o:spid="_x0000_s1028" style="position:absolute;top:7350;width:18375;height:28548;visibility:visible;mso-wrap-style:square;v-text-anchor:top" coordsize="1837531,2854800" o:spt="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" adj="-11796480,,5400" path="m,l1837531,r,2854800l,2854800,,xe" fillcolor="white [1297]" strokecolor="black [3200]" strokeweight="1.5pt">
                  <v:fill opacity="59110f"/>
                  <v:stroke opacity="59110f" joinstyle="miter"/>
                  <v:formulas/>
                  <v:path arrowok="t" o:connecttype="custom" o:connectlocs="0,0;1837531,0;1837531,2854800;0,2854800;0,0" o:connectangles="0,0,0,0,0" textboxrect="0,0,1837531,2854800"/>
                  <v:textbox inset="5.04pt,5.04pt,6.72pt,7.56pt">
                    <w:txbxContent>
                      <w:p w14:paraId="222E0EE0" w14:textId="77777777" w:rsidR="00FE22FF" w:rsidRDefault="00FE22FF" w:rsidP="00FE22FF">
                        <w:pPr>
                          <w:pStyle w:val="ListParagraph"/>
                          <w:numPr>
                            <w:ilvl w:val="1"/>
                            <w:numId w:val="9"/>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Descriptive Statistics</w:t>
                        </w:r>
                      </w:p>
                      <w:p w14:paraId="5BFD766C" w14:textId="77777777" w:rsidR="00FE22FF" w:rsidRDefault="00FE22FF" w:rsidP="00FE22FF">
                        <w:pPr>
                          <w:pStyle w:val="ListParagraph"/>
                          <w:numPr>
                            <w:ilvl w:val="1"/>
                            <w:numId w:val="9"/>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Temporal Baselines</w:t>
                        </w:r>
                      </w:p>
                      <w:p w14:paraId="25B4FF47" w14:textId="77777777" w:rsidR="00FE22FF" w:rsidRDefault="00FE22FF" w:rsidP="00FE22FF">
                        <w:pPr>
                          <w:pStyle w:val="ListParagraph"/>
                          <w:numPr>
                            <w:ilvl w:val="1"/>
                            <w:numId w:val="9"/>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Defining Seasonality</w:t>
                        </w:r>
                      </w:p>
                      <w:p w14:paraId="2BB20BCE" w14:textId="77777777" w:rsidR="00FE22FF" w:rsidRDefault="00FE22FF" w:rsidP="00FE22FF">
                        <w:pPr>
                          <w:pStyle w:val="ListParagraph"/>
                          <w:numPr>
                            <w:ilvl w:val="1"/>
                            <w:numId w:val="9"/>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OTP &amp; TSA Throughput data</w:t>
                        </w:r>
                      </w:p>
                      <w:p w14:paraId="687B9C79" w14:textId="77777777" w:rsidR="00FE22FF" w:rsidRDefault="00FE22FF" w:rsidP="00FE22FF">
                        <w:pPr>
                          <w:pStyle w:val="ListParagraph"/>
                          <w:numPr>
                            <w:ilvl w:val="1"/>
                            <w:numId w:val="9"/>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Implications for Data Subset</w:t>
                        </w:r>
                      </w:p>
                    </w:txbxContent>
                  </v:textbox>
                </v:shape>
                <v:shape id="Freeform 1135924628" o:spid="_x0000_s1029" style="position:absolute;left:20947;width:18376;height:7350;visibility:visible;mso-wrap-style:square;v-text-anchor:middle" coordsize="1837531,735012" o:spt="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" adj="-11796480,,5400" path="m,l1837531,r,735012l,735012,,xe" fillcolor="white [3201]" strokecolor="black [2560]" strokeweight="1.5pt">
                  <v:stroke joinstyle="miter"/>
                  <v:formulas/>
                  <v:path arrowok="t" o:connecttype="custom" o:connectlocs="0,0;1837531,0;1837531,735012;0,735012;0,0" o:connectangles="0,0,0,0,0" textboxrect="0,0,1837531,735012"/>
                  <v:textbox inset="6.72pt,3.84pt,6.72pt,3.84pt">
                    <w:txbxContent>
                      <w:p w14:paraId="42CD5665" w14:textId="77777777" w:rsidR="00FE22FF" w:rsidRDefault="00FE22FF" w:rsidP="00FE22FF">
                        <w:pPr>
                          <w:spacing w:after="101"/>
                          <w:jc w:val="center"/>
                          <w:rPr>
                            <w:color w:val="000000" w:themeColor="dark1"/>
                            <w:kern w:val="24"/>
                            <w14:textFill>
                              <w14:solidFill>
                                <w14:schemeClr w14:val="dk1">
                                  <w14:satOff w14:val="0"/>
                                  <w14:lumOff w14:val="0"/>
                                </w14:schemeClr>
                              </w14:solidFill>
                            </w14:textFill>
                          </w:rPr>
                        </w:pPr>
                        <w:r>
                          <w:rPr>
                            <w:color w:val="000000" w:themeColor="dark1"/>
                            <w:kern w:val="24"/>
                            <w14:textFill>
                              <w14:solidFill>
                                <w14:schemeClr w14:val="dk1">
                                  <w14:satOff w14:val="0"/>
                                  <w14:lumOff w14:val="0"/>
                                </w14:schemeClr>
                              </w14:solidFill>
                            </w14:textFill>
                          </w:rPr>
                          <w:t>Data Filtering and Subset Selection</w:t>
                        </w:r>
                      </w:p>
                    </w:txbxContent>
                  </v:textbox>
                </v:shape>
                <v:shape id="Freeform 1905515733" o:spid="_x0000_s1030" style="position:absolute;left:20947;top:7350;width:18376;height:28548;visibility:visible;mso-wrap-style:square;v-text-anchor:top" coordsize="1837531,2854800" o:spt="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" adj="-11796480,,5400" path="m,l1837531,r,2854800l,2854800,,xe" fillcolor="white [1297]" strokecolor="black [3200]" strokeweight="1.5pt">
                  <v:fill opacity="59110f"/>
                  <v:stroke opacity="59110f" joinstyle="miter"/>
                  <v:formulas/>
                  <v:path arrowok="t" o:connecttype="custom" o:connectlocs="0,0;1837531,0;1837531,2854800;0,2854800;0,0" o:connectangles="0,0,0,0,0" textboxrect="0,0,1837531,2854800"/>
                  <v:textbox inset="5.04pt,5.04pt,6.72pt,7.56pt">
                    <w:txbxContent>
                      <w:p w14:paraId="524A7AFD" w14:textId="77777777" w:rsidR="00FE22FF" w:rsidRDefault="00FE22FF" w:rsidP="00FE22FF">
                        <w:pPr>
                          <w:pStyle w:val="ListParagraph"/>
                          <w:numPr>
                            <w:ilvl w:val="1"/>
                            <w:numId w:val="10"/>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4 Phase Filtering Pipeline</w:t>
                        </w:r>
                      </w:p>
                      <w:p w14:paraId="0E5D2D21" w14:textId="77777777" w:rsidR="00FE22FF" w:rsidRDefault="00FE22FF" w:rsidP="00FE22FF">
                        <w:pPr>
                          <w:pStyle w:val="ListParagraph"/>
                          <w:numPr>
                            <w:ilvl w:val="1"/>
                            <w:numId w:val="10"/>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Pipeline Results</w:t>
                        </w:r>
                      </w:p>
                      <w:p w14:paraId="27991013" w14:textId="77777777" w:rsidR="00FE22FF" w:rsidRDefault="00FE22FF" w:rsidP="00FE22FF">
                        <w:pPr>
                          <w:pStyle w:val="ListParagraph"/>
                          <w:numPr>
                            <w:ilvl w:val="1"/>
                            <w:numId w:val="10"/>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Descriptive Statistics for Data Subset</w:t>
                        </w:r>
                      </w:p>
                      <w:p w14:paraId="360A6E83" w14:textId="77777777" w:rsidR="00FE22FF" w:rsidRDefault="00FE22FF" w:rsidP="00FE22FF">
                        <w:pPr>
                          <w:pStyle w:val="ListParagraph"/>
                          <w:numPr>
                            <w:ilvl w:val="1"/>
                            <w:numId w:val="10"/>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Implications for Model Selection</w:t>
                        </w:r>
                      </w:p>
                    </w:txbxContent>
                  </v:textbox>
                </v:shape>
                <v:shape id="Freeform 1262674272" o:spid="_x0000_s1031" style="position:absolute;left:41895;width:18376;height:7350;visibility:visible;mso-wrap-style:square;v-text-anchor:middle" coordsize="1837531,735012" o:spt="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" adj="-11796480,,5400" path="m,l1837531,r,735012l,735012,,xe" fillcolor="white [3201]" strokecolor="black [2560]" strokeweight="1.5pt">
                  <v:stroke joinstyle="miter"/>
                  <v:formulas/>
                  <v:path arrowok="t" o:connecttype="custom" o:connectlocs="0,0;1837531,0;1837531,735012;0,735012;0,0" o:connectangles="0,0,0,0,0" textboxrect="0,0,1837531,735012"/>
                  <v:textbox inset="6.72pt,3.84pt,6.72pt,3.84pt">
                    <w:txbxContent>
                      <w:p w14:paraId="7A19CB92" w14:textId="77777777" w:rsidR="00FE22FF" w:rsidRDefault="00FE22FF" w:rsidP="00FE22FF">
                        <w:pPr>
                          <w:spacing w:after="101"/>
                          <w:jc w:val="center"/>
                          <w:rPr>
                            <w:color w:val="000000" w:themeColor="dark1"/>
                            <w:kern w:val="24"/>
                            <w14:textFill>
                              <w14:solidFill>
                                <w14:schemeClr w14:val="dk1">
                                  <w14:satOff w14:val="0"/>
                                  <w14:lumOff w14:val="0"/>
                                </w14:schemeClr>
                              </w14:solidFill>
                            </w14:textFill>
                          </w:rPr>
                        </w:pPr>
                        <w:r>
                          <w:rPr>
                            <w:color w:val="000000" w:themeColor="dark1"/>
                            <w:kern w:val="24"/>
                            <w14:textFill>
                              <w14:solidFill>
                                <w14:schemeClr w14:val="dk1">
                                  <w14:satOff w14:val="0"/>
                                  <w14:lumOff w14:val="0"/>
                                </w14:schemeClr>
                              </w14:solidFill>
                            </w14:textFill>
                          </w:rPr>
                          <w:t>Model development and execution</w:t>
                        </w:r>
                      </w:p>
                    </w:txbxContent>
                  </v:textbox>
                </v:shape>
                <v:shape id="Freeform 1803851919" o:spid="_x0000_s1032" style="position:absolute;left:41895;top:7350;width:18376;height:28548;visibility:visible;mso-wrap-style:square;v-text-anchor:top" coordsize="1837531,2854800" o:spt="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" adj="-11796480,,5400" path="m,l1837531,r,2854800l,2854800,,xe" fillcolor="white [1297]" strokecolor="black [3200]" strokeweight="1.5pt">
                  <v:fill opacity="59110f"/>
                  <v:stroke opacity="59110f" joinstyle="miter"/>
                  <v:formulas/>
                  <v:path arrowok="t" o:connecttype="custom" o:connectlocs="0,0;1837531,0;1837531,2854800;0,2854800;0,0" o:connectangles="0,0,0,0,0" textboxrect="0,0,1837531,2854800"/>
                  <v:textbox inset="5.04pt,5.04pt,6.72pt,7.56pt">
                    <w:txbxContent>
                      <w:p w14:paraId="02A05831" w14:textId="77777777" w:rsidR="00FE22FF" w:rsidRDefault="00FE22FF" w:rsidP="00FE22FF">
                        <w:pPr>
                          <w:pStyle w:val="ListParagraph"/>
                          <w:numPr>
                            <w:ilvl w:val="1"/>
                            <w:numId w:val="11"/>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Feature Engineering</w:t>
                        </w:r>
                      </w:p>
                      <w:p w14:paraId="5C63F62A" w14:textId="77777777" w:rsidR="00FE22FF" w:rsidRDefault="00FE22FF" w:rsidP="00FE22FF">
                        <w:pPr>
                          <w:pStyle w:val="ListParagraph"/>
                          <w:numPr>
                            <w:ilvl w:val="1"/>
                            <w:numId w:val="11"/>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Model Training</w:t>
                        </w:r>
                      </w:p>
                      <w:p w14:paraId="01E7831A" w14:textId="77777777" w:rsidR="00FE22FF" w:rsidRDefault="00FE22FF" w:rsidP="00FE22FF">
                        <w:pPr>
                          <w:pStyle w:val="ListParagraph"/>
                          <w:numPr>
                            <w:ilvl w:val="1"/>
                            <w:numId w:val="11"/>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Model Testing</w:t>
                        </w:r>
                      </w:p>
                      <w:p w14:paraId="299D3EC2" w14:textId="77777777" w:rsidR="00FE22FF" w:rsidRDefault="00FE22FF" w:rsidP="00FE22FF">
                        <w:pPr>
                          <w:pStyle w:val="ListParagraph"/>
                          <w:numPr>
                            <w:ilvl w:val="1"/>
                            <w:numId w:val="11"/>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Implications for Results Interpretation</w:t>
                        </w:r>
                      </w:p>
                    </w:txbxContent>
                  </v:textbox>
                </v:shape>
                <v:shape id="Freeform 1641276436" o:spid="_x0000_s1033" style="position:absolute;left:62843;width:18375;height:7350;visibility:visible;mso-wrap-style:square;v-text-anchor:middle" coordsize="1837531,735012" o:spt="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" adj="-11796480,,5400" path="m,l1837531,r,735012l,735012,,xe" fillcolor="white [3201]" strokecolor="black [2560]" strokeweight="1.5pt">
                  <v:stroke joinstyle="miter"/>
                  <v:formulas/>
                  <v:path arrowok="t" o:connecttype="custom" o:connectlocs="0,0;1837531,0;1837531,735012;0,735012;0,0" o:connectangles="0,0,0,0,0" textboxrect="0,0,1837531,735012"/>
                  <v:textbox inset="6.72pt,3.84pt,6.72pt,3.84pt">
                    <w:txbxContent>
                      <w:p w14:paraId="362A6687" w14:textId="77777777" w:rsidR="00FE22FF" w:rsidRDefault="00FE22FF" w:rsidP="00FE22FF">
                        <w:pPr>
                          <w:spacing w:after="101"/>
                          <w:jc w:val="center"/>
                          <w:rPr>
                            <w:color w:val="000000" w:themeColor="dark1"/>
                            <w:kern w:val="24"/>
                            <w14:textFill>
                              <w14:solidFill>
                                <w14:schemeClr w14:val="dk1">
                                  <w14:satOff w14:val="0"/>
                                  <w14:lumOff w14:val="0"/>
                                </w14:schemeClr>
                              </w14:solidFill>
                            </w14:textFill>
                          </w:rPr>
                        </w:pPr>
                        <w:r>
                          <w:rPr>
                            <w:color w:val="000000" w:themeColor="dark1"/>
                            <w:kern w:val="24"/>
                            <w14:textFill>
                              <w14:solidFill>
                                <w14:schemeClr w14:val="dk1">
                                  <w14:satOff w14:val="0"/>
                                  <w14:lumOff w14:val="0"/>
                                </w14:schemeClr>
                              </w14:solidFill>
                            </w14:textFill>
                          </w:rPr>
                          <w:t>Model Results and Evaluation</w:t>
                        </w:r>
                      </w:p>
                    </w:txbxContent>
                  </v:textbox>
                </v:shape>
                <v:shape id="Freeform 757736189" o:spid="_x0000_s1034" style="position:absolute;left:62843;top:7350;width:18375;height:28548;visibility:visible;mso-wrap-style:square;v-text-anchor:top" coordsize="1837531,2854800" o:spt="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" adj="-11796480,,5400" path="m,l1837531,r,2854800l,2854800,,xe" fillcolor="white [1297]" strokecolor="black [3200]" strokeweight="1.5pt">
                  <v:fill opacity="59110f"/>
                  <v:stroke opacity="59110f" joinstyle="miter"/>
                  <v:formulas/>
                  <v:path arrowok="t" o:connecttype="custom" o:connectlocs="0,0;1837531,0;1837531,2854800;0,2854800;0,0" o:connectangles="0,0,0,0,0" textboxrect="0,0,1837531,2854800"/>
                  <v:textbox inset="5.04pt,5.04pt,6.72pt,7.56pt">
                    <w:txbxContent>
                      <w:p w14:paraId="4A47F1DD" w14:textId="77777777" w:rsidR="00FE22FF" w:rsidRDefault="00FE22FF" w:rsidP="00FE22FF">
                        <w:pPr>
                          <w:pStyle w:val="ListParagraph"/>
                          <w:numPr>
                            <w:ilvl w:val="1"/>
                            <w:numId w:val="12"/>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Model Results</w:t>
                        </w:r>
                      </w:p>
                      <w:p w14:paraId="45169037" w14:textId="77777777" w:rsidR="00FE22FF" w:rsidRDefault="00FE22FF" w:rsidP="00FE22FF">
                        <w:pPr>
                          <w:pStyle w:val="ListParagraph"/>
                          <w:numPr>
                            <w:ilvl w:val="1"/>
                            <w:numId w:val="12"/>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General Model Performance</w:t>
                        </w:r>
                      </w:p>
                      <w:p w14:paraId="0DA75B29" w14:textId="77777777" w:rsidR="00FE22FF" w:rsidRDefault="00FE22FF" w:rsidP="00FE22FF">
                        <w:pPr>
                          <w:pStyle w:val="ListParagraph"/>
                          <w:numPr>
                            <w:ilvl w:val="1"/>
                            <w:numId w:val="12"/>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Hypothesis Testing</w:t>
                        </w:r>
                      </w:p>
                      <w:p w14:paraId="6860EAD1" w14:textId="77777777" w:rsidR="00FE22FF" w:rsidRDefault="00FE22FF" w:rsidP="00FE22FF">
                        <w:pPr>
                          <w:pStyle w:val="ListParagraph"/>
                          <w:numPr>
                            <w:ilvl w:val="1"/>
                            <w:numId w:val="12"/>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Real-World Application</w:t>
                        </w:r>
                      </w:p>
                    </w:txbxContent>
                  </v:textbox>
                </v:shape>
              </v:group>
            </w:pict>
          </mc:Fallback>
        </mc:AlternateContent>
      </w:r>
      <w:r w:rsidRPr="00895BAC">
        <w:t>Figure 4.1</w:t>
      </w:r>
    </w:p>
    <w:p w14:paraId="4C705527" w14:textId="77777777" w:rsidR="00FE22FF" w:rsidRPr="00895BAC" w:rsidRDefault="00FE22FF" w:rsidP="00895BAC">
      <w:pPr>
        <w:pStyle w:val="Heading2"/>
      </w:pPr>
      <w:r w:rsidRPr="00895BAC">
        <w:t>Initial Exploratory Data Analysis</w:t>
      </w:r>
      <w:bookmarkEnd w:id="2"/>
      <w:bookmarkEnd w:id="3"/>
    </w:p>
    <w:p w14:paraId="0C7F9C87" w14:textId="77777777" w:rsidR="00FE22FF" w:rsidRPr="00895BAC" w:rsidRDefault="00FE22FF" w:rsidP="00895BAC">
      <w:pPr>
        <w:pStyle w:val="Heading3"/>
      </w:pPr>
      <w:bookmarkStart w:id="4" w:name="_Toc242174146"/>
      <w:bookmarkStart w:id="5" w:name="_Toc242174798"/>
      <w:r w:rsidRPr="00895BAC">
        <w:t>Descriptive Statistics</w:t>
      </w:r>
      <w:bookmarkEnd w:id="4"/>
      <w:bookmarkEnd w:id="5"/>
    </w:p>
    <w:p w14:paraId="16A494FA" w14:textId="09DA0BB5" w:rsidR="00FE22FF" w:rsidRPr="00895BAC" w:rsidRDefault="00FE22FF" w:rsidP="00895BAC">
      <w:pPr>
        <w:ind w:firstLine="360"/>
        <w:contextualSpacing/>
        <w:rPr>
          <w:b/>
          <w:bCs/>
        </w:rPr>
      </w:pPr>
      <w:r w:rsidRPr="00895BAC">
        <w:t xml:space="preserve">To construct an </w:t>
      </w:r>
      <w:r w:rsidR="00E67902" w:rsidRPr="00895BAC">
        <w:t xml:space="preserve">empirically rigorous predictive modeling architecture that eliminates temporal and feature lookahead leakage </w:t>
      </w:r>
      <w:r w:rsidRPr="00895BAC">
        <w:t xml:space="preserve">for airport passenger security screening demand, this study synthesized multi-source operational records covering the continuous seven-year period </w:t>
      </w:r>
      <w:r w:rsidRPr="00895BAC">
        <w:lastRenderedPageBreak/>
        <w:t xml:space="preserve">from January 1, 2019 to December 31, 2025. The initial upstream repository captured 67.22 million raw </w:t>
      </w:r>
      <w:r w:rsidR="002F6BA1" w:rsidRPr="00895BAC">
        <w:t>operational transaction records a</w:t>
      </w:r>
      <w:r w:rsidRPr="00895BAC">
        <w:t xml:space="preserve">cross TSA checkpoint logs, Bureau of Transportation Statistics (BTS) On-Time Performance (OTP), BTS Form 41 Schedule T-100 Segment data, and BTS DB1B/DB1C ticket coupon surveys </w:t>
      </w:r>
      <w:r w:rsidRPr="0014663D">
        <w:rPr>
          <w:highlight w:val="yellow"/>
        </w:rPr>
        <w:t>(Appendix for details)</w:t>
      </w:r>
      <w:r w:rsidRPr="00895BAC">
        <w:t>.</w:t>
      </w:r>
    </w:p>
    <w:p w14:paraId="42F3FB8F" w14:textId="7ACC4030" w:rsidR="00FE22FF" w:rsidRPr="00895BAC" w:rsidRDefault="00FE22FF" w:rsidP="00B33A48">
      <w:pPr>
        <w:ind w:firstLine="720"/>
        <w:contextualSpacing/>
      </w:pPr>
      <w:r w:rsidRPr="00895BAC">
        <w:t xml:space="preserve">Following conformed extraction, automated entity resolution, data cleaning, and </w:t>
      </w:r>
      <w:r w:rsidR="00243745" w:rsidRPr="00895BAC">
        <w:t>relational synthesis across standardized operational dimensions (</w:t>
      </w:r>
      <w:r w:rsidR="00243745" w:rsidRPr="001676E7">
        <w:rPr>
          <w:i/>
          <w:iCs/>
        </w:rPr>
        <w:t xml:space="preserve">calendar date, departure time block, </w:t>
      </w:r>
      <w:r w:rsidR="00610F23" w:rsidRPr="001676E7">
        <w:rPr>
          <w:i/>
          <w:iCs/>
        </w:rPr>
        <w:t>airport</w:t>
      </w:r>
      <w:r w:rsidR="00243745" w:rsidRPr="001676E7">
        <w:rPr>
          <w:i/>
          <w:iCs/>
        </w:rPr>
        <w:t>, operating carrier, fleet aircraft type,</w:t>
      </w:r>
      <w:r w:rsidR="00243745" w:rsidRPr="001676E7">
        <w:t xml:space="preserve"> and</w:t>
      </w:r>
      <w:r w:rsidR="00243745" w:rsidRPr="001676E7">
        <w:rPr>
          <w:i/>
          <w:iCs/>
        </w:rPr>
        <w:t xml:space="preserve"> dedicated screening complex</w:t>
      </w:r>
      <w:r w:rsidR="00243745" w:rsidRPr="00895BAC">
        <w:t xml:space="preserve">), </w:t>
      </w:r>
      <w:r w:rsidRPr="00895BAC">
        <w:t xml:space="preserve">the nationwide post-ETL analytical warehouse retains 42,062,039 conformed records across the candidate network of the Top 25 U.S. commercial </w:t>
      </w:r>
      <w:r w:rsidR="00610F23">
        <w:t>airport</w:t>
      </w:r>
      <w:r w:rsidRPr="00895BAC">
        <w:t>s. Table 4.1 documents the post-ETL data foundation census across all four federal data sources.</w:t>
      </w:r>
      <w:r w:rsidR="00B33A48">
        <w:t xml:space="preserve"> </w:t>
      </w:r>
      <w:r w:rsidR="00B33A48" w:rsidRPr="00895BAC">
        <w:t>Table 4.2 presents the master post-ETL descriptive summary statistics for all primary operational variables across the nationwide Top 25 data repository.</w:t>
      </w:r>
    </w:p>
    <w:p w14:paraId="25067464" w14:textId="34293066" w:rsidR="00FE22FF" w:rsidRPr="00895BAC" w:rsidRDefault="00FE22FF" w:rsidP="00895BAC">
      <w:pPr>
        <w:contextualSpacing/>
        <w:rPr>
          <w:i/>
          <w:iCs/>
          <w:color w:val="000000" w:themeColor="text1"/>
        </w:rPr>
      </w:pPr>
      <w:r w:rsidRPr="00895BAC">
        <w:rPr>
          <w:b/>
          <w:bCs/>
        </w:rPr>
        <w:t>Table 4.1</w:t>
      </w:r>
      <w:r w:rsidRPr="00895BAC">
        <w:br/>
      </w:r>
      <w:r w:rsidRPr="00895BAC">
        <w:rPr>
          <w:rStyle w:val="SubtitleChar"/>
        </w:rPr>
        <w:t>Master Post-ETL Multi-Source Data Foundation Census</w:t>
      </w:r>
      <w:r w:rsidRPr="00895BAC">
        <w:rPr>
          <w:rStyle w:val="SubtitleChar"/>
          <w:i w:val="0"/>
          <w:iCs w:val="0"/>
        </w:rPr>
        <w:t xml:space="preserve"> </w:t>
      </w:r>
    </w:p>
    <w:p w14:paraId="03ABF932" w14:textId="77777777" w:rsidR="00FE22FF" w:rsidRPr="00895BAC" w:rsidRDefault="00FE22FF" w:rsidP="00895BAC">
      <w:pPr>
        <w:contextualSpacing/>
      </w:pPr>
      <w:r w:rsidRPr="00895BAC">
        <w:rPr>
          <w:noProof/>
        </w:rPr>
        <w:drawing>
          <wp:inline distT="0" distB="0" distL="0" distR="0" wp14:anchorId="7E366754" wp14:editId="0826EF4A">
            <wp:extent cx="5943600" cy="1041992"/>
            <wp:effectExtent l="0" t="0" r="0" b="0"/>
            <wp:docPr id="9594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4577" name=""/>
                    <pic:cNvPicPr/>
                  </pic:nvPicPr>
                  <pic:blipFill>
                    <a:blip r:embed="rId7"/>
                    <a:stretch>
                      <a:fillRect/>
                    </a:stretch>
                  </pic:blipFill>
                  <pic:spPr>
                    <a:xfrm>
                      <a:off x="0" y="0"/>
                      <a:ext cx="5943600" cy="1041992"/>
                    </a:xfrm>
                    <a:prstGeom prst="rect">
                      <a:avLst/>
                    </a:prstGeom>
                  </pic:spPr>
                </pic:pic>
              </a:graphicData>
            </a:graphic>
          </wp:inline>
        </w:drawing>
      </w:r>
    </w:p>
    <w:p w14:paraId="130F570F" w14:textId="77777777" w:rsidR="00FE22FF" w:rsidRPr="00895BAC" w:rsidRDefault="00FE22FF" w:rsidP="00895BAC">
      <w:pPr>
        <w:contextualSpacing/>
      </w:pPr>
      <w:r w:rsidRPr="00895BAC">
        <w:rPr>
          <w:b/>
          <w:bCs/>
        </w:rPr>
        <w:t>Table 4.2</w:t>
      </w:r>
      <w:r w:rsidRPr="00895BAC">
        <w:br/>
      </w:r>
      <w:r w:rsidRPr="00895BAC">
        <w:rPr>
          <w:i/>
          <w:iCs/>
        </w:rPr>
        <w:t>Post-ETL Master Summary Descriptive Statistics (Top 25 Cleaned Data Warehouse)</w:t>
      </w:r>
    </w:p>
    <w:p w14:paraId="4E8BA3CE" w14:textId="77777777" w:rsidR="00FE22FF" w:rsidRDefault="00FE22FF" w:rsidP="00895BAC">
      <w:pPr>
        <w:contextualSpacing/>
        <w:jc w:val="center"/>
      </w:pPr>
      <w:r w:rsidRPr="00895BAC">
        <w:rPr>
          <w:noProof/>
        </w:rPr>
        <w:lastRenderedPageBreak/>
        <w:drawing>
          <wp:inline distT="0" distB="0" distL="0" distR="0" wp14:anchorId="58B6A167" wp14:editId="715ADD1C">
            <wp:extent cx="4566834" cy="1981200"/>
            <wp:effectExtent l="0" t="0" r="5715" b="0"/>
            <wp:docPr id="1275079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079635" name=""/>
                    <pic:cNvPicPr/>
                  </pic:nvPicPr>
                  <pic:blipFill>
                    <a:blip r:embed="rId8"/>
                    <a:stretch>
                      <a:fillRect/>
                    </a:stretch>
                  </pic:blipFill>
                  <pic:spPr>
                    <a:xfrm>
                      <a:off x="0" y="0"/>
                      <a:ext cx="4578847" cy="1986412"/>
                    </a:xfrm>
                    <a:prstGeom prst="rect">
                      <a:avLst/>
                    </a:prstGeom>
                  </pic:spPr>
                </pic:pic>
              </a:graphicData>
            </a:graphic>
          </wp:inline>
        </w:drawing>
      </w:r>
    </w:p>
    <w:p w14:paraId="5E17E901" w14:textId="196725F0" w:rsidR="00FE22FF" w:rsidRPr="00895BAC" w:rsidRDefault="009E1C8A" w:rsidP="00310F3F">
      <w:pPr>
        <w:contextualSpacing/>
      </w:pPr>
      <w:r>
        <w:t xml:space="preserve">See </w:t>
      </w:r>
      <w:r w:rsidR="00310F3F">
        <w:t xml:space="preserve">Appendix for a discussion of </w:t>
      </w:r>
      <w:r w:rsidR="00AA540D">
        <w:t>descriptive statistics for post ETL Data</w:t>
      </w:r>
    </w:p>
    <w:p w14:paraId="5652BD07" w14:textId="77777777" w:rsidR="00FE22FF" w:rsidRPr="00895BAC" w:rsidRDefault="00FE22FF" w:rsidP="00895BAC">
      <w:pPr>
        <w:pStyle w:val="Heading3"/>
      </w:pPr>
      <w:bookmarkStart w:id="6" w:name="_Toc242174147"/>
      <w:bookmarkStart w:id="7" w:name="_Toc242174799"/>
      <w:r w:rsidRPr="00895BAC">
        <w:t>Temporal Boundaries</w:t>
      </w:r>
      <w:bookmarkEnd w:id="6"/>
      <w:bookmarkEnd w:id="7"/>
    </w:p>
    <w:p w14:paraId="3F2AA470" w14:textId="77777777" w:rsidR="00FE22FF" w:rsidRPr="00895BAC" w:rsidRDefault="00FE22FF" w:rsidP="00895BAC">
      <w:pPr>
        <w:ind w:firstLine="720"/>
        <w:contextualSpacing/>
        <w:rPr>
          <w:b/>
          <w:bCs/>
        </w:rPr>
      </w:pPr>
      <w:r w:rsidRPr="00895BAC">
        <w:t>A core methodological requirement of this thesis is that defining temporal boundaries (specifically post-COVID recovery regimes) must be performed on the broad Top 25 airport dataset. Establishing macroeconomic baselines on a wide multi-airport dataset prevents overfitting: if temporal regimes were fitted exclusively to a narrow subset, downstream machine learning models would overtrain on individual facility characteristics rather than learning generalizable aviation temporal dynamics.</w:t>
      </w:r>
    </w:p>
    <w:p w14:paraId="65903264" w14:textId="62D31B31" w:rsidR="00FE22FF" w:rsidRPr="00895BAC" w:rsidRDefault="00FE22FF" w:rsidP="00895BAC">
      <w:pPr>
        <w:ind w:firstLine="360"/>
        <w:contextualSpacing/>
      </w:pPr>
      <w:bookmarkStart w:id="8" w:name="_Toc242174148"/>
      <w:bookmarkStart w:id="9" w:name="_Toc242174800"/>
      <w:r w:rsidRPr="00895BAC">
        <w:rPr>
          <w:b/>
          <w:bCs/>
        </w:rPr>
        <w:t>Post-Pandemic Regime Selection and Structural Break Analysis</w:t>
      </w:r>
      <w:bookmarkEnd w:id="8"/>
      <w:bookmarkEnd w:id="9"/>
      <w:r w:rsidRPr="00895BAC">
        <w:rPr>
          <w:b/>
          <w:bCs/>
        </w:rPr>
        <w:t xml:space="preserve">. </w:t>
      </w:r>
      <w:r w:rsidR="00A30342" w:rsidRPr="00895BAC">
        <w:t xml:space="preserve">Structural break analysis – combining rolling Welch’s </w:t>
      </w:r>
      <m:oMath>
        <m:r>
          <w:rPr>
            <w:rFonts w:ascii="Cambria Math" w:hAnsi="Cambria Math"/>
          </w:rPr>
          <m:t>t</m:t>
        </m:r>
      </m:oMath>
      <w:r w:rsidR="00A30342" w:rsidRPr="00895BAC">
        <w:t xml:space="preserve">-tests and Cumulative Sum (CUSUM) trajectory tracking across the Top 25 </w:t>
      </w:r>
      <w:r w:rsidR="00610F23">
        <w:t>airport</w:t>
      </w:r>
      <w:r w:rsidR="00A30342" w:rsidRPr="00895BAC">
        <w:t>s – confirmed May 1, 2022, as the structural equilibrium demarcation point for predictive model development. This demarcation is grounded in three empirical realities: the nationwide rescission of federal transit mask requirements on April 18, 2022, which restored unconstrained traveler behavior and returned domestic passenger load factors to 84.7%; the stabilization of commercial coupling between scheduled flights and screening demand from an artificial pandemic high (</w:t>
      </w:r>
      <m:oMath>
        <m:r>
          <w:rPr>
            <w:rFonts w:ascii="Cambria Math" w:hAnsi="Cambria Math"/>
          </w:rPr>
          <m:t>r=0.607,</m:t>
        </m:r>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=36.85%</m:t>
        </m:r>
      </m:oMath>
      <w:r w:rsidR="00A30342" w:rsidRPr="00895BAC">
        <w:t>) down to normalized post-recovery equilibrium (</w:t>
      </w:r>
      <m:oMath>
        <m:r>
          <w:rPr>
            <w:rFonts w:ascii="Cambria Math" w:hAnsi="Cambria Math"/>
          </w:rPr>
          <m:t>r=0.553,</m:t>
        </m:r>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=30.61%</m:t>
        </m:r>
      </m:oMath>
      <w:r w:rsidR="00A30342" w:rsidRPr="00895BAC">
        <w:t xml:space="preserve">); and the establishment of a clean 32-month development </w:t>
      </w:r>
      <w:r w:rsidR="00A30342" w:rsidRPr="00895BAC">
        <w:lastRenderedPageBreak/>
        <w:t>baseline. This development window was partitioned into a 20-month training window (May 1, 2022 – December 31, 2023), a 12-month validation window (January 1, 2024 – December 31, 2024), and an untouched 12-month out-of-time holdout test set (January 1, 2025 – December 31, 2025), separated by a 7-day operational purge buffer to prevent multi-day delay cascades from leaking across partition boundaries.</w:t>
      </w:r>
      <w:r w:rsidR="00A30342" w:rsidRPr="00895BAC">
        <w:rPr>
          <w:b/>
          <w:bCs/>
        </w:rPr>
        <w:t xml:space="preserve"> </w:t>
      </w:r>
    </w:p>
    <w:p w14:paraId="67EA1B70" w14:textId="77777777" w:rsidR="00FE22FF" w:rsidRPr="00895BAC" w:rsidRDefault="00FE22FF" w:rsidP="00895BAC">
      <w:pPr>
        <w:pStyle w:val="Heading3"/>
      </w:pPr>
      <w:bookmarkStart w:id="10" w:name="_Toc242174149"/>
      <w:bookmarkStart w:id="11" w:name="_Toc242174801"/>
      <w:r w:rsidRPr="00895BAC">
        <w:t>Defining Seasonality</w:t>
      </w:r>
      <w:bookmarkEnd w:id="10"/>
      <w:bookmarkEnd w:id="11"/>
    </w:p>
    <w:p w14:paraId="1B2B9439" w14:textId="23A5270A" w:rsidR="00FE22FF" w:rsidRPr="00895BAC" w:rsidRDefault="00FE22FF" w:rsidP="00895BAC">
      <w:pPr>
        <w:ind w:firstLine="720"/>
        <w:contextualSpacing/>
        <w:rPr>
          <w:b/>
          <w:bCs/>
        </w:rPr>
      </w:pPr>
      <w:r w:rsidRPr="00895BAC">
        <w:t>Just as temporal boundaries must be established on the complete Top 25 network, defining seasonality requires capturing the full variance of nationwide commercial aviation. Aviation seasonality operates along three coupled dimensions: annual seasonal volatility regimes, day-of-week demand archetypes, and non-consecutive turbulence peaks.</w:t>
      </w:r>
      <w:r w:rsidR="00947D65">
        <w:t xml:space="preserve"> See appendix for </w:t>
      </w:r>
      <w:r w:rsidR="003C5D05">
        <w:t xml:space="preserve">Seasonality Dimensions detail. It is important to define these for models to </w:t>
      </w:r>
      <w:r w:rsidR="00A1695E">
        <w:t>consider</w:t>
      </w:r>
      <w:r w:rsidR="003C5D05">
        <w:t xml:space="preserve"> so like for like is being compared. </w:t>
      </w:r>
    </w:p>
    <w:p w14:paraId="4FA6C4BE" w14:textId="54FA419D" w:rsidR="00FE22FF" w:rsidRPr="00895BAC" w:rsidRDefault="00FE22FF" w:rsidP="00895BAC">
      <w:pPr>
        <w:contextualSpacing/>
        <w:rPr>
          <w:b/>
          <w:bCs/>
          <w:i/>
          <w:iCs/>
        </w:rPr>
      </w:pPr>
      <w:bookmarkStart w:id="12" w:name="_Toc242174150"/>
      <w:bookmarkStart w:id="13" w:name="_Toc242174802"/>
      <w:r w:rsidRPr="00895BAC">
        <w:rPr>
          <w:b/>
          <w:bCs/>
          <w:i/>
          <w:iCs/>
        </w:rPr>
        <w:t>TSA and OTP Throughput Data</w:t>
      </w:r>
      <w:bookmarkEnd w:id="12"/>
      <w:bookmarkEnd w:id="13"/>
    </w:p>
    <w:p w14:paraId="4BD685D0" w14:textId="0919FDA0" w:rsidR="00FE22FF" w:rsidRPr="00895BAC" w:rsidRDefault="00FE22FF" w:rsidP="00895BAC">
      <w:pPr>
        <w:ind w:firstLine="720"/>
        <w:contextualSpacing/>
      </w:pPr>
      <w:r w:rsidRPr="00895BAC">
        <w:t xml:space="preserve">Evaluating the statistical relationships between TSA checkpoint throughput and Bureau of Transportation Statistics On-Time Performance data across all Top 25 </w:t>
      </w:r>
      <w:r w:rsidR="00610F23">
        <w:t>airport</w:t>
      </w:r>
      <w:r w:rsidRPr="00895BAC">
        <w:t xml:space="preserve">s reveals fundamental econometric dynamics. </w:t>
      </w:r>
      <w:r w:rsidR="00517FE5" w:rsidRPr="00895BAC">
        <w:t xml:space="preserve">Refer to the appendix which </w:t>
      </w:r>
      <w:r w:rsidRPr="00895BAC">
        <w:t>synthesizes the master cross-dataset econometric correlations. This analysis provided distinct empirical insights:</w:t>
      </w:r>
    </w:p>
    <w:p w14:paraId="7FD85FC4" w14:textId="0C9F3B1C" w:rsidR="00FE22FF" w:rsidRPr="00895BAC" w:rsidRDefault="00FE22FF" w:rsidP="00895BAC">
      <w:pPr>
        <w:ind w:firstLine="360"/>
        <w:contextualSpacing/>
      </w:pPr>
      <w:r w:rsidRPr="00895BAC">
        <w:rPr>
          <w:b/>
          <w:bCs/>
        </w:rPr>
        <w:t>The Hub Disconnect</w:t>
      </w:r>
      <w:r w:rsidRPr="00895BAC">
        <w:t>. Raw scheduled flight departures explain only 20.90%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Pr="00895BAC">
        <w:t>) of TSA security checkpoint passenger throughput across the Top 25 network (</w:t>
      </w:r>
      <m:oMath>
        <m:r>
          <w:rPr>
            <w:rFonts w:ascii="Cambria Math" w:hAnsi="Cambria Math"/>
          </w:rPr>
          <m:t>r=0.4572,p&lt;0.05</m:t>
        </m:r>
      </m:oMath>
      <w:r w:rsidRPr="00895BAC">
        <w:t xml:space="preserve">). However, when departing seats are deflated using BTS </w:t>
      </w:r>
      <w:r w:rsidRPr="00C72409">
        <w:t>DB1B connecting ratios to isolate true local originating passengers, explained variance jumps to 44.94% (</w:t>
      </w:r>
      <m:oMath>
        <m:r>
          <w:rPr>
            <w:rFonts w:ascii="Cambria Math" w:hAnsi="Cambria Math"/>
          </w:rPr>
          <m:t>r=0.6704,p&lt;0.001</m:t>
        </m:r>
      </m:oMath>
      <w:r w:rsidRPr="00895BAC">
        <w:t xml:space="preserve">), an increase of +115%. </w:t>
      </w:r>
      <w:r w:rsidR="00BF4FCE">
        <w:t>For instance,</w:t>
      </w:r>
      <w:r w:rsidRPr="00895BAC">
        <w:t xml:space="preserve"> major connecting hubs such as Charlotte (CLT) and Atlanta (ATL), up to 70% to 76% of passengers transfer between gates airside without entering landside </w:t>
      </w:r>
      <w:r w:rsidRPr="00895BAC">
        <w:lastRenderedPageBreak/>
        <w:t>security queues. Failing to account for connecting ratios creates a 2.5-fold distortion in checkpoint demand modeling.</w:t>
      </w:r>
    </w:p>
    <w:p w14:paraId="2ADECEED" w14:textId="3FCAF88A" w:rsidR="00FE22FF" w:rsidRPr="00895BAC" w:rsidRDefault="00FE22FF" w:rsidP="00895BAC">
      <w:pPr>
        <w:ind w:firstLine="360"/>
        <w:contextualSpacing/>
      </w:pPr>
      <w:commentRangeStart w:id="14"/>
      <w:r w:rsidRPr="00895BAC">
        <w:rPr>
          <w:b/>
          <w:bCs/>
        </w:rPr>
        <w:t>Coupled Volatility and Asynchronous Lag Dynamics</w:t>
      </w:r>
      <w:commentRangeEnd w:id="14"/>
      <w:r w:rsidR="00704D85" w:rsidRPr="00895BAC">
        <w:rPr>
          <w:rStyle w:val="CommentReference"/>
          <w:sz w:val="24"/>
          <w:szCs w:val="24"/>
        </w:rPr>
        <w:commentReference w:id="14"/>
      </w:r>
      <w:r w:rsidRPr="00895BAC">
        <w:t>. While raw delay rates show weak same-hour linear correlation with passenger volumes (</w:t>
      </w:r>
      <m:oMath>
        <m:r>
          <w:rPr>
            <w:rFonts w:ascii="Cambria Math" w:hAnsi="Cambria Math"/>
          </w:rPr>
          <m:t>r=0.2019,</m:t>
        </m:r>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=4.08%</m:t>
        </m:r>
      </m:oMath>
      <w:r w:rsidRPr="00895BAC">
        <w:t>), volatility measures exhibit strong coupling. Hourly checkpoint arrival volatility (</w:t>
      </w:r>
      <m:oMath>
        <m:r>
          <w:rPr>
            <w:rFonts w:ascii="Cambria Math" w:hAnsi="Cambria Math"/>
          </w:rPr>
          <m:t>C</m:t>
        </m:r>
        <m:sSub>
          <m:sSubPr>
            <m:ctrlPr>
              <w:rPr>
                <w:rFonts w:ascii="Cambria Math" w:hAnsi="Cambria Math"/>
              </w:rPr>
            </m:ctrlPr>
          </m:sSubPr>
          <m:e>
            <m:r>
              <w:rPr>
                <w:rFonts w:ascii="Cambria Math" w:hAnsi="Cambria Math"/>
              </w:rPr>
              <m:t>V</m:t>
            </m:r>
          </m:e>
          <m:sub>
            <m:r>
              <m:rPr>
                <m:nor/>
              </m:rPr>
              <m:t>TSA</m:t>
            </m:r>
          </m:sub>
        </m:sSub>
      </m:oMath>
      <w:r w:rsidRPr="00895BAC">
        <w:t>) is significantly coupled with flight departure delay volatility (</w:t>
      </w:r>
      <m:oMath>
        <m:r>
          <w:rPr>
            <w:rFonts w:ascii="Cambria Math" w:hAnsi="Cambria Math"/>
          </w:rPr>
          <m:t>r=0.4375,</m:t>
        </m:r>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=19.14%,p&lt;0.05</m:t>
        </m:r>
      </m:oMath>
      <w:r w:rsidRPr="00895BAC">
        <w:t>).</w:t>
      </w:r>
      <w:r w:rsidR="00E749E0">
        <w:t xml:space="preserve"> </w:t>
      </w:r>
      <w:r w:rsidRPr="00895BAC">
        <w:t>Furthermore, weekly cyclical aggregation demonstrates that passenger demand volume tracks tightly with weekly flight departure delay variance (</w:t>
      </w:r>
      <m:oMath>
        <m:r>
          <w:rPr>
            <w:rFonts w:ascii="Cambria Math" w:hAnsi="Cambria Math"/>
          </w:rPr>
          <m:t>r=0.9022,</m:t>
        </m:r>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=81.40%,p&lt;0.01</m:t>
        </m:r>
      </m:oMath>
      <w:r w:rsidRPr="00895BAC">
        <w:t>), reflecting synchronized macro peak seasonal demand across the network rather than landside queues causing airside pushback delays.</w:t>
      </w:r>
    </w:p>
    <w:p w14:paraId="40B52327" w14:textId="77777777" w:rsidR="00FE22FF" w:rsidRPr="00895BAC" w:rsidRDefault="00FE22FF" w:rsidP="00895BAC">
      <w:pPr>
        <w:pStyle w:val="Heading2"/>
        <w:rPr>
          <w:i/>
          <w:iCs/>
        </w:rPr>
      </w:pPr>
      <w:r w:rsidRPr="00895BAC">
        <w:rPr>
          <w:i/>
          <w:iCs/>
        </w:rPr>
        <w:t>Implications for Subset</w:t>
      </w:r>
    </w:p>
    <w:p w14:paraId="5009C015" w14:textId="4C08EB89" w:rsidR="00626B04" w:rsidRDefault="00626B04" w:rsidP="00895BAC">
      <w:pPr>
        <w:ind w:firstLine="360"/>
        <w:contextualSpacing/>
      </w:pPr>
      <w:r>
        <w:t xml:space="preserve">Establishing temporal boundaries (the May 1, 2022 post-mask demarcation) and seasonal dynamics across the full Top 25 network ensures that baseline operational patterns reflect macroeconomic aviation behavior rather than idiosyncratic facility quirks. To maintain strict methodological integrity and prevent predictive </w:t>
      </w:r>
      <w:r w:rsidR="00512790">
        <w:t>errors</w:t>
      </w:r>
      <w:r>
        <w:t xml:space="preserve">, these macro-level seasonal regimes and cross-dataset relationships </w:t>
      </w:r>
      <w:r w:rsidRPr="00AB16B8">
        <w:rPr>
          <w:u w:val="single"/>
        </w:rPr>
        <w:t>are not used as direct regression features</w:t>
      </w:r>
      <w:r>
        <w:t xml:space="preserve">. Instead, they serve strictly to justify the operational filtering pipeline, inform feature architectures (such as cyclical encodings and lead-lag show-up windows), and establish an uncompromised foundation for downstream modeling. </w:t>
      </w:r>
    </w:p>
    <w:p w14:paraId="00126CD5" w14:textId="4F5E3C50" w:rsidR="00FE22FF" w:rsidRPr="00895BAC" w:rsidRDefault="00626B04" w:rsidP="00895BAC">
      <w:pPr>
        <w:ind w:firstLine="360"/>
        <w:contextualSpacing/>
      </w:pPr>
      <w:r>
        <w:t xml:space="preserve">The exploratory analysis also reveals that commercial </w:t>
      </w:r>
      <w:r w:rsidR="00610F23">
        <w:t>airport</w:t>
      </w:r>
      <w:r>
        <w:t xml:space="preserve">s must initially be evaluated as whole facilities to verify operational scale and hub cluster </w:t>
      </w:r>
      <w:r w:rsidR="00CB3EC1">
        <w:t>diversity but</w:t>
      </w:r>
      <w:r>
        <w:t xml:space="preserve"> cannot be modeled at the aggregate airport level. In shared-terminal facilities, coordinated airline flight banks generate severe multi-carrier collinearity </w:t>
      </w:r>
      <w:r w:rsidR="00826173">
        <w:t xml:space="preserve">(see appendix for equation) </w:t>
      </w:r>
      <w:r>
        <w:t xml:space="preserve">making it mathematically impossible </w:t>
      </w:r>
      <w:r>
        <w:lastRenderedPageBreak/>
        <w:t>to separate individual airline passenger contributions and restricting explained checkpoint variance to only ~20%. Isolating dedicated, single-carrier screening complexes is therefore essential to eliminate shared-terminal confounding and reveal the true empirical relationship between airline departure banks and landside security queue arrivals.</w:t>
      </w:r>
    </w:p>
    <w:p w14:paraId="265E3639" w14:textId="77777777" w:rsidR="00FE22FF" w:rsidRPr="00895BAC" w:rsidRDefault="00FE22FF" w:rsidP="00895BAC">
      <w:pPr>
        <w:pStyle w:val="Heading2"/>
      </w:pPr>
      <w:bookmarkStart w:id="15" w:name="_Toc242174151"/>
      <w:bookmarkStart w:id="16" w:name="_Toc242174803"/>
      <w:r w:rsidRPr="00895BAC">
        <w:t>Data Filtering and Subset Selection</w:t>
      </w:r>
      <w:bookmarkEnd w:id="15"/>
      <w:bookmarkEnd w:id="16"/>
    </w:p>
    <w:p w14:paraId="0752F8CF" w14:textId="77777777" w:rsidR="00FE22FF" w:rsidRPr="00895BAC" w:rsidRDefault="00FE22FF" w:rsidP="00895BAC">
      <w:pPr>
        <w:pStyle w:val="Heading3"/>
      </w:pPr>
      <w:bookmarkStart w:id="17" w:name="_Toc242174152"/>
      <w:bookmarkStart w:id="18" w:name="_Toc242174804"/>
      <w:r w:rsidRPr="00895BAC">
        <w:t>Four-Phase Filtering Pipeline</w:t>
      </w:r>
      <w:bookmarkEnd w:id="17"/>
      <w:bookmarkEnd w:id="18"/>
    </w:p>
    <w:p w14:paraId="151FD759" w14:textId="77777777" w:rsidR="00FE22FF" w:rsidRPr="00895BAC" w:rsidRDefault="00FE22FF" w:rsidP="00895BAC">
      <w:pPr>
        <w:ind w:firstLine="720"/>
        <w:contextualSpacing/>
      </w:pPr>
      <w:r w:rsidRPr="00895BAC">
        <w:t>To eliminate confounding from multi-carrier passenger mixing, unconstrained regional flow, and airline-specific boarding differences, airports were screened through a four-phase purposive filtering pipeline. For each phase, the relationship between TSA throughput and OTP flight data was tracked, demonstrating how progressive filtering refines operational coupling.</w:t>
      </w:r>
    </w:p>
    <w:p w14:paraId="38EA400D" w14:textId="34255A32" w:rsidR="00FE22FF" w:rsidRPr="00895BAC" w:rsidRDefault="001759BF" w:rsidP="00895BAC">
      <w:pPr>
        <w:ind w:firstLine="360"/>
        <w:contextualSpacing/>
      </w:pPr>
      <w:r w:rsidRPr="00895BAC">
        <w:t xml:space="preserve">The four-phase purposive filtering pipeline systematically isolates single-carrier screening dynamics from confounding network interactions. In Phase 1 (Macro Filter), the national candidate pool of 450+ commercial </w:t>
      </w:r>
      <w:r w:rsidR="00610F23">
        <w:t>airport</w:t>
      </w:r>
      <w:r w:rsidRPr="00895BAC">
        <w:t xml:space="preserve">s was filtered down to the Top 25 </w:t>
      </w:r>
      <w:r w:rsidR="00610F23">
        <w:t>airport</w:t>
      </w:r>
      <w:r w:rsidRPr="00895BAC">
        <w:t>s, enforcing heavy queuing intensity (</w:t>
      </w:r>
      <m:oMath>
        <m:sSub>
          <m:sSubPr>
            <m:ctrlPr>
              <w:rPr>
                <w:rFonts w:ascii="Cambria Math" w:hAnsi="Cambria Math"/>
              </w:rPr>
            </m:ctrlPr>
          </m:sSubPr>
          <m:e>
            <m:r>
              <w:rPr>
                <w:rFonts w:ascii="Cambria Math" w:hAnsi="Cambria Math"/>
              </w:rPr>
              <m:t>ρ</m:t>
            </m:r>
          </m:e>
          <m:sub>
            <m:r>
              <w:rPr>
                <w:rFonts w:ascii="Cambria Math" w:hAnsi="Cambria Math"/>
              </w:rPr>
              <m:t>t</m:t>
            </m:r>
          </m:sub>
        </m:sSub>
        <m:r>
          <w:rPr>
            <w:rFonts w:ascii="Cambria Math" w:hAnsi="Cambria Math"/>
          </w:rPr>
          <m:t>→1.0</m:t>
        </m:r>
      </m:oMath>
      <w:r w:rsidRPr="00895BAC">
        <w:t xml:space="preserve">) during departure banks, capturing 67.2% of nationwide domestic departures, and establishing a baseline correlation of </w:t>
      </w:r>
      <m:oMath>
        <m:r>
          <w:rPr>
            <w:rFonts w:ascii="Cambria Math" w:hAnsi="Cambria Math"/>
          </w:rPr>
          <m:t>r=0.4572</m:t>
        </m:r>
      </m:oMath>
      <w:r w:rsidRPr="00895BAC">
        <w:t>(</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=20.90%</m:t>
        </m:r>
      </m:oMath>
      <w:r w:rsidRPr="00895BAC">
        <w:t>) between raw flights and screening throughput. Phase 2 (Meso Filter) restricted these facilities to 14 candidate hubs exhibiting concurrent mainline operations (</w:t>
      </w:r>
      <m:oMath>
        <m:r>
          <w:rPr>
            <w:rFonts w:ascii="Cambria Math" w:hAnsi="Cambria Math"/>
          </w:rPr>
          <m:t>&gt;10%</m:t>
        </m:r>
      </m:oMath>
      <w:r w:rsidRPr="00895BAC">
        <w:t xml:space="preserve"> seat share) across American, Delta, and United, excluding low-cost carrier scheduling fluctuations and raising coupling to </w:t>
      </w:r>
      <m:oMath>
        <m:r>
          <w:rPr>
            <w:rFonts w:ascii="Cambria Math" w:hAnsi="Cambria Math"/>
          </w:rPr>
          <m:t>r=0.5015</m:t>
        </m:r>
      </m:oMath>
      <w:r w:rsidRPr="00895BAC">
        <w:t>(</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=25.15%</m:t>
        </m:r>
      </m:oMath>
      <w:r w:rsidRPr="00895BAC">
        <w:t>). Phase 3 (Micro Filter) screened for strict carrier checkpoint exclusivity (</w:t>
      </w:r>
      <m:oMath>
        <m:r>
          <w:rPr>
            <w:rFonts w:ascii="Cambria Math" w:hAnsi="Cambria Math"/>
          </w:rPr>
          <m:t>P</m:t>
        </m:r>
        <m:d>
          <m:dPr>
            <m:ctrlPr>
              <w:rPr>
                <w:rFonts w:ascii="Cambria Math" w:hAnsi="Cambria Math"/>
              </w:rPr>
            </m:ctrlPr>
          </m:dPr>
          <m:e>
            <m:r>
              <m:rPr>
                <m:nor/>
              </m:rPr>
              <m:t>Carrier</m:t>
            </m:r>
            <m:r>
              <w:rPr>
                <w:rFonts w:ascii="Cambria Math" w:hAnsi="Cambria Math"/>
              </w:rPr>
              <m:t>=</m:t>
            </m:r>
            <m:sSup>
              <m:sSupPr>
                <m:ctrlPr>
                  <w:rPr>
                    <w:rFonts w:ascii="Cambria Math" w:hAnsi="Cambria Math"/>
                  </w:rPr>
                </m:ctrlPr>
              </m:sSupPr>
              <m:e>
                <m:r>
                  <w:rPr>
                    <w:rFonts w:ascii="Cambria Math" w:hAnsi="Cambria Math"/>
                  </w:rPr>
                  <m:t>j</m:t>
                </m:r>
              </m:e>
              <m:sup>
                <m:r>
                  <w:rPr>
                    <w:rFonts w:ascii="Cambria Math" w:hAnsi="Cambria Math"/>
                  </w:rPr>
                  <m:t>*</m:t>
                </m:r>
              </m:sup>
            </m:sSup>
            <m:r>
              <w:rPr>
                <w:rFonts w:ascii="Cambria Math" w:hAnsi="Cambria Math"/>
              </w:rPr>
              <m:t>∣</m:t>
            </m:r>
            <m:r>
              <m:rPr>
                <m:nor/>
              </m:rPr>
              <m:t>Checkpoint</m:t>
            </m:r>
            <m:r>
              <w:rPr>
                <w:rFonts w:ascii="Cambria Math" w:hAnsi="Cambria Math"/>
              </w:rPr>
              <m:t>=1</m:t>
            </m:r>
          </m:e>
        </m:d>
        <m:r>
          <w:rPr>
            <w:rFonts w:ascii="Cambria Math" w:hAnsi="Cambria Math"/>
          </w:rPr>
          <m:t>=1</m:t>
        </m:r>
      </m:oMath>
      <w:r w:rsidRPr="00895BAC">
        <w:t>), eliminating shared-terminal multi-carrier collinearity (</w:t>
      </w:r>
      <m:oMath>
        <m:r>
          <w:rPr>
            <w:rFonts w:ascii="Cambria Math" w:hAnsi="Cambria Math"/>
          </w:rPr>
          <m:t>κ&lt;25</m:t>
        </m:r>
      </m:oMath>
      <w:r w:rsidRPr="00895BAC">
        <w:t xml:space="preserve">) and elevating coupling to </w:t>
      </w:r>
      <m:oMath>
        <m:r>
          <w:rPr>
            <w:rFonts w:ascii="Cambria Math" w:hAnsi="Cambria Math"/>
          </w:rPr>
          <m:t>r=0.5453</m:t>
        </m:r>
      </m:oMath>
      <w:r w:rsidRPr="00895BAC">
        <w:t>(</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=29.74%</m:t>
        </m:r>
      </m:oMath>
      <w:r w:rsidRPr="00895BAC">
        <w:t xml:space="preserve">) for raw flights and </w:t>
      </w:r>
      <m:oMath>
        <m:r>
          <w:rPr>
            <w:rFonts w:ascii="Cambria Math" w:hAnsi="Cambria Math"/>
          </w:rPr>
          <m:t>r=0.6466</m:t>
        </m:r>
      </m:oMath>
      <w:r w:rsidRPr="00895BAC">
        <w:t>(</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=41.81%</m:t>
        </m:r>
      </m:oMath>
      <w:r w:rsidRPr="00895BAC">
        <w:t xml:space="preserve">) when adjusting for local connecting ratios. Finally, Phase 4 (Balanced Experimental Cohort) established a </w:t>
      </w:r>
      <w:r w:rsidRPr="0091382A">
        <w:rPr>
          <w:highlight w:val="yellow"/>
        </w:rPr>
        <w:t>factorial</w:t>
      </w:r>
      <w:r w:rsidRPr="00895BAC">
        <w:t xml:space="preserve"> design across 12 dedicated screening </w:t>
      </w:r>
      <w:r w:rsidRPr="00895BAC">
        <w:lastRenderedPageBreak/>
        <w:t xml:space="preserve">complexes (exactly four complexes each for American, Delta, and United) spanning all four operational cluster archetypes, achieving final dedicated checkpoint-to-flight coupling of </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 xml:space="preserve">=70.80% </m:t>
        </m:r>
      </m:oMath>
      <w:r w:rsidRPr="00895BAC">
        <w:t xml:space="preserve">to </w:t>
      </w:r>
      <m:oMath>
        <m:r>
          <w:rPr>
            <w:rFonts w:ascii="Cambria Math" w:hAnsi="Cambria Math"/>
          </w:rPr>
          <m:t>77.40%</m:t>
        </m:r>
      </m:oMath>
      <w:r w:rsidRPr="00895BAC">
        <w:t>.</w:t>
      </w:r>
      <w:r w:rsidRPr="00895BAC">
        <w:rPr>
          <w:b/>
          <w:bCs/>
        </w:rPr>
        <w:t xml:space="preserve"> </w:t>
      </w:r>
      <w:r w:rsidR="00101D58" w:rsidRPr="00101D58">
        <w:t xml:space="preserve">For an in depth </w:t>
      </w:r>
      <w:r w:rsidR="00101D58">
        <w:t>outline of the phases, please refer to the appendix</w:t>
      </w:r>
    </w:p>
    <w:p w14:paraId="0DA81029" w14:textId="77777777" w:rsidR="00FE22FF" w:rsidRPr="00895BAC" w:rsidRDefault="00FE22FF" w:rsidP="00895BAC">
      <w:pPr>
        <w:pStyle w:val="Heading3"/>
      </w:pPr>
      <w:r w:rsidRPr="00895BAC">
        <w:t>Pipeline Results</w:t>
      </w:r>
    </w:p>
    <w:p w14:paraId="0380BBC8" w14:textId="442AD3EA" w:rsidR="00FE22FF" w:rsidRPr="00895BAC" w:rsidRDefault="00FE22FF" w:rsidP="00895BAC">
      <w:pPr>
        <w:ind w:firstLine="720"/>
        <w:contextualSpacing/>
      </w:pPr>
      <w:r w:rsidRPr="00895BAC">
        <w:t xml:space="preserve">The filtering pipeline isolated 9 commercial </w:t>
      </w:r>
      <w:r w:rsidR="00610F23">
        <w:t>airport</w:t>
      </w:r>
      <w:r w:rsidRPr="00895BAC">
        <w:t>s representing 12 carrier-exclusive screening environments, achieving complete balance across legacy airlines and operational clusters. Table 4.6 details the experimental cohort.</w:t>
      </w:r>
    </w:p>
    <w:p w14:paraId="7CB094AF" w14:textId="6D030EB2" w:rsidR="00FE22FF" w:rsidRPr="00895BAC" w:rsidRDefault="00FE22FF" w:rsidP="00895BAC">
      <w:pPr>
        <w:contextualSpacing/>
      </w:pPr>
      <w:r w:rsidRPr="00895BAC">
        <w:rPr>
          <w:b/>
          <w:bCs/>
        </w:rPr>
        <w:t>Table 4.6</w:t>
      </w:r>
      <w:r w:rsidRPr="00895BAC">
        <w:br/>
      </w:r>
      <w:r w:rsidRPr="00895BAC">
        <w:rPr>
          <w:i/>
          <w:iCs/>
        </w:rPr>
        <w:t>The Nine-Airport Experimental Cohort Specification</w:t>
      </w:r>
    </w:p>
    <w:p w14:paraId="1D450426" w14:textId="77777777" w:rsidR="00FE22FF" w:rsidRPr="00895BAC" w:rsidRDefault="00FE22FF" w:rsidP="00895BAC">
      <w:pPr>
        <w:contextualSpacing/>
        <w:jc w:val="center"/>
      </w:pPr>
      <w:r w:rsidRPr="00895BAC">
        <w:rPr>
          <w:noProof/>
        </w:rPr>
        <w:drawing>
          <wp:inline distT="0" distB="0" distL="0" distR="0" wp14:anchorId="662B189A" wp14:editId="6DA187AE">
            <wp:extent cx="6067183" cy="1660849"/>
            <wp:effectExtent l="0" t="0" r="3810" b="3175"/>
            <wp:docPr id="749451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451079" name=""/>
                    <pic:cNvPicPr/>
                  </pic:nvPicPr>
                  <pic:blipFill>
                    <a:blip r:embed="rId13"/>
                    <a:stretch>
                      <a:fillRect/>
                    </a:stretch>
                  </pic:blipFill>
                  <pic:spPr>
                    <a:xfrm>
                      <a:off x="0" y="0"/>
                      <a:ext cx="6114214" cy="1673724"/>
                    </a:xfrm>
                    <a:prstGeom prst="rect">
                      <a:avLst/>
                    </a:prstGeom>
                  </pic:spPr>
                </pic:pic>
              </a:graphicData>
            </a:graphic>
          </wp:inline>
        </w:drawing>
      </w:r>
    </w:p>
    <w:p w14:paraId="7BBCE1F8" w14:textId="022918FA" w:rsidR="00FE22FF" w:rsidRPr="00895BAC" w:rsidRDefault="00FE22FF" w:rsidP="00895BAC">
      <w:pPr>
        <w:ind w:firstLine="360"/>
        <w:contextualSpacing/>
        <w:rPr>
          <w:b/>
          <w:bCs/>
        </w:rPr>
      </w:pPr>
      <w:r w:rsidRPr="00895BAC">
        <w:t>To mathematically verify that dedicated checkpoints isolate single-carrier demand, four econometric tests were performed</w:t>
      </w:r>
      <w:r w:rsidR="002354FC" w:rsidRPr="00895BAC">
        <w:t>: Carrier Ticket Boarding Dominance, No-Mainline Zero Activity, Cross-Carrier Leakage, and Airside Concourse Isolation</w:t>
      </w:r>
      <w:r w:rsidR="00F65823">
        <w:t xml:space="preserve"> (</w:t>
      </w:r>
      <w:r w:rsidR="00F65823" w:rsidRPr="00F50F48">
        <w:rPr>
          <w:highlight w:val="yellow"/>
        </w:rPr>
        <w:t>detailed in the Appendix</w:t>
      </w:r>
      <w:r w:rsidR="00F65823">
        <w:t>)</w:t>
      </w:r>
      <w:r w:rsidR="002354FC" w:rsidRPr="00895BAC">
        <w:t>.</w:t>
      </w:r>
    </w:p>
    <w:p w14:paraId="1835E1D4" w14:textId="77777777" w:rsidR="00FE22FF" w:rsidRPr="00895BAC" w:rsidRDefault="00FE22FF" w:rsidP="00895BAC">
      <w:pPr>
        <w:pStyle w:val="Heading3"/>
      </w:pPr>
      <w:r w:rsidRPr="00895BAC">
        <w:t>Descriptive Statistics for Subset</w:t>
      </w:r>
    </w:p>
    <w:p w14:paraId="662549B8" w14:textId="77777777" w:rsidR="00FE22FF" w:rsidRPr="00895BAC" w:rsidRDefault="00FE22FF" w:rsidP="00895BAC">
      <w:pPr>
        <w:ind w:firstLine="720"/>
        <w:contextualSpacing/>
      </w:pPr>
      <w:r w:rsidRPr="00895BAC">
        <w:t>Table 4.7 presents the descriptive summary statistics for the nine-airport experimental cohort compared against the Top 25 candidates.</w:t>
      </w:r>
    </w:p>
    <w:p w14:paraId="3F8A1187" w14:textId="77777777" w:rsidR="00FE22FF" w:rsidRPr="00895BAC" w:rsidRDefault="00FE22FF" w:rsidP="00895BAC">
      <w:pPr>
        <w:contextualSpacing/>
        <w:rPr>
          <w:i/>
          <w:iCs/>
        </w:rPr>
      </w:pPr>
      <w:r w:rsidRPr="00895BAC">
        <w:rPr>
          <w:b/>
          <w:bCs/>
        </w:rPr>
        <w:t>Table 4.7</w:t>
      </w:r>
      <w:r w:rsidRPr="00895BAC">
        <w:br/>
      </w:r>
      <w:r w:rsidRPr="00895BAC">
        <w:rPr>
          <w:i/>
          <w:iCs/>
        </w:rPr>
        <w:t xml:space="preserve">Summary Descriptive Statistics: Nine-Airport Experimental Cohort Versus Top 25 </w:t>
      </w:r>
    </w:p>
    <w:p w14:paraId="2ECF4149" w14:textId="77777777" w:rsidR="00FE22FF" w:rsidRPr="00895BAC" w:rsidRDefault="00FE22FF" w:rsidP="00895BAC">
      <w:pPr>
        <w:contextualSpacing/>
        <w:jc w:val="center"/>
      </w:pPr>
      <w:r w:rsidRPr="00895BAC">
        <w:rPr>
          <w:noProof/>
        </w:rPr>
        <w:lastRenderedPageBreak/>
        <w:drawing>
          <wp:inline distT="0" distB="0" distL="0" distR="0" wp14:anchorId="3FFBFEC6" wp14:editId="4169CB2B">
            <wp:extent cx="5943600" cy="2971800"/>
            <wp:effectExtent l="0" t="0" r="0" b="0"/>
            <wp:docPr id="1406360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360451" name=""/>
                    <pic:cNvPicPr/>
                  </pic:nvPicPr>
                  <pic:blipFill>
                    <a:blip r:embed="rId14"/>
                    <a:stretch>
                      <a:fillRect/>
                    </a:stretch>
                  </pic:blipFill>
                  <pic:spPr>
                    <a:xfrm>
                      <a:off x="0" y="0"/>
                      <a:ext cx="5943600" cy="2971800"/>
                    </a:xfrm>
                    <a:prstGeom prst="rect">
                      <a:avLst/>
                    </a:prstGeom>
                  </pic:spPr>
                </pic:pic>
              </a:graphicData>
            </a:graphic>
          </wp:inline>
        </w:drawing>
      </w:r>
    </w:p>
    <w:p w14:paraId="60084DCE" w14:textId="67C969EF" w:rsidR="00FE22FF" w:rsidRPr="00895BAC" w:rsidRDefault="00FE22FF" w:rsidP="00895BAC">
      <w:pPr>
        <w:contextualSpacing/>
      </w:pPr>
      <w:r w:rsidRPr="00895BAC">
        <w:t>Compared to the broader Top 25 network, the 9-airport cohort exhibits</w:t>
      </w:r>
      <w:r w:rsidR="00A507BC">
        <w:t xml:space="preserve"> higher flight movement density, higher delay and cancellation exposure, and high local originating demand. For details on </w:t>
      </w:r>
      <w:r w:rsidR="00A44A0F">
        <w:t>comparing the top 25 network to the 9 airport cohort, please refer to the appendix.</w:t>
      </w:r>
    </w:p>
    <w:p w14:paraId="6AC9140F" w14:textId="77777777" w:rsidR="00DA26F4" w:rsidRPr="00DA26F4" w:rsidRDefault="00FE22FF" w:rsidP="00DA26F4">
      <w:pPr>
        <w:contextualSpacing/>
        <w:rPr>
          <w:b/>
          <w:bCs/>
          <w:i/>
          <w:iCs/>
        </w:rPr>
      </w:pPr>
      <w:r w:rsidRPr="00DA26F4">
        <w:rPr>
          <w:b/>
          <w:bCs/>
          <w:i/>
          <w:iCs/>
        </w:rPr>
        <w:t>Local Seasonal and Day-of-Week Differences Across the Nine Selected Airports</w:t>
      </w:r>
    </w:p>
    <w:p w14:paraId="1D5EF5F4" w14:textId="26A71B4D" w:rsidR="00FE22FF" w:rsidRPr="00586F37" w:rsidRDefault="00FE22FF" w:rsidP="00586F37">
      <w:pPr>
        <w:ind w:firstLine="360"/>
        <w:contextualSpacing/>
        <w:rPr>
          <w:b/>
          <w:bCs/>
        </w:rPr>
      </w:pPr>
      <w:r w:rsidRPr="00895BAC">
        <w:t xml:space="preserve">While seasonal and day-of-week baselines were established across the Top 25 network, the nine selected </w:t>
      </w:r>
      <w:r w:rsidR="00610F23">
        <w:t>airport</w:t>
      </w:r>
      <w:r w:rsidRPr="00895BAC">
        <w:t>s display distinct local seasonal and weekly profiles reflecting their traffic composition and cluster archetype. Table 4.8 in the appendix reports the day-of-week passenger throughput distribution across the nine airports.</w:t>
      </w:r>
      <w:r w:rsidR="00586F37">
        <w:rPr>
          <w:b/>
          <w:bCs/>
        </w:rPr>
        <w:t xml:space="preserve"> </w:t>
      </w:r>
      <w:r w:rsidRPr="00895BAC">
        <w:t>The 9 airports exhibit three distinct weekly demand dynamics</w:t>
      </w:r>
      <w:r w:rsidR="00983825">
        <w:t>, which can be found in the Appendix.</w:t>
      </w:r>
    </w:p>
    <w:p w14:paraId="7708D511" w14:textId="2128773D" w:rsidR="00BD2540" w:rsidRPr="00895BAC" w:rsidRDefault="00FE22FF" w:rsidP="00895BAC">
      <w:pPr>
        <w:pStyle w:val="Heading3"/>
      </w:pPr>
      <w:r w:rsidRPr="00895BAC">
        <w:t>Implications for Model</w:t>
      </w:r>
      <w:r w:rsidR="00291751">
        <w:t xml:space="preserve"> </w:t>
      </w:r>
      <w:r w:rsidR="00FB55E3">
        <w:t>Development</w:t>
      </w:r>
    </w:p>
    <w:p w14:paraId="06A92588" w14:textId="691BD346" w:rsidR="00BD2540" w:rsidRPr="00895BAC" w:rsidRDefault="00BD2540" w:rsidP="00895BAC">
      <w:pPr>
        <w:ind w:firstLine="360"/>
        <w:contextualSpacing/>
      </w:pPr>
      <w:r w:rsidRPr="00895BAC">
        <w:t xml:space="preserve">The empirical findings from subset selection establish four mandatory architectural requirements for airport passenger flow modeling. First, passenger throughput must be modeled at dedicated single-carrier screening complexes rather than airport-wide aggregates to eliminate multi-carrier bank confounding and capture terminal-specific arrival surges. Second, departing </w:t>
      </w:r>
      <w:r w:rsidRPr="00895BAC">
        <w:lastRenderedPageBreak/>
        <w:t>seat capacity must be deflated by empirical DB1B connecting ratios (</w:t>
      </w:r>
      <m:oMath>
        <m:r>
          <w:rPr>
            <w:rFonts w:ascii="Cambria Math" w:hAnsi="Cambria Math"/>
          </w:rPr>
          <m:t>1-</m:t>
        </m:r>
        <m:sSub>
          <m:sSubPr>
            <m:ctrlPr>
              <w:rPr>
                <w:rFonts w:ascii="Cambria Math" w:hAnsi="Cambria Math"/>
              </w:rPr>
            </m:ctrlPr>
          </m:sSubPr>
          <m:e>
            <m:r>
              <m:rPr>
                <m:nor/>
              </m:rPr>
              <m:t>ConnectingRatio</m:t>
            </m:r>
          </m:e>
          <m:sub>
            <m:r>
              <m:rPr>
                <m:nor/>
              </m:rPr>
              <m:t>airport</m:t>
            </m:r>
          </m:sub>
        </m:sSub>
      </m:oMath>
      <w:r w:rsidRPr="00895BAC">
        <w:t xml:space="preserve">), preventing the </w:t>
      </w:r>
      <m:oMath>
        <m:r>
          <w:rPr>
            <w:rFonts w:ascii="Cambria Math" w:hAnsi="Cambria Math"/>
          </w:rPr>
          <m:t>&gt;200%</m:t>
        </m:r>
      </m:oMath>
      <w:r w:rsidR="002B3A55" w:rsidRPr="00895BAC">
        <w:t xml:space="preserve"> </w:t>
      </w:r>
      <w:r w:rsidRPr="00895BAC">
        <w:t>throughput overprediction that occurs when airside connecting passengers at hubs such as DFW, DTW, and ORD are erroneously assumed to enter landside checkpoints. Third, models must enforce strict information availability by using prior-hour operational indicators (</w:t>
      </w:r>
      <m:oMath>
        <m:r>
          <w:rPr>
            <w:rFonts w:ascii="Cambria Math" w:hAnsi="Cambria Math"/>
          </w:rPr>
          <m:t>t-1</m:t>
        </m:r>
      </m:oMath>
      <w:r w:rsidRPr="00895BAC">
        <w:t>) and tactical cancellations rather than concurrent departure delays, avoiding lookahead bias since flight delays are unconfirmed until pushback occurs. Finally, predictive formulations must incorporate zero-bounded statistical structures</w:t>
      </w:r>
      <w:r w:rsidR="002B3A55" w:rsidRPr="00895BAC">
        <w:t xml:space="preserve"> – </w:t>
      </w:r>
      <w:r w:rsidRPr="00895BAC">
        <w:t>such as Tweedie compound Poisson generalized linear models (</w:t>
      </w:r>
      <m:oMath>
        <m:r>
          <w:rPr>
            <w:rFonts w:ascii="Cambria Math" w:hAnsi="Cambria Math"/>
          </w:rPr>
          <m:t>p=1.3</m:t>
        </m:r>
      </m:oMath>
      <w:r w:rsidRPr="00895BAC">
        <w:t>) or two-stage hurdle structures</w:t>
      </w:r>
      <w:r w:rsidR="002B3A55" w:rsidRPr="00895BAC">
        <w:t xml:space="preserve"> – </w:t>
      </w:r>
      <w:r w:rsidRPr="00895BAC">
        <w:t xml:space="preserve">to accommodate positive throughput skewness and structural zeros during overnight curfew hours without generating impossible negative volume prediction. </w:t>
      </w:r>
    </w:p>
    <w:p w14:paraId="171603F7" w14:textId="77777777" w:rsidR="00FE22FF" w:rsidRPr="00895BAC" w:rsidRDefault="00FE22FF" w:rsidP="00895BAC">
      <w:pPr>
        <w:pStyle w:val="Heading2"/>
      </w:pPr>
      <w:r w:rsidRPr="00895BAC">
        <w:t>Model Development and Execution</w:t>
      </w:r>
    </w:p>
    <w:p w14:paraId="42A2E97B" w14:textId="77777777" w:rsidR="00FE22FF" w:rsidRPr="00895BAC" w:rsidRDefault="00FE22FF" w:rsidP="00895BAC">
      <w:pPr>
        <w:pStyle w:val="Heading3"/>
      </w:pPr>
      <w:r w:rsidRPr="00895BAC">
        <w:t>Feature Engineering</w:t>
      </w:r>
    </w:p>
    <w:p w14:paraId="7EE3E9D9" w14:textId="77777777" w:rsidR="00FE22FF" w:rsidRPr="00895BAC" w:rsidRDefault="00FE22FF" w:rsidP="00895BAC">
      <w:pPr>
        <w:ind w:firstLine="720"/>
        <w:contextualSpacing/>
      </w:pPr>
      <w:r w:rsidRPr="00895BAC">
        <w:t>A foundational premise of airport passenger flow modeling is that passengers arrive at screening checkpoints well in advance of flight departure times. Testing lead-lag transfer dynamics between scheduled flight departure times and checkpoint throughput reveals severe temporal asynchrony (Table 4.9).</w:t>
      </w:r>
    </w:p>
    <w:p w14:paraId="088F25B1" w14:textId="77777777" w:rsidR="00FE22FF" w:rsidRPr="00895BAC" w:rsidRDefault="00FE22FF" w:rsidP="00895BAC">
      <w:pPr>
        <w:contextualSpacing/>
        <w:rPr>
          <w:i/>
          <w:iCs/>
        </w:rPr>
      </w:pPr>
      <w:r w:rsidRPr="00895BAC">
        <w:rPr>
          <w:b/>
          <w:bCs/>
        </w:rPr>
        <w:t>Table 4.9</w:t>
      </w:r>
      <w:r w:rsidRPr="00895BAC">
        <w:br/>
      </w:r>
      <w:r w:rsidRPr="00895BAC">
        <w:rPr>
          <w:i/>
          <w:iCs/>
        </w:rPr>
        <w:t>Empirical Lead-Lag Transfer Dynamics (Scheduled Flights Versus Checkpoint Demand)</w:t>
      </w:r>
    </w:p>
    <w:p w14:paraId="76A5B484" w14:textId="77777777" w:rsidR="00FE22FF" w:rsidRPr="00895BAC" w:rsidRDefault="00FE22FF" w:rsidP="00895BAC">
      <w:pPr>
        <w:contextualSpacing/>
      </w:pPr>
      <w:r w:rsidRPr="00895BAC">
        <w:rPr>
          <w:noProof/>
        </w:rPr>
        <w:lastRenderedPageBreak/>
        <w:drawing>
          <wp:inline distT="0" distB="0" distL="0" distR="0" wp14:anchorId="12A41747" wp14:editId="3C1DAC6D">
            <wp:extent cx="5943600" cy="2063750"/>
            <wp:effectExtent l="0" t="0" r="0" b="6350"/>
            <wp:docPr id="380264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264358" name=""/>
                    <pic:cNvPicPr/>
                  </pic:nvPicPr>
                  <pic:blipFill>
                    <a:blip r:embed="rId15"/>
                    <a:stretch>
                      <a:fillRect/>
                    </a:stretch>
                  </pic:blipFill>
                  <pic:spPr>
                    <a:xfrm>
                      <a:off x="0" y="0"/>
                      <a:ext cx="5943600" cy="2063750"/>
                    </a:xfrm>
                    <a:prstGeom prst="rect">
                      <a:avLst/>
                    </a:prstGeom>
                  </pic:spPr>
                </pic:pic>
              </a:graphicData>
            </a:graphic>
          </wp:inline>
        </w:drawing>
      </w:r>
    </w:p>
    <w:p w14:paraId="67582A21" w14:textId="0C3D1FDC" w:rsidR="00FE22FF" w:rsidRPr="00895BAC" w:rsidRDefault="00FE22FF" w:rsidP="00D31CD3">
      <w:pPr>
        <w:ind w:firstLine="720"/>
        <w:contextualSpacing/>
      </w:pPr>
      <w:r w:rsidRPr="00895BAC">
        <w:t>Unshifted scheduled flights in the same departure hour explain less than 12% of checkpoint throughput variance. Explanatory power peaks across the Lead </w:t>
      </w:r>
      <m:oMath>
        <m:r>
          <w:rPr>
            <w:rFonts w:ascii="Cambria Math" w:hAnsi="Cambria Math"/>
          </w:rPr>
          <m:t>t+1</m:t>
        </m:r>
      </m:oMath>
      <w:r w:rsidRPr="00895BAC">
        <w:t> and Lead </w:t>
      </w:r>
      <m:oMath>
        <m:r>
          <w:rPr>
            <w:rFonts w:ascii="Cambria Math" w:hAnsi="Cambria Math"/>
          </w:rPr>
          <m:t>t+2</m:t>
        </m:r>
      </m:oMath>
      <w:r w:rsidRPr="00895BAC">
        <w:t> horizons (</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≈24%</m:t>
        </m:r>
      </m:oMath>
      <w:r w:rsidRPr="00895BAC">
        <w:t>), corresponding directly to the 90–120 minute modal passenger show-up window established in airport terminal planning guidelines (Airport Cooperative Research Program [ACRP] Report 40; Transportation Research Board, 2010).</w:t>
      </w:r>
      <w:r w:rsidR="00D85F41">
        <w:t xml:space="preserve"> </w:t>
      </w:r>
      <w:r w:rsidR="00107BCB">
        <w:t xml:space="preserve">After scaling by booked load factors and deflating airside connecting passengers who never enter landside security, this transformation converts published flight timetables into an accurate baseline forecast of checkpoint queuing demand. </w:t>
      </w:r>
      <w:r w:rsidRPr="00D31CD3">
        <w:rPr>
          <w:highlight w:val="yellow"/>
        </w:rPr>
        <w:t>See appendix for the complete feature engineering pipeline</w:t>
      </w:r>
      <w:r w:rsidR="00107BCB" w:rsidRPr="00D31CD3">
        <w:rPr>
          <w:highlight w:val="yellow"/>
        </w:rPr>
        <w:t>.</w:t>
      </w:r>
    </w:p>
    <w:p w14:paraId="3C552D13" w14:textId="77777777" w:rsidR="00FE22FF" w:rsidRPr="00895BAC" w:rsidRDefault="00FE22FF" w:rsidP="00895BAC">
      <w:pPr>
        <w:pStyle w:val="Heading3"/>
      </w:pPr>
      <w:r w:rsidRPr="00895BAC">
        <w:t>Model Training</w:t>
      </w:r>
    </w:p>
    <w:p w14:paraId="220C802C" w14:textId="67B8EEC9" w:rsidR="00553B49" w:rsidRPr="00CA13DE" w:rsidRDefault="00553B49" w:rsidP="008A3622">
      <w:pPr>
        <w:ind w:firstLine="720"/>
        <w:rPr>
          <w:color w:val="000000" w:themeColor="text1"/>
        </w:rPr>
      </w:pPr>
      <w:r>
        <w:t xml:space="preserve">To </w:t>
      </w:r>
      <w:r w:rsidRPr="00CA13DE">
        <w:rPr>
          <w:color w:val="000000" w:themeColor="text1"/>
        </w:rPr>
        <w:t xml:space="preserve">test the thesis hypothesis, three candidate predictive models representing distinct operational paradigms were evaluated against an empirical persistence control. The Baseline Control assumes today's hourly checkpoint arrival volatility repeats </w:t>
      </w:r>
      <w:r w:rsidRPr="00306E7C">
        <w:rPr>
          <w:color w:val="000000" w:themeColor="text1"/>
          <w:u w:val="single"/>
        </w:rPr>
        <w:t xml:space="preserve">yesterday's </w:t>
      </w:r>
      <w:r w:rsidRPr="00CA13DE">
        <w:rPr>
          <w:color w:val="000000" w:themeColor="text1"/>
        </w:rPr>
        <w:t>observed dispersion</w:t>
      </w:r>
      <w:r w:rsidR="00306E7C">
        <w:rPr>
          <w:color w:val="000000" w:themeColor="text1"/>
        </w:rPr>
        <w:t xml:space="preserve">. </w:t>
      </w:r>
      <w:r w:rsidRPr="00CA13DE">
        <w:rPr>
          <w:color w:val="000000" w:themeColor="text1"/>
        </w:rPr>
        <w:t>Model 1 (Deterministic Flight Schedule Model) projects passenger arrival dispersion by convolving scheduled airline flight departure banks across empirical ACRP Report 40 show-up curves (</w:t>
      </w:r>
      <m:oMath>
        <m:r>
          <w:rPr>
            <w:rFonts w:ascii="Cambria Math" w:hAnsi="Cambria Math"/>
            <w:color w:val="000000" w:themeColor="text1"/>
          </w:rPr>
          <m:t>t+1,t+2,t+3</m:t>
        </m:r>
      </m:oMath>
      <w:r w:rsidRPr="00CA13DE">
        <w:rPr>
          <w:color w:val="000000" w:themeColor="text1"/>
        </w:rPr>
        <w:t xml:space="preserve">), capturing schedule geometry without requiring machine learning or live delay telemetry. Model 2 (Supervised Machine Learning Model) uses an automated decision-tree architecture trained across convolved schedule features and 24 Bureau of </w:t>
      </w:r>
      <w:r w:rsidRPr="00CA13DE">
        <w:rPr>
          <w:color w:val="000000" w:themeColor="text1"/>
        </w:rPr>
        <w:lastRenderedPageBreak/>
        <w:t>Transportation Statistics (BTS) On-Time Performance operational attributes (cancellations, prior-hour delays, and taxi queues). Model 3 (Dynamic Two-Stage Hybrid Model) couples scheduled flight cycles with live prior-hour recursive error correction (</w:t>
      </w:r>
      <m:oMath>
        <m:sSub>
          <m:sSubPr>
            <m:ctrlPr>
              <w:rPr>
                <w:rFonts w:ascii="Cambria Math" w:hAnsi="Cambria Math"/>
                <w:color w:val="000000" w:themeColor="text1"/>
              </w:rPr>
            </m:ctrlPr>
          </m:sSubPr>
          <m:e>
            <m:r>
              <w:rPr>
                <w:rFonts w:ascii="Cambria Math" w:hAnsi="Cambria Math"/>
                <w:color w:val="000000" w:themeColor="text1"/>
              </w:rPr>
              <m:t>e</m:t>
            </m:r>
          </m:e>
          <m:sub>
            <m:r>
              <w:rPr>
                <w:rFonts w:ascii="Cambria Math" w:hAnsi="Cambria Math"/>
                <w:color w:val="000000" w:themeColor="text1"/>
              </w:rPr>
              <m:t>t-1</m:t>
            </m:r>
          </m:sub>
        </m:sSub>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y</m:t>
            </m:r>
          </m:e>
          <m:sub>
            <m:r>
              <w:rPr>
                <w:rFonts w:ascii="Cambria Math" w:hAnsi="Cambria Math"/>
                <w:color w:val="000000" w:themeColor="text1"/>
              </w:rPr>
              <m:t>t-1</m:t>
            </m:r>
          </m:sub>
        </m:sSub>
        <m:r>
          <w:rPr>
            <w:rFonts w:ascii="Cambria Math" w:hAnsi="Cambria Math"/>
            <w:color w:val="000000" w:themeColor="text1"/>
          </w:rPr>
          <m:t>-</m:t>
        </m:r>
        <m:sSub>
          <m:sSubPr>
            <m:ctrlPr>
              <w:rPr>
                <w:rFonts w:ascii="Cambria Math" w:hAnsi="Cambria Math"/>
                <w:color w:val="000000" w:themeColor="text1"/>
              </w:rPr>
            </m:ctrlPr>
          </m:sSubPr>
          <m:e>
            <m:acc>
              <m:accPr>
                <m:ctrlPr>
                  <w:rPr>
                    <w:rFonts w:ascii="Cambria Math" w:hAnsi="Cambria Math"/>
                    <w:color w:val="000000" w:themeColor="text1"/>
                  </w:rPr>
                </m:ctrlPr>
              </m:accPr>
              <m:e>
                <m:r>
                  <w:rPr>
                    <w:rFonts w:ascii="Cambria Math" w:hAnsi="Cambria Math"/>
                    <w:color w:val="000000" w:themeColor="text1"/>
                  </w:rPr>
                  <m:t>y</m:t>
                </m:r>
              </m:e>
            </m:acc>
          </m:e>
          <m:sub>
            <m:r>
              <w:rPr>
                <w:rFonts w:ascii="Cambria Math" w:hAnsi="Cambria Math"/>
                <w:color w:val="000000" w:themeColor="text1"/>
              </w:rPr>
              <m:t>t-1</m:t>
            </m:r>
          </m:sub>
        </m:sSub>
      </m:oMath>
      <w:r w:rsidRPr="00CA13DE">
        <w:rPr>
          <w:color w:val="000000" w:themeColor="text1"/>
        </w:rPr>
        <w:t>) from actual screening counts to sense passenger accumulation during flight delays.</w:t>
      </w:r>
      <w:r>
        <w:rPr>
          <w:color w:val="000000" w:themeColor="text1"/>
        </w:rPr>
        <w:t xml:space="preserve"> </w:t>
      </w:r>
      <w:commentRangeStart w:id="19"/>
      <w:r w:rsidRPr="00CA13DE">
        <w:rPr>
          <w:color w:val="000000" w:themeColor="text1"/>
        </w:rPr>
        <w:t>Using the partitions and 7-day purge buffer established in Section 4.1, models were calibrated across 15,976 training complex-days and 3,293 validation complex-days prior to holdout evaluati</w:t>
      </w:r>
      <w:r>
        <w:rPr>
          <w:color w:val="000000" w:themeColor="text1"/>
        </w:rPr>
        <w:t>on.</w:t>
      </w:r>
      <w:commentRangeEnd w:id="19"/>
      <w:r w:rsidR="004A5CD1" w:rsidRPr="00CA13DE">
        <w:rPr>
          <w:rStyle w:val="CommentReference"/>
          <w:color w:val="000000" w:themeColor="text1"/>
          <w:sz w:val="24"/>
          <w:szCs w:val="24"/>
        </w:rPr>
        <w:commentReference w:id="19"/>
      </w:r>
    </w:p>
    <w:p w14:paraId="1B5F44B3" w14:textId="40562DAE" w:rsidR="00E40D42" w:rsidRPr="00895BAC" w:rsidRDefault="00FE22FF" w:rsidP="00895BAC">
      <w:pPr>
        <w:contextualSpacing/>
        <w:rPr>
          <w:b/>
          <w:bCs/>
          <w:i/>
          <w:iCs/>
        </w:rPr>
      </w:pPr>
      <w:r w:rsidRPr="00895BAC">
        <w:rPr>
          <w:b/>
          <w:bCs/>
          <w:i/>
          <w:iCs/>
        </w:rPr>
        <w:t>Model Testing</w:t>
      </w:r>
    </w:p>
    <w:p w14:paraId="1E9E3F78" w14:textId="5BE57BA5" w:rsidR="00FE22FF" w:rsidRPr="00895BAC" w:rsidRDefault="00E40D42" w:rsidP="00895BAC">
      <w:pPr>
        <w:ind w:firstLine="360"/>
        <w:contextualSpacing/>
      </w:pPr>
      <w:r w:rsidRPr="00895BAC">
        <w:t xml:space="preserve">All candidate architectures were evaluated against the untouched 2025 </w:t>
      </w:r>
      <w:commentRangeStart w:id="20"/>
      <w:r w:rsidRPr="00895BAC">
        <w:t>Full-Year Out-of-Time Holdout Dataset</w:t>
      </w:r>
      <w:commentRangeEnd w:id="20"/>
      <w:r w:rsidR="00A32BD6">
        <w:rPr>
          <w:rStyle w:val="CommentReference"/>
          <w:sz w:val="24"/>
          <w:szCs w:val="24"/>
        </w:rPr>
        <w:commentReference w:id="20"/>
      </w:r>
      <w:r w:rsidR="00362FD2">
        <w:t>.</w:t>
      </w:r>
      <w:r w:rsidRPr="00895BAC">
        <w:t xml:space="preserve"> Forecast performance was evaluated against the primary thesis target of </w:t>
      </w:r>
      <w:commentRangeStart w:id="21"/>
      <w:r w:rsidRPr="00895BAC">
        <w:t xml:space="preserve">diurnal </w:t>
      </w:r>
      <w:commentRangeEnd w:id="21"/>
      <w:r w:rsidR="00B0640E" w:rsidRPr="00895BAC">
        <w:rPr>
          <w:rStyle w:val="CommentReference"/>
          <w:sz w:val="24"/>
          <w:szCs w:val="24"/>
        </w:rPr>
        <w:commentReference w:id="21"/>
      </w:r>
      <w:r w:rsidRPr="00895BAC">
        <w:t>throughput volatility (</w:t>
      </w:r>
      <m:oMath>
        <m:sSub>
          <m:sSubPr>
            <m:ctrlPr>
              <w:rPr>
                <w:rFonts w:ascii="Cambria Math" w:hAnsi="Cambria Math"/>
              </w:rPr>
            </m:ctrlPr>
          </m:sSubPr>
          <m:e>
            <m:r>
              <w:rPr>
                <w:rFonts w:ascii="Cambria Math" w:hAnsi="Cambria Math"/>
              </w:rPr>
              <m:t>σ</m:t>
            </m:r>
          </m:e>
          <m:sub>
            <m:r>
              <m:rPr>
                <m:nor/>
              </m:rPr>
              <m:t>TSA, hr</m:t>
            </m:r>
          </m:sub>
        </m:sSub>
      </m:oMath>
      <w:r w:rsidRPr="00895BAC">
        <w:t xml:space="preserve">, measured as pax/hr standard deviation across the 24 hours of each day) alongside </w:t>
      </w:r>
      <w:r w:rsidRPr="00E02FD3">
        <w:rPr>
          <w:highlight w:val="yellow"/>
        </w:rPr>
        <w:t>scale-free relative volatility</w:t>
      </w:r>
      <w:r w:rsidRPr="00895BAC">
        <w:t xml:space="preserve"> (</w:t>
      </w:r>
      <m:oMath>
        <m:r>
          <w:rPr>
            <w:rFonts w:ascii="Cambria Math" w:hAnsi="Cambria Math"/>
          </w:rPr>
          <m:t>C</m:t>
        </m:r>
        <m:sSub>
          <m:sSubPr>
            <m:ctrlPr>
              <w:rPr>
                <w:rFonts w:ascii="Cambria Math" w:hAnsi="Cambria Math"/>
              </w:rPr>
            </m:ctrlPr>
          </m:sSubPr>
          <m:e>
            <m:r>
              <w:rPr>
                <w:rFonts w:ascii="Cambria Math" w:hAnsi="Cambria Math"/>
              </w:rPr>
              <m:t>V</m:t>
            </m:r>
          </m:e>
          <m:sub>
            <m:r>
              <m:rPr>
                <m:nor/>
              </m:rPr>
              <m:t>TSA, hr</m:t>
            </m:r>
          </m:sub>
        </m:sSub>
        <m:r>
          <w:rPr>
            <w:rFonts w:ascii="Cambria Math" w:hAnsi="Cambria Math"/>
          </w:rPr>
          <m:t>=σ/μ</m:t>
        </m:r>
      </m:oMath>
      <w:r w:rsidRPr="00895BAC">
        <w:t>). Models were benchmarked across standard operational performance criteria, including the Coefficient of Determination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Pr="00895BAC">
        <w:t>), Root Mean Squared Error (RMSE; pax/hr), Mean Absolute Error (MAE; pax/hr), Mean Absolute Scaled Error (MASE; relative to daily persistence), and Mean Forecast Bias</w:t>
      </w:r>
      <w:r w:rsidR="00E02FD3">
        <w:t>. Please see appendix for details on how to interpret these standard operational performance criteria.</w:t>
      </w:r>
    </w:p>
    <w:p w14:paraId="37F59F8F" w14:textId="6EF833BC" w:rsidR="00FE22FF" w:rsidRPr="00895BAC" w:rsidRDefault="00FE22FF" w:rsidP="00895BAC">
      <w:pPr>
        <w:pStyle w:val="Heading3"/>
      </w:pPr>
      <w:r w:rsidRPr="00895BAC">
        <w:t>Implications for Final Result</w:t>
      </w:r>
      <w:r w:rsidR="00DE4F0D" w:rsidRPr="00895BAC">
        <w:t xml:space="preserve"> Interpretation</w:t>
      </w:r>
    </w:p>
    <w:p w14:paraId="64F6F6EE" w14:textId="77777777" w:rsidR="00FE22FF" w:rsidRPr="00895BAC" w:rsidRDefault="00FE22FF" w:rsidP="00895BAC">
      <w:pPr>
        <w:ind w:firstLine="360"/>
        <w:contextualSpacing/>
      </w:pPr>
      <w:r w:rsidRPr="00895BAC">
        <w:t>When interpreting model evaluation metrics, several operational realities must be considered:</w:t>
      </w:r>
    </w:p>
    <w:p w14:paraId="716BFB53" w14:textId="77777777" w:rsidR="00FE22FF" w:rsidRPr="00895BAC" w:rsidRDefault="00FE22FF" w:rsidP="00895BAC">
      <w:pPr>
        <w:ind w:firstLine="360"/>
        <w:contextualSpacing/>
      </w:pPr>
      <w:r w:rsidRPr="00895BAC">
        <w:rPr>
          <w:b/>
          <w:bCs/>
        </w:rPr>
        <w:t>Dispersion Scale vs. Volume Scale</w:t>
      </w:r>
      <w:r w:rsidRPr="00895BAC">
        <w:t>. Unlike mean hourly throughput volume (which averages ~1,750 pax/hr across dedicated complexes), diurnal throughput standard deviation (</w:t>
      </w:r>
      <m:oMath>
        <m:sSub>
          <m:sSubPr>
            <m:ctrlPr>
              <w:rPr>
                <w:rFonts w:ascii="Cambria Math" w:hAnsi="Cambria Math"/>
              </w:rPr>
            </m:ctrlPr>
          </m:sSubPr>
          <m:e>
            <m:r>
              <w:rPr>
                <w:rFonts w:ascii="Cambria Math" w:hAnsi="Cambria Math"/>
              </w:rPr>
              <m:t>σ</m:t>
            </m:r>
          </m:e>
          <m:sub>
            <m:r>
              <m:rPr>
                <m:nor/>
              </m:rPr>
              <m:t>TSA, hr</m:t>
            </m:r>
          </m:sub>
        </m:sSub>
      </m:oMath>
      <w:r w:rsidRPr="00895BAC">
        <w:t>) averages 540 to 880 passengers per hour across hub complexes. An RMSE of ~220 pax/hr represents an exceptionally close fit to intraday arrival swings.</w:t>
      </w:r>
    </w:p>
    <w:p w14:paraId="56958A73" w14:textId="77777777" w:rsidR="00FE22FF" w:rsidRPr="00895BAC" w:rsidRDefault="00FE22FF" w:rsidP="00895BAC">
      <w:pPr>
        <w:ind w:firstLine="360"/>
        <w:contextualSpacing/>
      </w:pPr>
      <w:r w:rsidRPr="00895BAC">
        <w:rPr>
          <w:b/>
          <w:bCs/>
        </w:rPr>
        <w:lastRenderedPageBreak/>
        <w:t>MASE as the Primary Standard for Volatility Forecasting</w:t>
      </w:r>
      <w:r w:rsidRPr="00895BAC">
        <w:t>. MASE normalizes errors against daily persistence (</w:t>
      </w:r>
      <m:oMath>
        <m:sSub>
          <m:sSubPr>
            <m:ctrlPr>
              <w:rPr>
                <w:rFonts w:ascii="Cambria Math" w:hAnsi="Cambria Math"/>
              </w:rPr>
            </m:ctrlPr>
          </m:sSubPr>
          <m:e>
            <m:r>
              <m:rPr>
                <m:nor/>
              </m:rPr>
              <m:t>Vol</m:t>
            </m:r>
          </m:e>
          <m:sub>
            <m:r>
              <w:rPr>
                <w:rFonts w:ascii="Cambria Math" w:hAnsi="Cambria Math"/>
              </w:rPr>
              <m:t>t-24</m:t>
            </m:r>
          </m:sub>
        </m:sSub>
      </m:oMath>
      <w:r w:rsidRPr="00895BAC">
        <w:t>). A MASE below 0.85 indicates substantial predictive skill beyond historical patterns, while a MASE below 0.70 represents outstanding accuracy.</w:t>
      </w:r>
    </w:p>
    <w:p w14:paraId="41ED3BD0" w14:textId="6CE96E6B" w:rsidR="00FE22FF" w:rsidRPr="00895BAC" w:rsidRDefault="00FE22FF" w:rsidP="00895BAC">
      <w:pPr>
        <w:ind w:firstLine="360"/>
        <w:contextualSpacing/>
      </w:pPr>
      <w:r w:rsidRPr="00895BAC">
        <w:rPr>
          <w:b/>
          <w:bCs/>
        </w:rPr>
        <w:t>Conformal Staffing Buffers</w:t>
      </w:r>
      <w:r w:rsidRPr="00895BAC">
        <w:t>. Airport security planners can translate predicted throughput volatility directly into risk-buffered lane allocations to prevent queue overflow during peak departure banks.</w:t>
      </w:r>
    </w:p>
    <w:p w14:paraId="451C72D4" w14:textId="77777777" w:rsidR="00FE22FF" w:rsidRPr="00895BAC" w:rsidRDefault="00FE22FF" w:rsidP="00895BAC">
      <w:pPr>
        <w:pStyle w:val="Heading2"/>
      </w:pPr>
      <w:r w:rsidRPr="00895BAC">
        <w:t>Model Results and Evaluation</w:t>
      </w:r>
    </w:p>
    <w:p w14:paraId="6F6E07CE" w14:textId="77777777" w:rsidR="00FE22FF" w:rsidRPr="00895BAC" w:rsidRDefault="00FE22FF" w:rsidP="00895BAC">
      <w:pPr>
        <w:pStyle w:val="Heading3"/>
      </w:pPr>
      <w:r w:rsidRPr="00895BAC">
        <w:t>Results</w:t>
      </w:r>
    </w:p>
    <w:p w14:paraId="6B2E4D0A" w14:textId="737F4C04" w:rsidR="00FE22FF" w:rsidRPr="00895BAC" w:rsidRDefault="00FE22FF" w:rsidP="00895BAC">
      <w:pPr>
        <w:ind w:firstLine="720"/>
        <w:contextualSpacing/>
      </w:pPr>
      <w:r w:rsidRPr="00895BAC">
        <w:t>Table 4.10 reports the out-of-time evaluation benchmark matrix across the candidate model architectures on the 2025 holdout dataset</w:t>
      </w:r>
      <w:r w:rsidR="00CC77D9">
        <w:t>.</w:t>
      </w:r>
    </w:p>
    <w:p w14:paraId="6A4E655A" w14:textId="77777777" w:rsidR="00FE22FF" w:rsidRPr="00895BAC" w:rsidRDefault="00FE22FF" w:rsidP="00895BAC">
      <w:pPr>
        <w:contextualSpacing/>
        <w:rPr>
          <w:i/>
          <w:iCs/>
        </w:rPr>
      </w:pPr>
      <w:r w:rsidRPr="00895BAC">
        <w:rPr>
          <w:b/>
          <w:bCs/>
        </w:rPr>
        <w:t>Table 4.10</w:t>
      </w:r>
      <w:r w:rsidRPr="00895BAC">
        <w:br/>
      </w:r>
      <w:r w:rsidRPr="00895BAC">
        <w:rPr>
          <w:i/>
          <w:iCs/>
        </w:rPr>
        <w:t>Master Model Benchmark Matrix for TSA Throughput Volatility (2025 Full-Year Holdout)</w:t>
      </w:r>
    </w:p>
    <w:p w14:paraId="5C931D1D" w14:textId="77777777" w:rsidR="00FE22FF" w:rsidRPr="00895BAC" w:rsidRDefault="00FE22FF" w:rsidP="00895BAC">
      <w:pPr>
        <w:contextualSpacing/>
        <w:jc w:val="center"/>
      </w:pPr>
      <w:r w:rsidRPr="00895BAC">
        <w:rPr>
          <w:noProof/>
        </w:rPr>
        <w:drawing>
          <wp:inline distT="0" distB="0" distL="0" distR="0" wp14:anchorId="596C9CD3" wp14:editId="36C93294">
            <wp:extent cx="6247342" cy="1094745"/>
            <wp:effectExtent l="0" t="0" r="1270" b="0"/>
            <wp:docPr id="1237990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990203" name=""/>
                    <pic:cNvPicPr/>
                  </pic:nvPicPr>
                  <pic:blipFill>
                    <a:blip r:embed="rId16"/>
                    <a:stretch>
                      <a:fillRect/>
                    </a:stretch>
                  </pic:blipFill>
                  <pic:spPr>
                    <a:xfrm>
                      <a:off x="0" y="0"/>
                      <a:ext cx="6337820" cy="1110600"/>
                    </a:xfrm>
                    <a:prstGeom prst="rect">
                      <a:avLst/>
                    </a:prstGeom>
                  </pic:spPr>
                </pic:pic>
              </a:graphicData>
            </a:graphic>
          </wp:inline>
        </w:drawing>
      </w:r>
    </w:p>
    <w:p w14:paraId="12D0BF33" w14:textId="77777777" w:rsidR="00FE22FF" w:rsidRPr="00895BAC" w:rsidRDefault="00FE22FF" w:rsidP="00895BAC">
      <w:pPr>
        <w:pStyle w:val="Heading3"/>
      </w:pPr>
      <w:bookmarkStart w:id="22" w:name="_Toc242174153"/>
      <w:bookmarkStart w:id="23" w:name="_Toc242174805"/>
      <w:r w:rsidRPr="00895BAC">
        <w:t>General Model Performance Across the 9-Airport Cohort</w:t>
      </w:r>
      <w:bookmarkEnd w:id="22"/>
      <w:bookmarkEnd w:id="23"/>
    </w:p>
    <w:p w14:paraId="6D43BCF3" w14:textId="77777777" w:rsidR="00FE22FF" w:rsidRPr="00895BAC" w:rsidRDefault="00FE22FF" w:rsidP="00895BAC">
      <w:pPr>
        <w:ind w:firstLine="360"/>
        <w:contextualSpacing/>
      </w:pPr>
      <w:r w:rsidRPr="00895BAC">
        <w:t>The empirical results reveal clear performance separations across the modeling paradigms:</w:t>
      </w:r>
    </w:p>
    <w:p w14:paraId="5AB4A3AC" w14:textId="7FA7844C" w:rsidR="00FE22FF" w:rsidRPr="00895BAC" w:rsidRDefault="00FE22FF" w:rsidP="00895BAC">
      <w:pPr>
        <w:ind w:firstLine="360"/>
        <w:contextualSpacing/>
      </w:pPr>
      <w:r w:rsidRPr="00895BAC">
        <w:rPr>
          <w:b/>
          <w:bCs/>
        </w:rPr>
        <w:t>The Deterministic Schedule Baseline (Model 1)</w:t>
      </w:r>
      <w:r w:rsidRPr="00895BAC">
        <w:t xml:space="preserve">. </w:t>
      </w:r>
      <w:r w:rsidR="00AA726E">
        <w:t xml:space="preserve">Relying solely on published flight schedules, Model 1 achieved </w:t>
      </w:r>
      <m:oMath>
        <m:r>
          <m:rPr>
            <m:nor/>
          </m:rPr>
          <m:t>Test </m:t>
        </m:r>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=0.4980</m:t>
        </m:r>
      </m:oMath>
      <w:r w:rsidR="00AA726E">
        <w:t>(</w:t>
      </w:r>
      <m:oMath>
        <m:r>
          <m:rPr>
            <m:nor/>
          </m:rPr>
          <m:t>RMSE</m:t>
        </m:r>
        <m:r>
          <w:rPr>
            <w:rFonts w:ascii="Cambria Math" w:hAnsi="Cambria Math"/>
          </w:rPr>
          <m:t>=313.4</m:t>
        </m:r>
      </m:oMath>
      <w:r w:rsidR="00AA726E">
        <w:t xml:space="preserve"> pax/hr, </w:t>
      </w:r>
      <m:oMath>
        <m:r>
          <m:rPr>
            <m:nor/>
          </m:rPr>
          <m:t>MASE</m:t>
        </m:r>
        <m:r>
          <w:rPr>
            <w:rFonts w:ascii="Cambria Math" w:hAnsi="Cambria Math"/>
          </w:rPr>
          <m:t>=0.945</m:t>
        </m:r>
      </m:oMath>
      <w:r w:rsidR="00AA726E">
        <w:t>). This outperforms daily persistence by 5.5% (</w:t>
      </w:r>
      <m:oMath>
        <m:r>
          <m:rPr>
            <m:nor/>
          </m:rPr>
          <m:t>MASE</m:t>
        </m:r>
        <m:r>
          <w:rPr>
            <w:rFonts w:ascii="Cambria Math" w:hAnsi="Cambria Math"/>
          </w:rPr>
          <m:t>&lt;1.000</m:t>
        </m:r>
      </m:oMath>
      <w:r w:rsidR="00AA726E">
        <w:t>), demonstrating that schedule geometry alone captures approximately half of total checkpoint arrival variance without requiring machine learning infrastructure</w:t>
      </w:r>
    </w:p>
    <w:p w14:paraId="5EF7DED1" w14:textId="5862C5A2" w:rsidR="00FE22FF" w:rsidRPr="00895BAC" w:rsidRDefault="00DE4F0D" w:rsidP="00895BAC">
      <w:pPr>
        <w:ind w:firstLine="360"/>
        <w:contextualSpacing/>
      </w:pPr>
      <w:r w:rsidRPr="00895BAC">
        <w:rPr>
          <w:b/>
          <w:bCs/>
        </w:rPr>
        <w:lastRenderedPageBreak/>
        <w:t>Supervised Machine Learning (</w:t>
      </w:r>
      <w:r w:rsidR="00FE22FF" w:rsidRPr="00895BAC">
        <w:rPr>
          <w:b/>
          <w:bCs/>
        </w:rPr>
        <w:t>Model 2)</w:t>
      </w:r>
      <w:r w:rsidR="00FE22FF" w:rsidRPr="00895BAC">
        <w:t xml:space="preserve">. </w:t>
      </w:r>
      <w:r w:rsidR="000C744B">
        <w:t xml:space="preserve">Adding operational flight delays and cancellations elevated explained variance to </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=0.6178</m:t>
        </m:r>
      </m:oMath>
      <w:r w:rsidR="000C744B">
        <w:t>(</w:t>
      </w:r>
      <m:oMath>
        <m:r>
          <m:rPr>
            <m:nor/>
          </m:rPr>
          <m:t>RMSE</m:t>
        </m:r>
        <m:r>
          <w:rPr>
            <w:rFonts w:ascii="Cambria Math" w:hAnsi="Cambria Math"/>
          </w:rPr>
          <m:t>=273.5</m:t>
        </m:r>
      </m:oMath>
      <w:r w:rsidR="000C744B">
        <w:t xml:space="preserve"> pax/hr, </w:t>
      </w:r>
      <m:oMath>
        <m:r>
          <m:rPr>
            <m:nor/>
          </m:rPr>
          <m:t>MASE</m:t>
        </m:r>
        <m:r>
          <w:rPr>
            <w:rFonts w:ascii="Cambria Math" w:hAnsi="Cambria Math"/>
          </w:rPr>
          <m:t>=0.779</m:t>
        </m:r>
      </m:oMath>
      <w:r w:rsidR="000C744B">
        <w:t>). Diebold-Mariano tests confirm that Model 2's error reduction over the deterministic schedule baseline is statistically decisive (</w:t>
      </w:r>
      <m:oMath>
        <m:r>
          <w:rPr>
            <w:rFonts w:ascii="Cambria Math" w:hAnsi="Cambria Math"/>
          </w:rPr>
          <m:t>DM=42.15,p&lt;0.0001</m:t>
        </m:r>
      </m:oMath>
      <w:r w:rsidR="000C744B">
        <w:t>).</w:t>
      </w:r>
    </w:p>
    <w:p w14:paraId="1642EA9F" w14:textId="77777777" w:rsidR="009576C4" w:rsidRDefault="00FE22FF" w:rsidP="000C744B">
      <w:pPr>
        <w:ind w:firstLine="360"/>
        <w:contextualSpacing/>
      </w:pPr>
      <w:r w:rsidRPr="00895BAC">
        <w:rPr>
          <w:b/>
          <w:bCs/>
        </w:rPr>
        <w:t>The Dynamic Two-Stage Hybrid (Model 3</w:t>
      </w:r>
      <w:r w:rsidR="000C744B">
        <w:rPr>
          <w:b/>
          <w:bCs/>
        </w:rPr>
        <w:t>):</w:t>
      </w:r>
      <w:r w:rsidR="000C744B" w:rsidRPr="000C744B">
        <w:t xml:space="preserve"> </w:t>
      </w:r>
      <w:r w:rsidR="000C744B">
        <w:t>Incorporating live prior-hour error feedback yielded the highest overall holdout fit, explaining 74.83% of passenger throughput volatility variance (</w:t>
      </w:r>
      <m:oMath>
        <m:r>
          <m:rPr>
            <m:nor/>
          </m:rPr>
          <m:t>Test </m:t>
        </m:r>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=0.7483</m:t>
        </m:r>
      </m:oMath>
      <w:r w:rsidR="000C744B">
        <w:t xml:space="preserve">, </w:t>
      </w:r>
      <m:oMath>
        <m:r>
          <m:rPr>
            <m:nor/>
          </m:rPr>
          <m:t>RMSE</m:t>
        </m:r>
        <m:r>
          <w:rPr>
            <w:rFonts w:ascii="Cambria Math" w:hAnsi="Cambria Math"/>
          </w:rPr>
          <m:t>=222.1</m:t>
        </m:r>
      </m:oMath>
      <w:r w:rsidR="000C744B">
        <w:t xml:space="preserve">pax/hr, </w:t>
      </w:r>
      <m:oMath>
        <m:r>
          <m:rPr>
            <m:nor/>
          </m:rPr>
          <m:t>MASE</m:t>
        </m:r>
        <m:r>
          <w:rPr>
            <w:rFonts w:ascii="Cambria Math" w:hAnsi="Cambria Math"/>
          </w:rPr>
          <m:t>=0.662</m:t>
        </m:r>
      </m:oMath>
      <w:r w:rsidR="000C744B">
        <w:t>).</w:t>
      </w:r>
    </w:p>
    <w:p w14:paraId="39D3411C" w14:textId="0D627C30" w:rsidR="00FE22FF" w:rsidRPr="00895BAC" w:rsidRDefault="00FE22FF" w:rsidP="009576C4">
      <w:pPr>
        <w:pStyle w:val="Heading3"/>
      </w:pPr>
      <w:r w:rsidRPr="00895BAC">
        <w:t>Model Performance and Hypothesis Testing</w:t>
      </w:r>
    </w:p>
    <w:p w14:paraId="281275E1" w14:textId="1913E880" w:rsidR="00760008" w:rsidRPr="00895BAC" w:rsidRDefault="00760008" w:rsidP="00895BAC">
      <w:pPr>
        <w:ind w:firstLine="720"/>
        <w:contextualSpacing/>
      </w:pPr>
      <w:r w:rsidRPr="00895BAC">
        <w:t>The thesis hypothesis (Hypothesis 1) assert</w:t>
      </w:r>
      <w:r w:rsidR="009E05EA">
        <w:t>s</w:t>
      </w:r>
      <w:r w:rsidRPr="00895BAC">
        <w:t xml:space="preserve"> that distinct modeling frameworks exhibit asymmetric performance strengths across operational robustness, resilience, and generalizability, with no single paradigm proving universally superior across all operational regimes. To test this hypothesis, candidate architectures were evaluated against explicit performance targets defined across three operational dimensions: Robustness, defined as achieving the lowest </w:t>
      </w:r>
      <m:oMath>
        <m:sSub>
          <m:sSubPr>
            <m:ctrlPr>
              <w:rPr>
                <w:rFonts w:ascii="Cambria Math" w:hAnsi="Cambria Math"/>
              </w:rPr>
            </m:ctrlPr>
          </m:sSubPr>
          <m:e>
            <m:r>
              <m:rPr>
                <m:nor/>
              </m:rPr>
              <m:t>RMSE</m:t>
            </m:r>
          </m:e>
          <m:sub>
            <m:r>
              <m:rPr>
                <m:nor/>
              </m:rPr>
              <m:t>routine</m:t>
            </m:r>
          </m:sub>
        </m:sSub>
        <m:r>
          <w:rPr>
            <w:rFonts w:ascii="Cambria Math" w:hAnsi="Cambria Math"/>
          </w:rPr>
          <m:t xml:space="preserve"> </m:t>
        </m:r>
      </m:oMath>
      <w:r w:rsidRPr="00895BAC">
        <w:t xml:space="preserve">and </w:t>
      </w:r>
      <m:oMath>
        <m:sSub>
          <m:sSubPr>
            <m:ctrlPr>
              <w:rPr>
                <w:rFonts w:ascii="Cambria Math" w:hAnsi="Cambria Math"/>
              </w:rPr>
            </m:ctrlPr>
          </m:sSubPr>
          <m:e>
            <m:r>
              <m:rPr>
                <m:nor/>
              </m:rPr>
              <m:t>MASE</m:t>
            </m:r>
          </m:e>
          <m:sub>
            <m:r>
              <m:rPr>
                <m:nor/>
              </m:rPr>
              <m:t>routine</m:t>
            </m:r>
          </m:sub>
        </m:sSub>
        <m:r>
          <w:rPr>
            <w:rFonts w:ascii="Cambria Math" w:hAnsi="Cambria Math"/>
          </w:rPr>
          <m:t xml:space="preserve">&lt;0.70 </m:t>
        </m:r>
      </m:oMath>
      <w:r w:rsidRPr="00895BAC">
        <w:t xml:space="preserve">under Nominal On-Time Baseline conditions; Resilience, defined as maintaining a Recovery Multiplier </w:t>
      </w:r>
      <m:oMath>
        <m:sSub>
          <m:sSubPr>
            <m:ctrlPr>
              <w:rPr>
                <w:rFonts w:ascii="Cambria Math" w:hAnsi="Cambria Math"/>
              </w:rPr>
            </m:ctrlPr>
          </m:sSubPr>
          <m:e>
            <m:r>
              <w:rPr>
                <w:rFonts w:ascii="Cambria Math" w:hAnsi="Cambria Math"/>
              </w:rPr>
              <m:t>R</m:t>
            </m:r>
          </m:e>
          <m:sub>
            <m:r>
              <m:rPr>
                <m:nor/>
              </m:rPr>
              <m:t>RMSE</m:t>
            </m:r>
          </m:sub>
        </m:sSub>
        <m:r>
          <w:rPr>
            <w:rFonts w:ascii="Cambria Math" w:hAnsi="Cambria Math"/>
          </w:rPr>
          <m:t xml:space="preserve">≈1.00 </m:t>
        </m:r>
      </m:oMath>
      <w:r w:rsidRPr="00895BAC">
        <w:t xml:space="preserve">and the lowest </w:t>
      </w:r>
      <m:oMath>
        <m:sSub>
          <m:sSubPr>
            <m:ctrlPr>
              <w:rPr>
                <w:rFonts w:ascii="Cambria Math" w:hAnsi="Cambria Math"/>
              </w:rPr>
            </m:ctrlPr>
          </m:sSubPr>
          <m:e>
            <m:r>
              <m:rPr>
                <m:nor/>
              </m:rPr>
              <m:t>MASE</m:t>
            </m:r>
          </m:e>
          <m:sub>
            <m:r>
              <m:rPr>
                <m:nor/>
              </m:rPr>
              <m:t>shock</m:t>
            </m:r>
          </m:sub>
        </m:sSub>
        <m:r>
          <w:rPr>
            <w:rFonts w:ascii="Cambria Math" w:hAnsi="Cambria Math"/>
          </w:rPr>
          <m:t xml:space="preserve"> </m:t>
        </m:r>
      </m:oMath>
      <w:r w:rsidRPr="00895BAC">
        <w:t xml:space="preserve">during </w:t>
      </w:r>
      <w:r w:rsidR="00303062" w:rsidRPr="00895BAC">
        <w:t>i</w:t>
      </w:r>
      <w:r w:rsidRPr="00895BAC">
        <w:t xml:space="preserve">rregular </w:t>
      </w:r>
      <w:r w:rsidR="00303062" w:rsidRPr="00895BAC">
        <w:t>o</w:t>
      </w:r>
      <w:r w:rsidRPr="00895BAC">
        <w:t>perations</w:t>
      </w:r>
      <w:r w:rsidR="00303062" w:rsidRPr="00895BAC">
        <w:t xml:space="preserve">; </w:t>
      </w:r>
      <w:r w:rsidRPr="00895BAC">
        <w:t xml:space="preserve">and Generalizability, defined as maintaining a Relative Transfer Ratio </w:t>
      </w:r>
      <m:oMath>
        <m:r>
          <m:rPr>
            <m:nor/>
          </m:rPr>
          <m:t>RTR</m:t>
        </m:r>
        <m:r>
          <w:rPr>
            <w:rFonts w:ascii="Cambria Math" w:hAnsi="Cambria Math"/>
          </w:rPr>
          <m:t xml:space="preserve">≈1.00 </m:t>
        </m:r>
      </m:oMath>
      <w:r w:rsidRPr="00895BAC">
        <w:t xml:space="preserve">with </w:t>
      </w:r>
      <m:oMath>
        <m:r>
          <m:rPr>
            <m:sty m:val="p"/>
          </m:rPr>
          <w:rPr>
            <w:rFonts w:ascii="Cambria Math" w:hAnsi="Cambria Math"/>
          </w:rPr>
          <m:t>Δ</m:t>
        </m:r>
        <m:sSub>
          <m:sSubPr>
            <m:ctrlPr>
              <w:rPr>
                <w:rFonts w:ascii="Cambria Math" w:hAnsi="Cambria Math"/>
              </w:rPr>
            </m:ctrlPr>
          </m:sSubPr>
          <m:e>
            <m:r>
              <m:rPr>
                <m:nor/>
              </m:rPr>
              <m:t>MASE</m:t>
            </m:r>
          </m:e>
          <m:sub>
            <m:r>
              <m:rPr>
                <m:nor/>
              </m:rPr>
              <m:t>transfer</m:t>
            </m:r>
          </m:sub>
        </m:sSub>
        <m:r>
          <w:rPr>
            <w:rFonts w:ascii="Cambria Math" w:hAnsi="Cambria Math"/>
          </w:rPr>
          <m:t xml:space="preserve">≤10.0% </m:t>
        </m:r>
      </m:oMath>
      <w:r w:rsidRPr="00895BAC">
        <w:t>under zero-shot spatial transfer without model retraining.</w:t>
      </w:r>
    </w:p>
    <w:p w14:paraId="360859FF" w14:textId="250B21D1" w:rsidR="00FE22FF" w:rsidRPr="00895BAC" w:rsidRDefault="00FE22FF" w:rsidP="00895BAC">
      <w:pPr>
        <w:pStyle w:val="Heading3"/>
      </w:pPr>
      <w:bookmarkStart w:id="24" w:name="_Toc242174154"/>
      <w:bookmarkStart w:id="25" w:name="_Toc242174806"/>
      <w:r w:rsidRPr="00895BAC">
        <w:t>Empirical Confirmation of Asymmetric Trade-Offs</w:t>
      </w:r>
      <w:bookmarkEnd w:id="24"/>
      <w:bookmarkEnd w:id="25"/>
    </w:p>
    <w:p w14:paraId="79715E48" w14:textId="222C4463" w:rsidR="00FE22FF" w:rsidRPr="00895BAC" w:rsidRDefault="00FE22FF" w:rsidP="00895BAC">
      <w:pPr>
        <w:ind w:firstLine="360"/>
        <w:contextualSpacing/>
      </w:pPr>
      <w:r w:rsidRPr="00895BAC">
        <w:rPr>
          <w:b/>
          <w:bCs/>
        </w:rPr>
        <w:t>Dimension 1: Robustness (Nominal &amp; Routine Conditions)</w:t>
      </w:r>
      <w:r w:rsidR="00143FCA" w:rsidRPr="00895BAC">
        <w:t xml:space="preserve">. </w:t>
      </w:r>
      <w:r w:rsidRPr="00895BAC">
        <w:t>Both the Machine Learning model (Model 2) and Dynamic Hybrid (Model 3) achieve the academic target of </w:t>
      </w:r>
      <m:oMath>
        <m:r>
          <m:rPr>
            <m:nor/>
          </m:rPr>
          <m:t>MASE</m:t>
        </m:r>
        <m:r>
          <w:rPr>
            <w:rFonts w:ascii="Cambria Math" w:hAnsi="Cambria Math"/>
          </w:rPr>
          <m:t>&lt;0.70</m:t>
        </m:r>
      </m:oMath>
      <w:r w:rsidRPr="00895BAC">
        <w:t xml:space="preserve"> under routine operations. </w:t>
      </w:r>
      <w:r w:rsidR="00682543" w:rsidRPr="00895BAC">
        <w:t xml:space="preserve">However, Model 2 achieves this with near-zero computational </w:t>
      </w:r>
      <w:r w:rsidR="00682543" w:rsidRPr="00895BAC">
        <w:lastRenderedPageBreak/>
        <w:t>overhead and requires no real-time checkpoint data feeds, allowing airport managers to generate staffing schedules days in advance rather than waiting on live hourly sensor updates</w:t>
      </w:r>
      <w:r w:rsidRPr="00895BAC">
        <w:t>.</w:t>
      </w:r>
    </w:p>
    <w:p w14:paraId="0D3AD769" w14:textId="01A1D2C9" w:rsidR="00FE22FF" w:rsidRPr="00895BAC" w:rsidRDefault="00FE22FF" w:rsidP="00895BAC">
      <w:pPr>
        <w:ind w:firstLine="360"/>
        <w:contextualSpacing/>
      </w:pPr>
      <w:r w:rsidRPr="00895BAC">
        <w:rPr>
          <w:b/>
          <w:bCs/>
        </w:rPr>
        <w:t>Dimension 2: Resilience (Severe Disruption</w:t>
      </w:r>
      <w:r w:rsidR="00143FCA" w:rsidRPr="00895BAC">
        <w:rPr>
          <w:b/>
          <w:bCs/>
        </w:rPr>
        <w:t xml:space="preserve">). </w:t>
      </w:r>
      <w:r w:rsidRPr="00895BAC">
        <w:t xml:space="preserve">The Dynamic Hybrid Framework (Model 3) is the decisive champion of Resilience. While </w:t>
      </w:r>
      <w:r w:rsidR="004A204C">
        <w:t>the</w:t>
      </w:r>
      <w:r w:rsidRPr="00895BAC">
        <w:t xml:space="preserve"> </w:t>
      </w:r>
      <w:r w:rsidR="004A204C">
        <w:t>M</w:t>
      </w:r>
      <w:r w:rsidRPr="00895BAC">
        <w:t xml:space="preserve">achine </w:t>
      </w:r>
      <w:r w:rsidR="004A204C">
        <w:t>L</w:t>
      </w:r>
      <w:r w:rsidRPr="00895BAC">
        <w:t>earning (Model 2) suffers from the "Empty Checkpoint Fallacy" during delayed flight holds (</w:t>
      </w:r>
      <m:oMath>
        <m:sSub>
          <m:sSubPr>
            <m:ctrlPr>
              <w:rPr>
                <w:rFonts w:ascii="Cambria Math" w:hAnsi="Cambria Math"/>
              </w:rPr>
            </m:ctrlPr>
          </m:sSubPr>
          <m:e>
            <m:r>
              <w:rPr>
                <w:rFonts w:ascii="Cambria Math" w:hAnsi="Cambria Math"/>
              </w:rPr>
              <m:t>R</m:t>
            </m:r>
          </m:e>
          <m:sub>
            <m:r>
              <m:rPr>
                <m:nor/>
              </m:rPr>
              <m:t>MASE</m:t>
            </m:r>
          </m:sub>
        </m:sSub>
        <m:r>
          <w:rPr>
            <w:rFonts w:ascii="Cambria Math" w:hAnsi="Cambria Math"/>
          </w:rPr>
          <m:t>=2.14</m:t>
        </m:r>
      </m:oMath>
      <w:r w:rsidRPr="00895BAC">
        <w:t>), Model 3's recursive error feedback (</w:t>
      </w:r>
      <m:oMath>
        <m:sSub>
          <m:sSubPr>
            <m:ctrlPr>
              <w:rPr>
                <w:rFonts w:ascii="Cambria Math" w:hAnsi="Cambria Math"/>
              </w:rPr>
            </m:ctrlPr>
          </m:sSubPr>
          <m:e>
            <m:r>
              <w:rPr>
                <w:rFonts w:ascii="Cambria Math" w:hAnsi="Cambria Math"/>
              </w:rPr>
              <m:t>e</m:t>
            </m:r>
          </m:e>
          <m:sub>
            <m:r>
              <w:rPr>
                <w:rFonts w:ascii="Cambria Math" w:hAnsi="Cambria Math"/>
              </w:rPr>
              <m:t>t-1</m:t>
            </m:r>
          </m:sub>
        </m:sSub>
      </m:oMath>
      <w:r w:rsidRPr="00895BAC">
        <w:t>) maintains a resilient multiplier of </w:t>
      </w:r>
      <m:oMath>
        <m:sSub>
          <m:sSubPr>
            <m:ctrlPr>
              <w:rPr>
                <w:rFonts w:ascii="Cambria Math" w:hAnsi="Cambria Math"/>
              </w:rPr>
            </m:ctrlPr>
          </m:sSubPr>
          <m:e>
            <m:r>
              <w:rPr>
                <w:rFonts w:ascii="Cambria Math" w:hAnsi="Cambria Math"/>
              </w:rPr>
              <m:t>R</m:t>
            </m:r>
          </m:e>
          <m:sub>
            <m:r>
              <m:rPr>
                <m:nor/>
              </m:rPr>
              <m:t>MASE</m:t>
            </m:r>
          </m:sub>
        </m:sSub>
        <m:r>
          <w:rPr>
            <w:rFonts w:ascii="Cambria Math" w:hAnsi="Cambria Math"/>
          </w:rPr>
          <m:t>=1.05≈1.00</m:t>
        </m:r>
      </m:oMath>
      <w:r w:rsidRPr="00895BAC">
        <w:t> and achieves the fastest Time-to-Recovery (</w:t>
      </w:r>
      <m:oMath>
        <m:r>
          <m:rPr>
            <m:nor/>
          </m:rPr>
          <m:t>TTR</m:t>
        </m:r>
        <m:r>
          <w:rPr>
            <w:rFonts w:ascii="Cambria Math" w:hAnsi="Cambria Math"/>
          </w:rPr>
          <m:t>=2.8</m:t>
        </m:r>
        <m:r>
          <m:rPr>
            <m:nor/>
          </m:rPr>
          <m:t> hours</m:t>
        </m:r>
      </m:oMath>
      <w:r w:rsidRPr="00895BAC">
        <w:t>).</w:t>
      </w:r>
    </w:p>
    <w:p w14:paraId="25669629" w14:textId="7502659D" w:rsidR="00FE22FF" w:rsidRDefault="00FE22FF" w:rsidP="00895BAC">
      <w:pPr>
        <w:ind w:firstLine="360"/>
        <w:contextualSpacing/>
      </w:pPr>
      <w:r w:rsidRPr="00895BAC">
        <w:rPr>
          <w:b/>
          <w:bCs/>
        </w:rPr>
        <w:t>Dimension 3: Generalizability (Zero-Shot Portability)</w:t>
      </w:r>
      <w:r w:rsidR="00143FCA" w:rsidRPr="00895BAC">
        <w:t xml:space="preserve">. </w:t>
      </w:r>
      <w:r w:rsidRPr="00895BAC">
        <w:t>The Deterministic Model (Model 1) is the decisive champion of Generalizability. It successfully meets both stated targets: </w:t>
      </w:r>
      <m:oMath>
        <m:r>
          <m:rPr>
            <m:nor/>
          </m:rPr>
          <m:t>RTR</m:t>
        </m:r>
        <m:r>
          <w:rPr>
            <w:rFonts w:ascii="Cambria Math" w:hAnsi="Cambria Math"/>
          </w:rPr>
          <m:t>=1.04≈1.00</m:t>
        </m:r>
      </m:oMath>
      <w:r w:rsidRPr="00895BAC">
        <w:t> and </w:t>
      </w:r>
      <m:oMath>
        <m:r>
          <m:rPr>
            <m:sty m:val="p"/>
          </m:rPr>
          <w:rPr>
            <w:rFonts w:ascii="Cambria Math" w:hAnsi="Cambria Math"/>
          </w:rPr>
          <m:t>Δ</m:t>
        </m:r>
        <m:r>
          <m:rPr>
            <m:nor/>
          </m:rPr>
          <m:t>MASE</m:t>
        </m:r>
        <m:r>
          <w:rPr>
            <w:rFonts w:ascii="Cambria Math" w:hAnsi="Cambria Math"/>
          </w:rPr>
          <m:t>=+4.0%≤10.0%</m:t>
        </m:r>
      </m:oMath>
      <w:r w:rsidRPr="00895BAC">
        <w:t>. Conversely, the Hybrid model (Model 3) decisively fails the Generalizability targets (</w:t>
      </w:r>
      <m:oMath>
        <m:r>
          <m:rPr>
            <m:nor/>
          </m:rPr>
          <m:t>RTR</m:t>
        </m:r>
        <m:r>
          <w:rPr>
            <w:rFonts w:ascii="Cambria Math" w:hAnsi="Cambria Math"/>
          </w:rPr>
          <m:t>=1.19&gt;1.00,</m:t>
        </m:r>
        <m:r>
          <m:rPr>
            <m:sty m:val="p"/>
          </m:rPr>
          <w:rPr>
            <w:rFonts w:ascii="Cambria Math" w:hAnsi="Cambria Math"/>
          </w:rPr>
          <m:t>Δ</m:t>
        </m:r>
        <m:r>
          <m:rPr>
            <m:nor/>
          </m:rPr>
          <m:t>MASE</m:t>
        </m:r>
        <m:r>
          <w:rPr>
            <w:rFonts w:ascii="Cambria Math" w:hAnsi="Cambria Math"/>
          </w:rPr>
          <m:t>=+21.5%&gt;10.0%</m:t>
        </m:r>
      </m:oMath>
      <w:r w:rsidRPr="00895BAC">
        <w:t xml:space="preserve">) because its decision-tree component overfits to Newark's specific terminal </w:t>
      </w:r>
      <w:r w:rsidR="00732190">
        <w:t>layout</w:t>
      </w:r>
      <w:r w:rsidRPr="00895BAC">
        <w:t xml:space="preserve"> and carrier bank timings.</w:t>
      </w:r>
    </w:p>
    <w:p w14:paraId="2E18A3F3" w14:textId="22DF2304" w:rsidR="00895BAC" w:rsidRPr="00895BAC" w:rsidRDefault="00B113B1" w:rsidP="00C37DEC">
      <w:pPr>
        <w:ind w:firstLine="360"/>
        <w:contextualSpacing/>
      </w:pPr>
      <w:r>
        <w:t>The</w:t>
      </w:r>
      <w:r w:rsidRPr="00B113B1">
        <w:t xml:space="preserve"> out-of-time holdout evaluations confirm the thesis hypothesis: no single predictive modeling paradigm is universally superior across all operational regimes. Instead, airport security demand forecasting is governed by fundamental asymmetric trade-offs across robustness, resilience, and generalizability. </w:t>
      </w:r>
      <w:r w:rsidR="00C37DEC">
        <w:t>The Dynamic Hybrid model (Model 3) is best during severe flight delays and irregular operations, the Deterministic Schedule model (Model 1) transfers most reliably to new airports without retraining, and the Supervised Machine Learning model (Model 2) is the most practical choice for routine advance staffing. Airport operators and TSA leadership should therefore select their forecasting tool based on daily operating conditions rather than relying on a single method.</w:t>
      </w:r>
    </w:p>
    <w:sectPr w:rsidR="00895BAC" w:rsidRPr="00895BAC">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14" w:author="Gleich, Leila" w:date="2026-10-06T17:11:00Z" w:initials="GL">
    <w:p w14:paraId="38EF5514" w14:textId="77777777" w:rsidR="00704D85" w:rsidRDefault="00704D85" w:rsidP="00704D85">
      <w:r>
        <w:rPr>
          <w:rStyle w:val="CommentReference"/>
        </w:rPr>
        <w:annotationRef/>
      </w:r>
      <w:r>
        <w:rPr>
          <w:sz w:val="20"/>
          <w:szCs w:val="20"/>
        </w:rPr>
        <w:t>Reword</w:t>
      </w:r>
    </w:p>
  </w:comment>
  <w:comment w:id="19" w:author="Gleich, Leila" w:date="2026-10-06T16:32:00Z" w:initials="GL">
    <w:p w14:paraId="763D4259" w14:textId="77777777" w:rsidR="004A5CD1" w:rsidRDefault="004A5CD1" w:rsidP="004A5CD1">
      <w:r>
        <w:rPr>
          <w:rStyle w:val="CommentReference"/>
        </w:rPr>
        <w:annotationRef/>
      </w:r>
      <w:r>
        <w:rPr>
          <w:sz w:val="20"/>
          <w:szCs w:val="20"/>
        </w:rPr>
        <w:t>appendix or footnote?</w:t>
      </w:r>
    </w:p>
  </w:comment>
  <w:comment w:id="20" w:author="Gleich, Leila" w:date="2026-10-06T17:22:00Z" w:initials="GL">
    <w:p w14:paraId="6C03471C" w14:textId="77777777" w:rsidR="00A32BD6" w:rsidRDefault="00A32BD6" w:rsidP="00A32BD6">
      <w:r>
        <w:rPr>
          <w:rStyle w:val="CommentReference"/>
        </w:rPr>
        <w:annotationRef/>
      </w:r>
      <w:r>
        <w:rPr>
          <w:sz w:val="20"/>
          <w:szCs w:val="20"/>
        </w:rPr>
        <w:t>Explain what a holdout is</w:t>
      </w:r>
    </w:p>
  </w:comment>
  <w:comment w:id="21" w:author="Gleich, Leila" w:date="2026-10-06T17:23:00Z" w:initials="GL">
    <w:p w14:paraId="3ED20FD8" w14:textId="77777777" w:rsidR="00B0640E" w:rsidRDefault="00B0640E" w:rsidP="00B0640E">
      <w:r>
        <w:rPr>
          <w:rStyle w:val="CommentReference"/>
        </w:rPr>
        <w:annotationRef/>
      </w:r>
      <w:r>
        <w:rPr>
          <w:sz w:val="20"/>
          <w:szCs w:val="20"/>
        </w:rPr>
        <w:t>explain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38EF5514" w15:done="0"/>
  <w15:commentEx w15:paraId="763D4259" w15:done="0"/>
  <w15:commentEx w15:paraId="6C03471C" w15:done="0"/>
  <w15:commentEx w15:paraId="3ED20FD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1606ACAE" w16cex:dateUtc="2026-10-07T00:11:00Z"/>
  <w16cex:commentExtensible w16cex:durableId="19A75B7F" w16cex:dateUtc="2026-10-06T23:32:00Z"/>
  <w16cex:commentExtensible w16cex:durableId="0519FBD7" w16cex:dateUtc="2026-10-07T00:22:00Z"/>
  <w16cex:commentExtensible w16cex:durableId="525D8A77" w16cex:dateUtc="2026-10-07T00:2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38EF5514" w16cid:durableId="1606ACAE"/>
  <w16cid:commentId w16cid:paraId="763D4259" w16cid:durableId="19A75B7F"/>
  <w16cid:commentId w16cid:paraId="6C03471C" w16cid:durableId="0519FBD7"/>
  <w16cid:commentId w16cid:paraId="3ED20FD8" w16cid:durableId="525D8A7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Times New Roman (Body CS)">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C04920"/>
    <w:multiLevelType w:val="multilevel"/>
    <w:tmpl w:val="3BD81B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8665D8"/>
    <w:multiLevelType w:val="hybridMultilevel"/>
    <w:tmpl w:val="B8B43F2E"/>
    <w:lvl w:ilvl="0" w:tplc="3E164CEE">
      <w:start w:val="1"/>
      <w:numFmt w:val="bullet"/>
      <w:lvlText w:val="•"/>
      <w:lvlJc w:val="left"/>
      <w:pPr>
        <w:tabs>
          <w:tab w:val="num" w:pos="720"/>
        </w:tabs>
        <w:ind w:left="720" w:hanging="360"/>
      </w:pPr>
      <w:rPr>
        <w:rFonts w:ascii="Arial" w:hAnsi="Arial" w:hint="default"/>
      </w:rPr>
    </w:lvl>
    <w:lvl w:ilvl="1" w:tplc="CD2CB4C4">
      <w:start w:val="1"/>
      <w:numFmt w:val="bullet"/>
      <w:lvlText w:val="•"/>
      <w:lvlJc w:val="left"/>
      <w:pPr>
        <w:tabs>
          <w:tab w:val="num" w:pos="1440"/>
        </w:tabs>
        <w:ind w:left="1440" w:hanging="360"/>
      </w:pPr>
      <w:rPr>
        <w:rFonts w:ascii="Arial" w:hAnsi="Arial" w:hint="default"/>
      </w:rPr>
    </w:lvl>
    <w:lvl w:ilvl="2" w:tplc="38A80CCA" w:tentative="1">
      <w:start w:val="1"/>
      <w:numFmt w:val="bullet"/>
      <w:lvlText w:val="•"/>
      <w:lvlJc w:val="left"/>
      <w:pPr>
        <w:tabs>
          <w:tab w:val="num" w:pos="2160"/>
        </w:tabs>
        <w:ind w:left="2160" w:hanging="360"/>
      </w:pPr>
      <w:rPr>
        <w:rFonts w:ascii="Arial" w:hAnsi="Arial" w:hint="default"/>
      </w:rPr>
    </w:lvl>
    <w:lvl w:ilvl="3" w:tplc="1ED2D03A" w:tentative="1">
      <w:start w:val="1"/>
      <w:numFmt w:val="bullet"/>
      <w:lvlText w:val="•"/>
      <w:lvlJc w:val="left"/>
      <w:pPr>
        <w:tabs>
          <w:tab w:val="num" w:pos="2880"/>
        </w:tabs>
        <w:ind w:left="2880" w:hanging="360"/>
      </w:pPr>
      <w:rPr>
        <w:rFonts w:ascii="Arial" w:hAnsi="Arial" w:hint="default"/>
      </w:rPr>
    </w:lvl>
    <w:lvl w:ilvl="4" w:tplc="D37E461C" w:tentative="1">
      <w:start w:val="1"/>
      <w:numFmt w:val="bullet"/>
      <w:lvlText w:val="•"/>
      <w:lvlJc w:val="left"/>
      <w:pPr>
        <w:tabs>
          <w:tab w:val="num" w:pos="3600"/>
        </w:tabs>
        <w:ind w:left="3600" w:hanging="360"/>
      </w:pPr>
      <w:rPr>
        <w:rFonts w:ascii="Arial" w:hAnsi="Arial" w:hint="default"/>
      </w:rPr>
    </w:lvl>
    <w:lvl w:ilvl="5" w:tplc="34F054C0" w:tentative="1">
      <w:start w:val="1"/>
      <w:numFmt w:val="bullet"/>
      <w:lvlText w:val="•"/>
      <w:lvlJc w:val="left"/>
      <w:pPr>
        <w:tabs>
          <w:tab w:val="num" w:pos="4320"/>
        </w:tabs>
        <w:ind w:left="4320" w:hanging="360"/>
      </w:pPr>
      <w:rPr>
        <w:rFonts w:ascii="Arial" w:hAnsi="Arial" w:hint="default"/>
      </w:rPr>
    </w:lvl>
    <w:lvl w:ilvl="6" w:tplc="B650C78A" w:tentative="1">
      <w:start w:val="1"/>
      <w:numFmt w:val="bullet"/>
      <w:lvlText w:val="•"/>
      <w:lvlJc w:val="left"/>
      <w:pPr>
        <w:tabs>
          <w:tab w:val="num" w:pos="5040"/>
        </w:tabs>
        <w:ind w:left="5040" w:hanging="360"/>
      </w:pPr>
      <w:rPr>
        <w:rFonts w:ascii="Arial" w:hAnsi="Arial" w:hint="default"/>
      </w:rPr>
    </w:lvl>
    <w:lvl w:ilvl="7" w:tplc="91EED93E" w:tentative="1">
      <w:start w:val="1"/>
      <w:numFmt w:val="bullet"/>
      <w:lvlText w:val="•"/>
      <w:lvlJc w:val="left"/>
      <w:pPr>
        <w:tabs>
          <w:tab w:val="num" w:pos="5760"/>
        </w:tabs>
        <w:ind w:left="5760" w:hanging="360"/>
      </w:pPr>
      <w:rPr>
        <w:rFonts w:ascii="Arial" w:hAnsi="Arial" w:hint="default"/>
      </w:rPr>
    </w:lvl>
    <w:lvl w:ilvl="8" w:tplc="C1E86AA4"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25172A6D"/>
    <w:multiLevelType w:val="multilevel"/>
    <w:tmpl w:val="BACA6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F07404"/>
    <w:multiLevelType w:val="hybridMultilevel"/>
    <w:tmpl w:val="1BC49404"/>
    <w:lvl w:ilvl="0" w:tplc="E528F55E">
      <w:start w:val="1"/>
      <w:numFmt w:val="bullet"/>
      <w:lvlText w:val="•"/>
      <w:lvlJc w:val="left"/>
      <w:pPr>
        <w:tabs>
          <w:tab w:val="num" w:pos="720"/>
        </w:tabs>
        <w:ind w:left="720" w:hanging="360"/>
      </w:pPr>
      <w:rPr>
        <w:rFonts w:ascii="Arial" w:hAnsi="Arial" w:hint="default"/>
      </w:rPr>
    </w:lvl>
    <w:lvl w:ilvl="1" w:tplc="D238451C">
      <w:start w:val="1"/>
      <w:numFmt w:val="bullet"/>
      <w:lvlText w:val="•"/>
      <w:lvlJc w:val="left"/>
      <w:pPr>
        <w:tabs>
          <w:tab w:val="num" w:pos="1440"/>
        </w:tabs>
        <w:ind w:left="1440" w:hanging="360"/>
      </w:pPr>
      <w:rPr>
        <w:rFonts w:ascii="Arial" w:hAnsi="Arial" w:hint="default"/>
      </w:rPr>
    </w:lvl>
    <w:lvl w:ilvl="2" w:tplc="C5DAF0E0" w:tentative="1">
      <w:start w:val="1"/>
      <w:numFmt w:val="bullet"/>
      <w:lvlText w:val="•"/>
      <w:lvlJc w:val="left"/>
      <w:pPr>
        <w:tabs>
          <w:tab w:val="num" w:pos="2160"/>
        </w:tabs>
        <w:ind w:left="2160" w:hanging="360"/>
      </w:pPr>
      <w:rPr>
        <w:rFonts w:ascii="Arial" w:hAnsi="Arial" w:hint="default"/>
      </w:rPr>
    </w:lvl>
    <w:lvl w:ilvl="3" w:tplc="78AE4B32" w:tentative="1">
      <w:start w:val="1"/>
      <w:numFmt w:val="bullet"/>
      <w:lvlText w:val="•"/>
      <w:lvlJc w:val="left"/>
      <w:pPr>
        <w:tabs>
          <w:tab w:val="num" w:pos="2880"/>
        </w:tabs>
        <w:ind w:left="2880" w:hanging="360"/>
      </w:pPr>
      <w:rPr>
        <w:rFonts w:ascii="Arial" w:hAnsi="Arial" w:hint="default"/>
      </w:rPr>
    </w:lvl>
    <w:lvl w:ilvl="4" w:tplc="20F2271C" w:tentative="1">
      <w:start w:val="1"/>
      <w:numFmt w:val="bullet"/>
      <w:lvlText w:val="•"/>
      <w:lvlJc w:val="left"/>
      <w:pPr>
        <w:tabs>
          <w:tab w:val="num" w:pos="3600"/>
        </w:tabs>
        <w:ind w:left="3600" w:hanging="360"/>
      </w:pPr>
      <w:rPr>
        <w:rFonts w:ascii="Arial" w:hAnsi="Arial" w:hint="default"/>
      </w:rPr>
    </w:lvl>
    <w:lvl w:ilvl="5" w:tplc="E3B67C2A" w:tentative="1">
      <w:start w:val="1"/>
      <w:numFmt w:val="bullet"/>
      <w:lvlText w:val="•"/>
      <w:lvlJc w:val="left"/>
      <w:pPr>
        <w:tabs>
          <w:tab w:val="num" w:pos="4320"/>
        </w:tabs>
        <w:ind w:left="4320" w:hanging="360"/>
      </w:pPr>
      <w:rPr>
        <w:rFonts w:ascii="Arial" w:hAnsi="Arial" w:hint="default"/>
      </w:rPr>
    </w:lvl>
    <w:lvl w:ilvl="6" w:tplc="DEA03AF6" w:tentative="1">
      <w:start w:val="1"/>
      <w:numFmt w:val="bullet"/>
      <w:lvlText w:val="•"/>
      <w:lvlJc w:val="left"/>
      <w:pPr>
        <w:tabs>
          <w:tab w:val="num" w:pos="5040"/>
        </w:tabs>
        <w:ind w:left="5040" w:hanging="360"/>
      </w:pPr>
      <w:rPr>
        <w:rFonts w:ascii="Arial" w:hAnsi="Arial" w:hint="default"/>
      </w:rPr>
    </w:lvl>
    <w:lvl w:ilvl="7" w:tplc="4F2A4C9E" w:tentative="1">
      <w:start w:val="1"/>
      <w:numFmt w:val="bullet"/>
      <w:lvlText w:val="•"/>
      <w:lvlJc w:val="left"/>
      <w:pPr>
        <w:tabs>
          <w:tab w:val="num" w:pos="5760"/>
        </w:tabs>
        <w:ind w:left="5760" w:hanging="360"/>
      </w:pPr>
      <w:rPr>
        <w:rFonts w:ascii="Arial" w:hAnsi="Arial" w:hint="default"/>
      </w:rPr>
    </w:lvl>
    <w:lvl w:ilvl="8" w:tplc="DA06D374"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3F351F72"/>
    <w:multiLevelType w:val="hybridMultilevel"/>
    <w:tmpl w:val="341C792E"/>
    <w:lvl w:ilvl="0" w:tplc="35C88B92">
      <w:start w:val="1"/>
      <w:numFmt w:val="bullet"/>
      <w:lvlText w:val="•"/>
      <w:lvlJc w:val="left"/>
      <w:pPr>
        <w:tabs>
          <w:tab w:val="num" w:pos="720"/>
        </w:tabs>
        <w:ind w:left="720" w:hanging="360"/>
      </w:pPr>
      <w:rPr>
        <w:rFonts w:ascii="Arial" w:hAnsi="Arial" w:hint="default"/>
      </w:rPr>
    </w:lvl>
    <w:lvl w:ilvl="1" w:tplc="018A436C">
      <w:start w:val="1"/>
      <w:numFmt w:val="bullet"/>
      <w:lvlText w:val="•"/>
      <w:lvlJc w:val="left"/>
      <w:pPr>
        <w:tabs>
          <w:tab w:val="num" w:pos="1440"/>
        </w:tabs>
        <w:ind w:left="1440" w:hanging="360"/>
      </w:pPr>
      <w:rPr>
        <w:rFonts w:ascii="Arial" w:hAnsi="Arial" w:hint="default"/>
      </w:rPr>
    </w:lvl>
    <w:lvl w:ilvl="2" w:tplc="FA2AA54E" w:tentative="1">
      <w:start w:val="1"/>
      <w:numFmt w:val="bullet"/>
      <w:lvlText w:val="•"/>
      <w:lvlJc w:val="left"/>
      <w:pPr>
        <w:tabs>
          <w:tab w:val="num" w:pos="2160"/>
        </w:tabs>
        <w:ind w:left="2160" w:hanging="360"/>
      </w:pPr>
      <w:rPr>
        <w:rFonts w:ascii="Arial" w:hAnsi="Arial" w:hint="default"/>
      </w:rPr>
    </w:lvl>
    <w:lvl w:ilvl="3" w:tplc="4D60ECB0" w:tentative="1">
      <w:start w:val="1"/>
      <w:numFmt w:val="bullet"/>
      <w:lvlText w:val="•"/>
      <w:lvlJc w:val="left"/>
      <w:pPr>
        <w:tabs>
          <w:tab w:val="num" w:pos="2880"/>
        </w:tabs>
        <w:ind w:left="2880" w:hanging="360"/>
      </w:pPr>
      <w:rPr>
        <w:rFonts w:ascii="Arial" w:hAnsi="Arial" w:hint="default"/>
      </w:rPr>
    </w:lvl>
    <w:lvl w:ilvl="4" w:tplc="C1080924" w:tentative="1">
      <w:start w:val="1"/>
      <w:numFmt w:val="bullet"/>
      <w:lvlText w:val="•"/>
      <w:lvlJc w:val="left"/>
      <w:pPr>
        <w:tabs>
          <w:tab w:val="num" w:pos="3600"/>
        </w:tabs>
        <w:ind w:left="3600" w:hanging="360"/>
      </w:pPr>
      <w:rPr>
        <w:rFonts w:ascii="Arial" w:hAnsi="Arial" w:hint="default"/>
      </w:rPr>
    </w:lvl>
    <w:lvl w:ilvl="5" w:tplc="15B63652" w:tentative="1">
      <w:start w:val="1"/>
      <w:numFmt w:val="bullet"/>
      <w:lvlText w:val="•"/>
      <w:lvlJc w:val="left"/>
      <w:pPr>
        <w:tabs>
          <w:tab w:val="num" w:pos="4320"/>
        </w:tabs>
        <w:ind w:left="4320" w:hanging="360"/>
      </w:pPr>
      <w:rPr>
        <w:rFonts w:ascii="Arial" w:hAnsi="Arial" w:hint="default"/>
      </w:rPr>
    </w:lvl>
    <w:lvl w:ilvl="6" w:tplc="632E593E" w:tentative="1">
      <w:start w:val="1"/>
      <w:numFmt w:val="bullet"/>
      <w:lvlText w:val="•"/>
      <w:lvlJc w:val="left"/>
      <w:pPr>
        <w:tabs>
          <w:tab w:val="num" w:pos="5040"/>
        </w:tabs>
        <w:ind w:left="5040" w:hanging="360"/>
      </w:pPr>
      <w:rPr>
        <w:rFonts w:ascii="Arial" w:hAnsi="Arial" w:hint="default"/>
      </w:rPr>
    </w:lvl>
    <w:lvl w:ilvl="7" w:tplc="37B46E1A" w:tentative="1">
      <w:start w:val="1"/>
      <w:numFmt w:val="bullet"/>
      <w:lvlText w:val="•"/>
      <w:lvlJc w:val="left"/>
      <w:pPr>
        <w:tabs>
          <w:tab w:val="num" w:pos="5760"/>
        </w:tabs>
        <w:ind w:left="5760" w:hanging="360"/>
      </w:pPr>
      <w:rPr>
        <w:rFonts w:ascii="Arial" w:hAnsi="Arial" w:hint="default"/>
      </w:rPr>
    </w:lvl>
    <w:lvl w:ilvl="8" w:tplc="5096E1AC"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413D7DF7"/>
    <w:multiLevelType w:val="multilevel"/>
    <w:tmpl w:val="80ACC8C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C95505"/>
    <w:multiLevelType w:val="multilevel"/>
    <w:tmpl w:val="C26EAB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F5C3E5B"/>
    <w:multiLevelType w:val="multilevel"/>
    <w:tmpl w:val="CB260A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AA1AB9"/>
    <w:multiLevelType w:val="multilevel"/>
    <w:tmpl w:val="B0CAA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6B1036E"/>
    <w:multiLevelType w:val="multilevel"/>
    <w:tmpl w:val="77464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243010"/>
    <w:multiLevelType w:val="hybridMultilevel"/>
    <w:tmpl w:val="42981814"/>
    <w:lvl w:ilvl="0" w:tplc="27AC40BC">
      <w:start w:val="1"/>
      <w:numFmt w:val="bullet"/>
      <w:lvlText w:val="•"/>
      <w:lvlJc w:val="left"/>
      <w:pPr>
        <w:tabs>
          <w:tab w:val="num" w:pos="720"/>
        </w:tabs>
        <w:ind w:left="720" w:hanging="360"/>
      </w:pPr>
      <w:rPr>
        <w:rFonts w:ascii="Arial" w:hAnsi="Arial" w:hint="default"/>
      </w:rPr>
    </w:lvl>
    <w:lvl w:ilvl="1" w:tplc="FDFE9E7C">
      <w:start w:val="1"/>
      <w:numFmt w:val="bullet"/>
      <w:lvlText w:val="•"/>
      <w:lvlJc w:val="left"/>
      <w:pPr>
        <w:tabs>
          <w:tab w:val="num" w:pos="1440"/>
        </w:tabs>
        <w:ind w:left="1440" w:hanging="360"/>
      </w:pPr>
      <w:rPr>
        <w:rFonts w:ascii="Arial" w:hAnsi="Arial" w:hint="default"/>
      </w:rPr>
    </w:lvl>
    <w:lvl w:ilvl="2" w:tplc="A79CB25A" w:tentative="1">
      <w:start w:val="1"/>
      <w:numFmt w:val="bullet"/>
      <w:lvlText w:val="•"/>
      <w:lvlJc w:val="left"/>
      <w:pPr>
        <w:tabs>
          <w:tab w:val="num" w:pos="2160"/>
        </w:tabs>
        <w:ind w:left="2160" w:hanging="360"/>
      </w:pPr>
      <w:rPr>
        <w:rFonts w:ascii="Arial" w:hAnsi="Arial" w:hint="default"/>
      </w:rPr>
    </w:lvl>
    <w:lvl w:ilvl="3" w:tplc="D4B84F2C" w:tentative="1">
      <w:start w:val="1"/>
      <w:numFmt w:val="bullet"/>
      <w:lvlText w:val="•"/>
      <w:lvlJc w:val="left"/>
      <w:pPr>
        <w:tabs>
          <w:tab w:val="num" w:pos="2880"/>
        </w:tabs>
        <w:ind w:left="2880" w:hanging="360"/>
      </w:pPr>
      <w:rPr>
        <w:rFonts w:ascii="Arial" w:hAnsi="Arial" w:hint="default"/>
      </w:rPr>
    </w:lvl>
    <w:lvl w:ilvl="4" w:tplc="D9B45B0E" w:tentative="1">
      <w:start w:val="1"/>
      <w:numFmt w:val="bullet"/>
      <w:lvlText w:val="•"/>
      <w:lvlJc w:val="left"/>
      <w:pPr>
        <w:tabs>
          <w:tab w:val="num" w:pos="3600"/>
        </w:tabs>
        <w:ind w:left="3600" w:hanging="360"/>
      </w:pPr>
      <w:rPr>
        <w:rFonts w:ascii="Arial" w:hAnsi="Arial" w:hint="default"/>
      </w:rPr>
    </w:lvl>
    <w:lvl w:ilvl="5" w:tplc="A71E9ED6" w:tentative="1">
      <w:start w:val="1"/>
      <w:numFmt w:val="bullet"/>
      <w:lvlText w:val="•"/>
      <w:lvlJc w:val="left"/>
      <w:pPr>
        <w:tabs>
          <w:tab w:val="num" w:pos="4320"/>
        </w:tabs>
        <w:ind w:left="4320" w:hanging="360"/>
      </w:pPr>
      <w:rPr>
        <w:rFonts w:ascii="Arial" w:hAnsi="Arial" w:hint="default"/>
      </w:rPr>
    </w:lvl>
    <w:lvl w:ilvl="6" w:tplc="FD16CCE4" w:tentative="1">
      <w:start w:val="1"/>
      <w:numFmt w:val="bullet"/>
      <w:lvlText w:val="•"/>
      <w:lvlJc w:val="left"/>
      <w:pPr>
        <w:tabs>
          <w:tab w:val="num" w:pos="5040"/>
        </w:tabs>
        <w:ind w:left="5040" w:hanging="360"/>
      </w:pPr>
      <w:rPr>
        <w:rFonts w:ascii="Arial" w:hAnsi="Arial" w:hint="default"/>
      </w:rPr>
    </w:lvl>
    <w:lvl w:ilvl="7" w:tplc="E7BCC648" w:tentative="1">
      <w:start w:val="1"/>
      <w:numFmt w:val="bullet"/>
      <w:lvlText w:val="•"/>
      <w:lvlJc w:val="left"/>
      <w:pPr>
        <w:tabs>
          <w:tab w:val="num" w:pos="5760"/>
        </w:tabs>
        <w:ind w:left="5760" w:hanging="360"/>
      </w:pPr>
      <w:rPr>
        <w:rFonts w:ascii="Arial" w:hAnsi="Arial" w:hint="default"/>
      </w:rPr>
    </w:lvl>
    <w:lvl w:ilvl="8" w:tplc="52DE9CE4"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67BB4CA3"/>
    <w:multiLevelType w:val="hybridMultilevel"/>
    <w:tmpl w:val="7FBAA5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C94584"/>
    <w:multiLevelType w:val="multilevel"/>
    <w:tmpl w:val="1F624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21812535">
    <w:abstractNumId w:val="0"/>
  </w:num>
  <w:num w:numId="2" w16cid:durableId="1898471251">
    <w:abstractNumId w:val="5"/>
  </w:num>
  <w:num w:numId="3" w16cid:durableId="227883628">
    <w:abstractNumId w:val="8"/>
  </w:num>
  <w:num w:numId="4" w16cid:durableId="1855339510">
    <w:abstractNumId w:val="7"/>
  </w:num>
  <w:num w:numId="5" w16cid:durableId="1433086588">
    <w:abstractNumId w:val="9"/>
  </w:num>
  <w:num w:numId="6" w16cid:durableId="1387529332">
    <w:abstractNumId w:val="2"/>
  </w:num>
  <w:num w:numId="7" w16cid:durableId="377510291">
    <w:abstractNumId w:val="12"/>
  </w:num>
  <w:num w:numId="8" w16cid:durableId="214972192">
    <w:abstractNumId w:val="6"/>
  </w:num>
  <w:num w:numId="9" w16cid:durableId="334386063">
    <w:abstractNumId w:val="4"/>
  </w:num>
  <w:num w:numId="10" w16cid:durableId="1081682686">
    <w:abstractNumId w:val="10"/>
  </w:num>
  <w:num w:numId="11" w16cid:durableId="1403942545">
    <w:abstractNumId w:val="1"/>
  </w:num>
  <w:num w:numId="12" w16cid:durableId="1180042847">
    <w:abstractNumId w:val="3"/>
  </w:num>
  <w:num w:numId="13" w16cid:durableId="1403915450">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Gleich, Leila">
    <w15:presenceInfo w15:providerId="AD" w15:userId="S::GLEICHL@my.erau.edu::59b27017-6fc6-4403-bb5c-429e2df4ed1b"/>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22FF"/>
    <w:rsid w:val="00021C93"/>
    <w:rsid w:val="000435EA"/>
    <w:rsid w:val="000B3680"/>
    <w:rsid w:val="000B7174"/>
    <w:rsid w:val="000C744B"/>
    <w:rsid w:val="00101D58"/>
    <w:rsid w:val="001027AC"/>
    <w:rsid w:val="00107BCB"/>
    <w:rsid w:val="00143FCA"/>
    <w:rsid w:val="0014663D"/>
    <w:rsid w:val="001676E7"/>
    <w:rsid w:val="001759BF"/>
    <w:rsid w:val="001C275F"/>
    <w:rsid w:val="00210080"/>
    <w:rsid w:val="002350E6"/>
    <w:rsid w:val="002354FC"/>
    <w:rsid w:val="00243745"/>
    <w:rsid w:val="00273628"/>
    <w:rsid w:val="00283C60"/>
    <w:rsid w:val="00291751"/>
    <w:rsid w:val="00295729"/>
    <w:rsid w:val="002B3A55"/>
    <w:rsid w:val="002B7944"/>
    <w:rsid w:val="002C3A4F"/>
    <w:rsid w:val="002F6BA1"/>
    <w:rsid w:val="00303062"/>
    <w:rsid w:val="00306E7C"/>
    <w:rsid w:val="00310F3F"/>
    <w:rsid w:val="00323EA8"/>
    <w:rsid w:val="00341734"/>
    <w:rsid w:val="00362FD2"/>
    <w:rsid w:val="00366380"/>
    <w:rsid w:val="003C24F6"/>
    <w:rsid w:val="003C5D05"/>
    <w:rsid w:val="003D67B4"/>
    <w:rsid w:val="004018C5"/>
    <w:rsid w:val="00402581"/>
    <w:rsid w:val="00431BEF"/>
    <w:rsid w:val="0045628D"/>
    <w:rsid w:val="0047660D"/>
    <w:rsid w:val="00482852"/>
    <w:rsid w:val="004A204C"/>
    <w:rsid w:val="004A2BD9"/>
    <w:rsid w:val="004A3777"/>
    <w:rsid w:val="004A5CD1"/>
    <w:rsid w:val="004E7D0B"/>
    <w:rsid w:val="004F1899"/>
    <w:rsid w:val="00512790"/>
    <w:rsid w:val="00516A28"/>
    <w:rsid w:val="00517FE5"/>
    <w:rsid w:val="00525542"/>
    <w:rsid w:val="0053527F"/>
    <w:rsid w:val="00540ACC"/>
    <w:rsid w:val="00551D8D"/>
    <w:rsid w:val="00553B49"/>
    <w:rsid w:val="00586F37"/>
    <w:rsid w:val="00597596"/>
    <w:rsid w:val="005D360B"/>
    <w:rsid w:val="005D45DE"/>
    <w:rsid w:val="005E7E1C"/>
    <w:rsid w:val="005F4684"/>
    <w:rsid w:val="006062C4"/>
    <w:rsid w:val="00610F23"/>
    <w:rsid w:val="00626B04"/>
    <w:rsid w:val="00643EC5"/>
    <w:rsid w:val="00651CE2"/>
    <w:rsid w:val="0067537F"/>
    <w:rsid w:val="00682543"/>
    <w:rsid w:val="006B1609"/>
    <w:rsid w:val="006C1506"/>
    <w:rsid w:val="006D5FF0"/>
    <w:rsid w:val="006F32B3"/>
    <w:rsid w:val="00704D85"/>
    <w:rsid w:val="00724533"/>
    <w:rsid w:val="00732190"/>
    <w:rsid w:val="0074327F"/>
    <w:rsid w:val="00760008"/>
    <w:rsid w:val="007D7BB2"/>
    <w:rsid w:val="007F537B"/>
    <w:rsid w:val="00801CD1"/>
    <w:rsid w:val="00811A28"/>
    <w:rsid w:val="008248AD"/>
    <w:rsid w:val="00826173"/>
    <w:rsid w:val="008300DD"/>
    <w:rsid w:val="00854018"/>
    <w:rsid w:val="00857917"/>
    <w:rsid w:val="00895BAC"/>
    <w:rsid w:val="008A3622"/>
    <w:rsid w:val="008C2F51"/>
    <w:rsid w:val="0091382A"/>
    <w:rsid w:val="00947D65"/>
    <w:rsid w:val="009576C4"/>
    <w:rsid w:val="00983825"/>
    <w:rsid w:val="009A52F7"/>
    <w:rsid w:val="009B197A"/>
    <w:rsid w:val="009C20BE"/>
    <w:rsid w:val="009D6EFF"/>
    <w:rsid w:val="009E05EA"/>
    <w:rsid w:val="009E1C8A"/>
    <w:rsid w:val="009F38BB"/>
    <w:rsid w:val="00A1695E"/>
    <w:rsid w:val="00A30342"/>
    <w:rsid w:val="00A32BD6"/>
    <w:rsid w:val="00A44A0F"/>
    <w:rsid w:val="00A507BC"/>
    <w:rsid w:val="00A531B1"/>
    <w:rsid w:val="00A61379"/>
    <w:rsid w:val="00A66DA7"/>
    <w:rsid w:val="00A83C8B"/>
    <w:rsid w:val="00A97365"/>
    <w:rsid w:val="00AA540D"/>
    <w:rsid w:val="00AA726E"/>
    <w:rsid w:val="00AB16B8"/>
    <w:rsid w:val="00AD1DB1"/>
    <w:rsid w:val="00AD36B7"/>
    <w:rsid w:val="00B0640E"/>
    <w:rsid w:val="00B113B1"/>
    <w:rsid w:val="00B2420D"/>
    <w:rsid w:val="00B33A48"/>
    <w:rsid w:val="00B66396"/>
    <w:rsid w:val="00BD2540"/>
    <w:rsid w:val="00BF4FCE"/>
    <w:rsid w:val="00C36957"/>
    <w:rsid w:val="00C37DEC"/>
    <w:rsid w:val="00C72409"/>
    <w:rsid w:val="00C8471F"/>
    <w:rsid w:val="00C968B3"/>
    <w:rsid w:val="00CB3EC1"/>
    <w:rsid w:val="00CC77D9"/>
    <w:rsid w:val="00D02787"/>
    <w:rsid w:val="00D31CD3"/>
    <w:rsid w:val="00D77561"/>
    <w:rsid w:val="00D85F41"/>
    <w:rsid w:val="00D87092"/>
    <w:rsid w:val="00D95C0E"/>
    <w:rsid w:val="00DA26F4"/>
    <w:rsid w:val="00DD1A76"/>
    <w:rsid w:val="00DE4F0D"/>
    <w:rsid w:val="00E02FD3"/>
    <w:rsid w:val="00E367F5"/>
    <w:rsid w:val="00E40D42"/>
    <w:rsid w:val="00E67902"/>
    <w:rsid w:val="00E705D6"/>
    <w:rsid w:val="00E749E0"/>
    <w:rsid w:val="00E769F8"/>
    <w:rsid w:val="00ED64CD"/>
    <w:rsid w:val="00EF0E75"/>
    <w:rsid w:val="00EF3511"/>
    <w:rsid w:val="00F465A9"/>
    <w:rsid w:val="00F50F48"/>
    <w:rsid w:val="00F65823"/>
    <w:rsid w:val="00F709E9"/>
    <w:rsid w:val="00FB55E3"/>
    <w:rsid w:val="00FE22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09F72C"/>
  <w15:chartTrackingRefBased/>
  <w15:docId w15:val="{65409B42-675B-E144-B5D2-C6E2BD7D33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22FF"/>
    <w:pPr>
      <w:spacing w:after="0" w:line="480" w:lineRule="auto"/>
    </w:pPr>
    <w:rPr>
      <w:rFonts w:ascii="Times New Roman" w:eastAsia="Times New Roman" w:hAnsi="Times New Roman" w:cs="Times New Roman"/>
      <w:color w:val="000000"/>
      <w:kern w:val="0"/>
      <w14:ligatures w14:val="none"/>
    </w:rPr>
  </w:style>
  <w:style w:type="paragraph" w:styleId="Heading1">
    <w:name w:val="heading 1"/>
    <w:basedOn w:val="Normal"/>
    <w:next w:val="Normal"/>
    <w:link w:val="Heading1Char"/>
    <w:uiPriority w:val="9"/>
    <w:qFormat/>
    <w:rsid w:val="00FE22FF"/>
    <w:pPr>
      <w:keepNext/>
      <w:keepLines/>
      <w:contextualSpacing/>
      <w:jc w:val="center"/>
      <w:outlineLvl w:val="0"/>
    </w:pPr>
    <w:rPr>
      <w:b/>
      <w:bCs/>
      <w:color w:val="000000" w:themeColor="text1"/>
    </w:rPr>
  </w:style>
  <w:style w:type="paragraph" w:styleId="Heading2">
    <w:name w:val="heading 2"/>
    <w:basedOn w:val="Normal"/>
    <w:next w:val="Normal"/>
    <w:link w:val="Heading2Char"/>
    <w:uiPriority w:val="9"/>
    <w:unhideWhenUsed/>
    <w:qFormat/>
    <w:rsid w:val="00FE22FF"/>
    <w:pPr>
      <w:keepNext/>
      <w:keepLines/>
      <w:contextualSpacing/>
      <w:outlineLvl w:val="1"/>
    </w:pPr>
    <w:rPr>
      <w:b/>
      <w:bCs/>
      <w:color w:val="000000" w:themeColor="text1"/>
    </w:rPr>
  </w:style>
  <w:style w:type="paragraph" w:styleId="Heading3">
    <w:name w:val="heading 3"/>
    <w:basedOn w:val="Normal"/>
    <w:next w:val="Normal"/>
    <w:link w:val="Heading3Char"/>
    <w:uiPriority w:val="9"/>
    <w:unhideWhenUsed/>
    <w:qFormat/>
    <w:rsid w:val="00FE22FF"/>
    <w:pPr>
      <w:keepNext/>
      <w:keepLines/>
      <w:contextualSpacing/>
      <w:outlineLvl w:val="2"/>
    </w:pPr>
    <w:rPr>
      <w:b/>
      <w:bCs/>
      <w:i/>
      <w:iCs/>
      <w:color w:val="000000" w:themeColor="text1"/>
    </w:rPr>
  </w:style>
  <w:style w:type="paragraph" w:styleId="Heading4">
    <w:name w:val="heading 4"/>
    <w:basedOn w:val="Normal"/>
    <w:next w:val="Normal"/>
    <w:link w:val="Heading4Char"/>
    <w:uiPriority w:val="9"/>
    <w:semiHidden/>
    <w:unhideWhenUsed/>
    <w:qFormat/>
    <w:rsid w:val="00FE22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22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22F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22F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22F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22F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APA7">
    <w:name w:val="APA 7"/>
    <w:basedOn w:val="TableNormal"/>
    <w:uiPriority w:val="99"/>
    <w:rsid w:val="00D95C0E"/>
    <w:pPr>
      <w:spacing w:after="0" w:line="360" w:lineRule="auto"/>
      <w:contextualSpacing/>
    </w:pPr>
    <w:rPr>
      <w:rFonts w:ascii="Times New Roman" w:hAnsi="Times New Roman" w:cs="Times New Roman (Body CS)"/>
      <w:i/>
      <w:color w:val="000000" w:themeColor="text1"/>
      <w:sz w:val="20"/>
    </w:rPr>
    <w:tblPr/>
    <w:tcPr>
      <w:shd w:val="clear" w:color="auto" w:fill="auto"/>
      <w:vAlign w:val="center"/>
    </w:tcPr>
    <w:tblStylePr w:type="firstRow">
      <w:rPr>
        <w:rFonts w:ascii="Times New Roman" w:hAnsi="Times New Roman"/>
        <w:sz w:val="20"/>
      </w:rPr>
      <w:tblPr/>
      <w:tcPr>
        <w:tcBorders>
          <w:top w:val="single" w:sz="4" w:space="0" w:color="auto"/>
          <w:bottom w:val="single" w:sz="4" w:space="0" w:color="auto"/>
        </w:tcBorders>
      </w:tcPr>
    </w:tblStylePr>
    <w:tblStylePr w:type="lastRow">
      <w:rPr>
        <w:rFonts w:ascii="Times New Roman" w:hAnsi="Times New Roman"/>
        <w:sz w:val="20"/>
      </w:rPr>
      <w:tblPr/>
      <w:tcPr>
        <w:tcBorders>
          <w:top w:val="single" w:sz="4" w:space="0" w:color="auto"/>
          <w:left w:val="nil"/>
          <w:bottom w:val="nil"/>
          <w:right w:val="nil"/>
          <w:insideH w:val="nil"/>
          <w:insideV w:val="nil"/>
          <w:tl2br w:val="nil"/>
          <w:tr2bl w:val="nil"/>
        </w:tcBorders>
      </w:tcPr>
    </w:tblStylePr>
    <w:tblStylePr w:type="lastCol">
      <w:rPr>
        <w:rFonts w:ascii="Times New Roman" w:hAnsi="Times New Roman"/>
        <w:sz w:val="20"/>
      </w:rPr>
    </w:tblStylePr>
  </w:style>
  <w:style w:type="table" w:customStyle="1" w:styleId="APA70">
    <w:name w:val="APA7"/>
    <w:basedOn w:val="TableNormal"/>
    <w:uiPriority w:val="99"/>
    <w:rsid w:val="00F465A9"/>
    <w:pPr>
      <w:spacing w:after="0" w:line="240" w:lineRule="auto"/>
    </w:pPr>
    <w:rPr>
      <w:rFonts w:ascii="Times New Roman" w:hAnsi="Times New Roman" w:cs="Times New Roman (Body CS)"/>
      <w:color w:val="000000" w:themeColor="text1"/>
      <w:sz w:val="20"/>
    </w:rPr>
    <w:tblPr>
      <w:tblStyleRowBandSize w:val="1"/>
      <w:tblStyleColBandSize w:val="1"/>
    </w:tblPr>
    <w:tcPr>
      <w:shd w:val="clear" w:color="auto" w:fill="auto"/>
      <w:vAlign w:val="center"/>
    </w:tcPr>
    <w:tblStylePr w:type="firstRow">
      <w:rPr>
        <w:rFonts w:ascii="Times New Roman" w:hAnsi="Times New Roman"/>
        <w:sz w:val="20"/>
      </w:rPr>
      <w:tblPr/>
      <w:tcPr>
        <w:tcBorders>
          <w:top w:val="single" w:sz="4" w:space="0" w:color="000000" w:themeColor="text1"/>
          <w:left w:val="nil"/>
          <w:bottom w:val="single" w:sz="4" w:space="0" w:color="000000" w:themeColor="text1"/>
          <w:right w:val="nil"/>
          <w:insideH w:val="nil"/>
          <w:insideV w:val="nil"/>
          <w:tl2br w:val="nil"/>
          <w:tr2bl w:val="nil"/>
        </w:tcBorders>
        <w:shd w:val="clear" w:color="auto" w:fill="auto"/>
      </w:tcPr>
    </w:tblStylePr>
    <w:tblStylePr w:type="lastRow">
      <w:pPr>
        <w:wordWrap/>
        <w:spacing w:line="240" w:lineRule="auto"/>
      </w:pPr>
      <w:rPr>
        <w:rFonts w:ascii="Times New Roman" w:hAnsi="Times New Roman"/>
        <w:sz w:val="20"/>
      </w:rPr>
      <w:tblPr/>
      <w:tcPr>
        <w:tcBorders>
          <w:bottom w:val="single" w:sz="4" w:space="0" w:color="000000" w:themeColor="text1"/>
        </w:tcBorders>
        <w:shd w:val="clear" w:color="auto" w:fill="auto"/>
      </w:tcPr>
    </w:tblStylePr>
    <w:tblStylePr w:type="firstCol">
      <w:rPr>
        <w:rFonts w:ascii="Times New Roman" w:hAnsi="Times New Roman"/>
        <w:sz w:val="20"/>
      </w:rPr>
    </w:tblStylePr>
    <w:tblStylePr w:type="lastCol">
      <w:rPr>
        <w:rFonts w:ascii="Times New Roman" w:hAnsi="Times New Roman"/>
        <w:sz w:val="20"/>
      </w:rPr>
    </w:tblStylePr>
    <w:tblStylePr w:type="band1Vert">
      <w:pPr>
        <w:wordWrap/>
        <w:snapToGrid/>
        <w:spacing w:line="240" w:lineRule="auto"/>
        <w:contextualSpacing/>
      </w:pPr>
      <w:rPr>
        <w:rFonts w:ascii="Times New Roman" w:hAnsi="Times New Roman"/>
        <w:b w:val="0"/>
        <w:i w:val="0"/>
        <w:caps w:val="0"/>
        <w:smallCaps w:val="0"/>
        <w:strike w:val="0"/>
        <w:dstrike w:val="0"/>
        <w:vanish w:val="0"/>
        <w:sz w:val="20"/>
        <w:u w:val="none"/>
        <w:vertAlign w:val="baseline"/>
      </w:rPr>
    </w:tblStylePr>
    <w:tblStylePr w:type="band2Vert">
      <w:rPr>
        <w:rFonts w:ascii="Times New Roman" w:hAnsi="Times New Roman"/>
        <w:sz w:val="20"/>
      </w:rPr>
    </w:tblStylePr>
    <w:tblStylePr w:type="band1Horz">
      <w:rPr>
        <w:rFonts w:ascii="Times New Roman" w:hAnsi="Times New Roman"/>
        <w:sz w:val="20"/>
      </w:rPr>
    </w:tblStylePr>
    <w:tblStylePr w:type="band2Horz">
      <w:rPr>
        <w:rFonts w:ascii="Times New Roman" w:hAnsi="Times New Roman"/>
        <w:sz w:val="20"/>
      </w:rPr>
    </w:tblStylePr>
    <w:tblStylePr w:type="neCell">
      <w:rPr>
        <w:rFonts w:ascii="Times New Roman" w:hAnsi="Times New Roman"/>
        <w:sz w:val="20"/>
      </w:rPr>
    </w:tblStylePr>
    <w:tblStylePr w:type="nwCell">
      <w:rPr>
        <w:rFonts w:ascii="Times New Roman" w:hAnsi="Times New Roman"/>
      </w:rPr>
    </w:tblStylePr>
    <w:tblStylePr w:type="seCell">
      <w:rPr>
        <w:rFonts w:ascii="Times New Roman" w:hAnsi="Times New Roman"/>
        <w:sz w:val="20"/>
      </w:rPr>
    </w:tblStylePr>
    <w:tblStylePr w:type="swCell">
      <w:rPr>
        <w:rFonts w:ascii="Times New Roman" w:hAnsi="Times New Roman"/>
        <w:sz w:val="20"/>
      </w:rPr>
    </w:tblStylePr>
  </w:style>
  <w:style w:type="table" w:customStyle="1" w:styleId="apatest">
    <w:name w:val="apatest"/>
    <w:basedOn w:val="TableNormal"/>
    <w:uiPriority w:val="99"/>
    <w:rsid w:val="00D95C0E"/>
    <w:pPr>
      <w:spacing w:after="0" w:line="240" w:lineRule="auto"/>
    </w:pPr>
    <w:rPr>
      <w:rFonts w:ascii="Times New Roman" w:hAnsi="Times New Roman" w:cs="Times New Roman (Body CS)"/>
      <w:color w:val="000000" w:themeColor="text1"/>
      <w:sz w:val="20"/>
    </w:rPr>
    <w:tblPr/>
    <w:tcPr>
      <w:shd w:val="clear" w:color="auto" w:fill="auto"/>
      <w:vAlign w:val="center"/>
    </w:tcPr>
  </w:style>
  <w:style w:type="paragraph" w:styleId="TOC1">
    <w:name w:val="toc 1"/>
    <w:aliases w:val="APA Heading 1"/>
    <w:basedOn w:val="Normal"/>
    <w:next w:val="Normal"/>
    <w:autoRedefine/>
    <w:uiPriority w:val="39"/>
    <w:unhideWhenUsed/>
    <w:rsid w:val="004E7D0B"/>
    <w:pPr>
      <w:spacing w:before="120"/>
      <w:ind w:firstLine="720"/>
      <w:contextualSpacing/>
      <w:jc w:val="center"/>
    </w:pPr>
    <w:rPr>
      <w:b/>
      <w:bCs/>
      <w:iCs/>
    </w:rPr>
  </w:style>
  <w:style w:type="paragraph" w:styleId="TOC2">
    <w:name w:val="toc 2"/>
    <w:aliases w:val="APA Heading 2"/>
    <w:basedOn w:val="Normal"/>
    <w:next w:val="Normal"/>
    <w:autoRedefine/>
    <w:uiPriority w:val="39"/>
    <w:unhideWhenUsed/>
    <w:rsid w:val="004E7D0B"/>
    <w:pPr>
      <w:spacing w:before="120"/>
      <w:ind w:left="240" w:firstLine="720"/>
      <w:contextualSpacing/>
    </w:pPr>
    <w:rPr>
      <w:b/>
      <w:bCs/>
      <w:szCs w:val="22"/>
    </w:rPr>
  </w:style>
  <w:style w:type="paragraph" w:styleId="TOC3">
    <w:name w:val="toc 3"/>
    <w:aliases w:val="APA Heading 3"/>
    <w:basedOn w:val="Normal"/>
    <w:next w:val="Normal"/>
    <w:autoRedefine/>
    <w:uiPriority w:val="39"/>
    <w:unhideWhenUsed/>
    <w:rsid w:val="004E7D0B"/>
    <w:pPr>
      <w:tabs>
        <w:tab w:val="right" w:leader="underscore" w:pos="9350"/>
      </w:tabs>
      <w:ind w:left="480" w:firstLine="720"/>
      <w:contextualSpacing/>
    </w:pPr>
    <w:rPr>
      <w:b/>
      <w:i/>
      <w:noProof/>
    </w:rPr>
  </w:style>
  <w:style w:type="paragraph" w:styleId="TOC4">
    <w:name w:val="toc 4"/>
    <w:aliases w:val="APA Heading 4"/>
    <w:basedOn w:val="Normal"/>
    <w:next w:val="Normal"/>
    <w:autoRedefine/>
    <w:uiPriority w:val="39"/>
    <w:unhideWhenUsed/>
    <w:rsid w:val="004E7D0B"/>
    <w:pPr>
      <w:ind w:left="720" w:firstLine="720"/>
      <w:contextualSpacing/>
    </w:pPr>
    <w:rPr>
      <w:b/>
      <w:szCs w:val="20"/>
    </w:rPr>
  </w:style>
  <w:style w:type="character" w:customStyle="1" w:styleId="Heading1Char">
    <w:name w:val="Heading 1 Char"/>
    <w:basedOn w:val="DefaultParagraphFont"/>
    <w:link w:val="Heading1"/>
    <w:uiPriority w:val="9"/>
    <w:rsid w:val="00FE22FF"/>
    <w:rPr>
      <w:rFonts w:ascii="Times New Roman" w:eastAsia="Times New Roman" w:hAnsi="Times New Roman" w:cs="Times New Roman"/>
      <w:b/>
      <w:bCs/>
      <w:color w:val="000000" w:themeColor="text1"/>
      <w:kern w:val="0"/>
      <w14:ligatures w14:val="none"/>
    </w:rPr>
  </w:style>
  <w:style w:type="character" w:customStyle="1" w:styleId="Heading2Char">
    <w:name w:val="Heading 2 Char"/>
    <w:basedOn w:val="DefaultParagraphFont"/>
    <w:link w:val="Heading2"/>
    <w:uiPriority w:val="9"/>
    <w:rsid w:val="00FE22FF"/>
    <w:rPr>
      <w:rFonts w:ascii="Times New Roman" w:eastAsia="Times New Roman" w:hAnsi="Times New Roman" w:cs="Times New Roman"/>
      <w:b/>
      <w:bCs/>
      <w:color w:val="000000" w:themeColor="text1"/>
      <w:kern w:val="0"/>
      <w14:ligatures w14:val="none"/>
    </w:rPr>
  </w:style>
  <w:style w:type="character" w:customStyle="1" w:styleId="Heading3Char">
    <w:name w:val="Heading 3 Char"/>
    <w:basedOn w:val="DefaultParagraphFont"/>
    <w:link w:val="Heading3"/>
    <w:uiPriority w:val="9"/>
    <w:rsid w:val="00FE22FF"/>
    <w:rPr>
      <w:rFonts w:ascii="Times New Roman" w:eastAsia="Times New Roman" w:hAnsi="Times New Roman" w:cs="Times New Roman"/>
      <w:b/>
      <w:bCs/>
      <w:i/>
      <w:iCs/>
      <w:color w:val="000000" w:themeColor="text1"/>
      <w:kern w:val="0"/>
      <w14:ligatures w14:val="none"/>
    </w:rPr>
  </w:style>
  <w:style w:type="character" w:customStyle="1" w:styleId="Heading4Char">
    <w:name w:val="Heading 4 Char"/>
    <w:basedOn w:val="DefaultParagraphFont"/>
    <w:link w:val="Heading4"/>
    <w:uiPriority w:val="9"/>
    <w:semiHidden/>
    <w:rsid w:val="00FE22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22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22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22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22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22FF"/>
    <w:rPr>
      <w:rFonts w:eastAsiaTheme="majorEastAsia" w:cstheme="majorBidi"/>
      <w:color w:val="272727" w:themeColor="text1" w:themeTint="D8"/>
    </w:rPr>
  </w:style>
  <w:style w:type="paragraph" w:styleId="Title">
    <w:name w:val="Title"/>
    <w:basedOn w:val="Normal"/>
    <w:next w:val="Normal"/>
    <w:link w:val="TitleChar"/>
    <w:uiPriority w:val="10"/>
    <w:qFormat/>
    <w:rsid w:val="00FE22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22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1CD1"/>
    <w:pPr>
      <w:contextualSpacing/>
    </w:pPr>
    <w:rPr>
      <w:i/>
      <w:iCs/>
      <w:color w:val="000000" w:themeColor="text1"/>
    </w:rPr>
  </w:style>
  <w:style w:type="character" w:customStyle="1" w:styleId="SubtitleChar">
    <w:name w:val="Subtitle Char"/>
    <w:basedOn w:val="DefaultParagraphFont"/>
    <w:link w:val="Subtitle"/>
    <w:uiPriority w:val="11"/>
    <w:rsid w:val="00801CD1"/>
    <w:rPr>
      <w:rFonts w:ascii="Times New Roman" w:eastAsia="Times New Roman" w:hAnsi="Times New Roman" w:cs="Times New Roman"/>
      <w:i/>
      <w:iCs/>
      <w:color w:val="000000" w:themeColor="text1"/>
      <w:kern w:val="0"/>
      <w14:ligatures w14:val="none"/>
    </w:rPr>
  </w:style>
  <w:style w:type="paragraph" w:styleId="Quote">
    <w:name w:val="Quote"/>
    <w:basedOn w:val="Normal"/>
    <w:next w:val="Normal"/>
    <w:link w:val="QuoteChar"/>
    <w:uiPriority w:val="29"/>
    <w:qFormat/>
    <w:rsid w:val="00FE22FF"/>
    <w:pPr>
      <w:spacing w:before="160"/>
      <w:jc w:val="center"/>
    </w:pPr>
    <w:rPr>
      <w:i/>
      <w:iCs/>
      <w:color w:val="404040" w:themeColor="text1" w:themeTint="BF"/>
    </w:rPr>
  </w:style>
  <w:style w:type="character" w:customStyle="1" w:styleId="QuoteChar">
    <w:name w:val="Quote Char"/>
    <w:basedOn w:val="DefaultParagraphFont"/>
    <w:link w:val="Quote"/>
    <w:uiPriority w:val="29"/>
    <w:rsid w:val="00FE22FF"/>
    <w:rPr>
      <w:i/>
      <w:iCs/>
      <w:color w:val="404040" w:themeColor="text1" w:themeTint="BF"/>
    </w:rPr>
  </w:style>
  <w:style w:type="paragraph" w:styleId="ListParagraph">
    <w:name w:val="List Paragraph"/>
    <w:basedOn w:val="Normal"/>
    <w:uiPriority w:val="34"/>
    <w:qFormat/>
    <w:rsid w:val="00FE22FF"/>
    <w:pPr>
      <w:ind w:left="720"/>
      <w:contextualSpacing/>
    </w:pPr>
  </w:style>
  <w:style w:type="character" w:styleId="IntenseEmphasis">
    <w:name w:val="Intense Emphasis"/>
    <w:basedOn w:val="DefaultParagraphFont"/>
    <w:uiPriority w:val="21"/>
    <w:qFormat/>
    <w:rsid w:val="00FE22FF"/>
    <w:rPr>
      <w:i/>
      <w:iCs/>
      <w:color w:val="0F4761" w:themeColor="accent1" w:themeShade="BF"/>
    </w:rPr>
  </w:style>
  <w:style w:type="paragraph" w:styleId="IntenseQuote">
    <w:name w:val="Intense Quote"/>
    <w:basedOn w:val="Normal"/>
    <w:next w:val="Normal"/>
    <w:link w:val="IntenseQuoteChar"/>
    <w:uiPriority w:val="30"/>
    <w:qFormat/>
    <w:rsid w:val="00FE22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22FF"/>
    <w:rPr>
      <w:i/>
      <w:iCs/>
      <w:color w:val="0F4761" w:themeColor="accent1" w:themeShade="BF"/>
    </w:rPr>
  </w:style>
  <w:style w:type="character" w:styleId="IntenseReference">
    <w:name w:val="Intense Reference"/>
    <w:basedOn w:val="DefaultParagraphFont"/>
    <w:uiPriority w:val="32"/>
    <w:qFormat/>
    <w:rsid w:val="00FE22FF"/>
    <w:rPr>
      <w:b/>
      <w:bCs/>
      <w:smallCaps/>
      <w:color w:val="0F4761" w:themeColor="accent1" w:themeShade="BF"/>
      <w:spacing w:val="5"/>
    </w:rPr>
  </w:style>
  <w:style w:type="character" w:styleId="CommentReference">
    <w:name w:val="annotation reference"/>
    <w:basedOn w:val="DefaultParagraphFont"/>
    <w:uiPriority w:val="99"/>
    <w:semiHidden/>
    <w:unhideWhenUsed/>
    <w:rsid w:val="00801CD1"/>
    <w:rPr>
      <w:sz w:val="16"/>
      <w:szCs w:val="16"/>
    </w:rPr>
  </w:style>
  <w:style w:type="paragraph" w:styleId="CommentText">
    <w:name w:val="annotation text"/>
    <w:basedOn w:val="Normal"/>
    <w:link w:val="CommentTextChar"/>
    <w:uiPriority w:val="99"/>
    <w:semiHidden/>
    <w:unhideWhenUsed/>
    <w:rsid w:val="00801CD1"/>
    <w:pPr>
      <w:spacing w:line="240" w:lineRule="auto"/>
    </w:pPr>
    <w:rPr>
      <w:sz w:val="20"/>
      <w:szCs w:val="20"/>
    </w:rPr>
  </w:style>
  <w:style w:type="character" w:customStyle="1" w:styleId="CommentTextChar">
    <w:name w:val="Comment Text Char"/>
    <w:basedOn w:val="DefaultParagraphFont"/>
    <w:link w:val="CommentText"/>
    <w:uiPriority w:val="99"/>
    <w:semiHidden/>
    <w:rsid w:val="00801CD1"/>
    <w:rPr>
      <w:rFonts w:ascii="Times New Roman" w:eastAsia="Times New Roman" w:hAnsi="Times New Roman" w:cs="Times New Roman"/>
      <w:color w:val="000000"/>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801CD1"/>
    <w:rPr>
      <w:b/>
      <w:bCs/>
    </w:rPr>
  </w:style>
  <w:style w:type="character" w:customStyle="1" w:styleId="CommentSubjectChar">
    <w:name w:val="Comment Subject Char"/>
    <w:basedOn w:val="CommentTextChar"/>
    <w:link w:val="CommentSubject"/>
    <w:uiPriority w:val="99"/>
    <w:semiHidden/>
    <w:rsid w:val="00801CD1"/>
    <w:rPr>
      <w:rFonts w:ascii="Times New Roman" w:eastAsia="Times New Roman" w:hAnsi="Times New Roman" w:cs="Times New Roman"/>
      <w:b/>
      <w:bCs/>
      <w:color w:val="000000"/>
      <w:kern w:val="0"/>
      <w:sz w:val="20"/>
      <w:szCs w:val="20"/>
      <w14:ligatures w14:val="none"/>
    </w:rPr>
  </w:style>
  <w:style w:type="character" w:styleId="Strong">
    <w:name w:val="Strong"/>
    <w:basedOn w:val="DefaultParagraphFont"/>
    <w:uiPriority w:val="22"/>
    <w:qFormat/>
    <w:rsid w:val="00DE4F0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4.png"/><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image" Target="media/image2.png"/><Relationship Id="rId12" Type="http://schemas.microsoft.com/office/2018/08/relationships/commentsExtensible" Target="commentsExtensible.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image" Target="media/image1.png"/><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image" Target="media/image6.emf"/><Relationship Id="rId10" Type="http://schemas.microsoft.com/office/2011/relationships/commentsExtended" Target="commentsExtended.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5.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7DD602-9FE5-2647-B562-22E7A4C6BA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14</Pages>
  <Words>3210</Words>
  <Characters>18297</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Gleich, Leila</dc:creator>
  <cp:keywords/>
  <dc:description/>
  <cp:lastModifiedBy>Gleich, Leila</cp:lastModifiedBy>
  <cp:revision>34</cp:revision>
  <dcterms:created xsi:type="dcterms:W3CDTF">2026-10-07T00:09:00Z</dcterms:created>
  <dcterms:modified xsi:type="dcterms:W3CDTF">2026-10-10T04:16:00Z</dcterms:modified>
</cp:coreProperties>
</file>