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1945B564"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316C9D4F"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multi-source</w:t>
      </w:r>
      <w:r w:rsidR="00643EC5">
        <w:t xml:space="preserve"> data</w:t>
      </w:r>
      <w:r w:rsidR="00FE22FF" w:rsidRPr="00895BAC">
        <w:t xml:space="preserve"> warehouse; Section 4.2 details the four-tier filtering pipeline that establishe</w:t>
      </w:r>
      <w:r w:rsidR="00643EC5">
        <w:t>s</w:t>
      </w:r>
      <w:r w:rsidR="00FE22FF" w:rsidRPr="00895BAC">
        <w:t xml:space="preserve"> the nine-airport, twelve-complex experimental cohort; Section 4.3 outlines feature engineering, training configurations, and 2025 holdout execution protocols; and Section 4.4 </w:t>
      </w:r>
      <w:r w:rsidR="004A3777">
        <w:t>discusses</w:t>
      </w:r>
      <w:r w:rsidR="00FE22FF" w:rsidRPr="00895BAC">
        <w:t xml:space="preserve">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9DA0BB5"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 xml:space="preserve">cross TSA checkpoint logs, Bureau of Transportation Statistics (BTS) On-Time Performance (OTP), BTS Form 41 Schedule T-100 Segment data, and BTS DB1B/DB1C ticket coupon surveys </w:t>
      </w:r>
      <w:r w:rsidRPr="0014663D">
        <w:rPr>
          <w:highlight w:val="yellow"/>
        </w:rPr>
        <w:t>(Appendix for details)</w:t>
      </w:r>
      <w:r w:rsidRPr="00895BAC">
        <w:t>.</w:t>
      </w:r>
    </w:p>
    <w:p w14:paraId="42F3FB8F" w14:textId="7ACC4030" w:rsidR="00FE22FF" w:rsidRPr="00895BAC" w:rsidRDefault="00FE22FF" w:rsidP="00B33A48">
      <w:pPr>
        <w:ind w:firstLine="720"/>
        <w:contextualSpacing/>
      </w:pPr>
      <w:r w:rsidRPr="00895BAC">
        <w:t xml:space="preserve">Following conformed extraction, automated entity resolution, data cleaning, and </w:t>
      </w:r>
      <w:r w:rsidR="00243745" w:rsidRPr="00895BAC">
        <w:t>relational synthesis across standardized operational dimensions (</w:t>
      </w:r>
      <w:r w:rsidR="00243745" w:rsidRPr="001676E7">
        <w:rPr>
          <w:i/>
          <w:iCs/>
        </w:rPr>
        <w:t xml:space="preserve">calendar date, departure time block, </w:t>
      </w:r>
      <w:r w:rsidR="00610F23" w:rsidRPr="001676E7">
        <w:rPr>
          <w:i/>
          <w:iCs/>
        </w:rPr>
        <w:t>airport</w:t>
      </w:r>
      <w:r w:rsidR="00243745" w:rsidRPr="001676E7">
        <w:rPr>
          <w:i/>
          <w:iCs/>
        </w:rPr>
        <w:t>, operating carrier, fleet aircraft type,</w:t>
      </w:r>
      <w:r w:rsidR="00243745" w:rsidRPr="001676E7">
        <w:t xml:space="preserve"> and</w:t>
      </w:r>
      <w:r w:rsidR="00243745" w:rsidRPr="001676E7">
        <w:rPr>
          <w:i/>
          <w:iCs/>
        </w:rPr>
        <w:t xml:space="preserve"> dedicated screening complex</w:t>
      </w:r>
      <w:r w:rsidR="00243745" w:rsidRPr="00895BAC">
        <w:t xml:space="preserve">), </w:t>
      </w:r>
      <w:r w:rsidRPr="00895BAC">
        <w:t xml:space="preserve">the nationwide post-ETL analytical warehouse retains 42,062,039 conformed records across the candidate network of the Top 25 U.S. commercial </w:t>
      </w:r>
      <w:r w:rsidR="00610F23">
        <w:t>airport</w:t>
      </w:r>
      <w:r w:rsidRPr="00895BAC">
        <w:t>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5E17E901" w14:textId="196725F0" w:rsidR="00FE22FF" w:rsidRPr="00895BAC" w:rsidRDefault="009E1C8A" w:rsidP="00310F3F">
      <w:pPr>
        <w:contextualSpacing/>
      </w:pPr>
      <w:r>
        <w:t xml:space="preserve">See </w:t>
      </w:r>
      <w:r w:rsidR="00310F3F">
        <w:t xml:space="preserve">Appendix for a discussion of </w:t>
      </w:r>
      <w:r w:rsidR="00AA540D">
        <w:t>descriptive statistics for post ETL Data</w:t>
      </w:r>
    </w:p>
    <w:p w14:paraId="5652BD07" w14:textId="77777777" w:rsidR="00FE22FF" w:rsidRPr="00895BAC" w:rsidRDefault="00FE22FF" w:rsidP="00895BAC">
      <w:pPr>
        <w:pStyle w:val="Heading3"/>
      </w:pPr>
      <w:bookmarkStart w:id="6" w:name="_Toc242174147"/>
      <w:bookmarkStart w:id="7" w:name="_Toc242174799"/>
      <w:r w:rsidRPr="00895BAC">
        <w:t>Temporal Boundaries</w:t>
      </w:r>
      <w:bookmarkEnd w:id="6"/>
      <w:bookmarkEnd w:id="7"/>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62D31B31" w:rsidR="00FE22FF" w:rsidRPr="00895BAC" w:rsidRDefault="00FE22FF" w:rsidP="00895BAC">
      <w:pPr>
        <w:ind w:firstLine="360"/>
        <w:contextualSpacing/>
      </w:pPr>
      <w:bookmarkStart w:id="8" w:name="_Toc242174148"/>
      <w:bookmarkStart w:id="9" w:name="_Toc242174800"/>
      <w:r w:rsidRPr="00895BAC">
        <w:rPr>
          <w:b/>
          <w:bCs/>
        </w:rPr>
        <w:t>Post-Pandemic Regime Selection and Structural Break Analysis</w:t>
      </w:r>
      <w:bookmarkEnd w:id="8"/>
      <w:bookmarkEnd w:id="9"/>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 xml:space="preserve">-tests and Cumulative Sum (CUSUM) trajectory tracking across the Top 25 </w:t>
      </w:r>
      <w:r w:rsidR="00610F23">
        <w:t>airport</w:t>
      </w:r>
      <w:r w:rsidR="00A30342" w:rsidRPr="00895BAC">
        <w: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xml:space="preserve">); and the establishment of a clean 32-month development </w:t>
      </w:r>
      <w:r w:rsidR="00A30342" w:rsidRPr="00895BAC">
        <w:lastRenderedPageBreak/>
        <w:t>baseline. 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p>
    <w:p w14:paraId="67EA1B70" w14:textId="77777777" w:rsidR="00FE22FF" w:rsidRPr="00895BAC" w:rsidRDefault="00FE22FF" w:rsidP="00895BAC">
      <w:pPr>
        <w:pStyle w:val="Heading3"/>
      </w:pPr>
      <w:bookmarkStart w:id="10" w:name="_Toc242174149"/>
      <w:bookmarkStart w:id="11" w:name="_Toc242174801"/>
      <w:r w:rsidRPr="00895BAC">
        <w:t>Defining Seasonality</w:t>
      </w:r>
      <w:bookmarkEnd w:id="10"/>
      <w:bookmarkEnd w:id="11"/>
    </w:p>
    <w:p w14:paraId="1B2B9439" w14:textId="23A5270A"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r w:rsidR="00947D65">
        <w:t xml:space="preserve"> See appendix for </w:t>
      </w:r>
      <w:r w:rsidR="003C5D05">
        <w:t xml:space="preserve">Seasonality Dimensions detail. It is important to define these for models to </w:t>
      </w:r>
      <w:r w:rsidR="00A1695E">
        <w:t>consider</w:t>
      </w:r>
      <w:r w:rsidR="003C5D05">
        <w:t xml:space="preserve"> so like for like is being compared. </w:t>
      </w:r>
    </w:p>
    <w:p w14:paraId="4FA6C4BE" w14:textId="54FA419D" w:rsidR="00FE22FF" w:rsidRPr="00895BAC" w:rsidRDefault="00FE22FF" w:rsidP="00895BAC">
      <w:pPr>
        <w:contextualSpacing/>
        <w:rPr>
          <w:b/>
          <w:bCs/>
          <w:i/>
          <w:iCs/>
        </w:rPr>
      </w:pPr>
      <w:bookmarkStart w:id="12" w:name="_Toc242174150"/>
      <w:bookmarkStart w:id="13" w:name="_Toc242174802"/>
      <w:r w:rsidRPr="00895BAC">
        <w:rPr>
          <w:b/>
          <w:bCs/>
          <w:i/>
          <w:iCs/>
        </w:rPr>
        <w:t>TSA and OTP Throughput Data</w:t>
      </w:r>
      <w:bookmarkEnd w:id="12"/>
      <w:bookmarkEnd w:id="13"/>
    </w:p>
    <w:p w14:paraId="4BD685D0" w14:textId="0919FDA0"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w:t>
      </w:r>
      <w:r w:rsidR="00610F23">
        <w:t>airport</w:t>
      </w:r>
      <w:r w:rsidRPr="00895BAC">
        <w:t xml:space="preserve">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w:t>
      </w:r>
      <w:r w:rsidRPr="00895BAC">
        <w:lastRenderedPageBreak/>
        <w:t>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commentRangeStart w:id="14"/>
      <w:r w:rsidRPr="00895BAC">
        <w:rPr>
          <w:b/>
          <w:bCs/>
        </w:rPr>
        <w:t>Coupled Volatility and Asynchronous Lag Dynamics</w:t>
      </w:r>
      <w:commentRangeEnd w:id="14"/>
      <w:r w:rsidR="00704D85" w:rsidRPr="00895BAC">
        <w:rPr>
          <w:rStyle w:val="CommentReference"/>
          <w:sz w:val="24"/>
          <w:szCs w:val="24"/>
        </w:rPr>
        <w:commentReference w:id="14"/>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t>Implications for Subset</w:t>
      </w:r>
    </w:p>
    <w:p w14:paraId="5009C015" w14:textId="4C08EB89" w:rsidR="00626B04" w:rsidRDefault="00626B04" w:rsidP="00895BAC">
      <w:pPr>
        <w:ind w:firstLine="360"/>
        <w:contextualSpacing/>
      </w:pPr>
      <w:r>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t>errors</w:t>
      </w:r>
      <w:r>
        <w:t xml:space="preserve">, these macro-level seasonal regimes and cross-dataset relationships </w:t>
      </w:r>
      <w:r w:rsidRPr="00AB16B8">
        <w:rPr>
          <w:u w:val="single"/>
        </w:rPr>
        <w:t>are not used as direct regression features</w:t>
      </w:r>
      <w:r>
        <w:t xml:space="preserve">. Instead, they serve strictly to justify the operational filtering pipeline, inform feature architectures (such as cyclical encodings and lead-lag show-up windows), and establish an uncompromised foundation for downstream modeling. </w:t>
      </w:r>
    </w:p>
    <w:p w14:paraId="00126CD5" w14:textId="4F5E3C50" w:rsidR="00FE22FF" w:rsidRPr="00895BAC" w:rsidRDefault="00626B04" w:rsidP="00895BAC">
      <w:pPr>
        <w:ind w:firstLine="360"/>
        <w:contextualSpacing/>
      </w:pPr>
      <w:r>
        <w:t xml:space="preserve">The exploratory analysis also reveals that commercial </w:t>
      </w:r>
      <w:r w:rsidR="00610F23">
        <w:t>airport</w:t>
      </w:r>
      <w:r>
        <w:t xml:space="preserve">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w:r w:rsidR="00826173">
        <w:t xml:space="preserve">(see appendix for equation) </w:t>
      </w:r>
      <w:r>
        <w:t xml:space="preserve">making it mathematically impossible </w:t>
      </w:r>
      <w:r>
        <w:lastRenderedPageBreak/>
        <w:t>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5" w:name="_Toc242174151"/>
      <w:bookmarkStart w:id="16" w:name="_Toc242174803"/>
      <w:r w:rsidRPr="00895BAC">
        <w:t>Data Filtering and Subset Selection</w:t>
      </w:r>
      <w:bookmarkEnd w:id="15"/>
      <w:bookmarkEnd w:id="16"/>
    </w:p>
    <w:p w14:paraId="0752F8CF" w14:textId="77777777" w:rsidR="00FE22FF" w:rsidRPr="00895BAC" w:rsidRDefault="00FE22FF" w:rsidP="00895BAC">
      <w:pPr>
        <w:pStyle w:val="Heading3"/>
      </w:pPr>
      <w:bookmarkStart w:id="17" w:name="_Toc242174152"/>
      <w:bookmarkStart w:id="18" w:name="_Toc242174804"/>
      <w:r w:rsidRPr="00895BAC">
        <w:t>Four-Phase Filtering Pipeline</w:t>
      </w:r>
      <w:bookmarkEnd w:id="17"/>
      <w:bookmarkEnd w:id="18"/>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4255A32" w:rsidR="00FE22FF" w:rsidRPr="00895BAC" w:rsidRDefault="001759BF" w:rsidP="00895BAC">
      <w:pPr>
        <w:ind w:firstLine="360"/>
        <w:contextualSpacing/>
      </w:pPr>
      <w:r w:rsidRPr="00895BAC">
        <w:t xml:space="preserve">The four-phase purposive filtering pipeline systematically isolates single-carrier screening dynamics from confounding network interactions. In Phase 1 (Macro Filter), the national candidate pool of 450+ commercial </w:t>
      </w:r>
      <w:r w:rsidR="00610F23">
        <w:t>airport</w:t>
      </w:r>
      <w:r w:rsidRPr="00895BAC">
        <w:t xml:space="preserve">s was filtered down to the Top 25 </w:t>
      </w:r>
      <w:r w:rsidR="00610F23">
        <w:t>airport</w:t>
      </w:r>
      <w:r w:rsidRPr="00895BAC">
        <w:t>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w:t>
      </w:r>
      <w:r w:rsidRPr="0091382A">
        <w:rPr>
          <w:highlight w:val="yellow"/>
        </w:rPr>
        <w:t>factorial</w:t>
      </w:r>
      <w:r w:rsidRPr="00895BAC">
        <w:t xml:space="preserve"> design across 12 dedicated screening </w:t>
      </w:r>
      <w:r w:rsidRPr="00895BAC">
        <w:lastRenderedPageBreak/>
        <w:t xml:space="preserve">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r w:rsidR="00101D58" w:rsidRPr="00101D58">
        <w:t xml:space="preserve">For an in depth </w:t>
      </w:r>
      <w:r w:rsidR="00101D58">
        <w:t>outline of the phases, please refer to the appendix</w:t>
      </w:r>
    </w:p>
    <w:p w14:paraId="0DA81029" w14:textId="77777777" w:rsidR="00FE22FF" w:rsidRPr="00895BAC" w:rsidRDefault="00FE22FF" w:rsidP="00895BAC">
      <w:pPr>
        <w:pStyle w:val="Heading3"/>
      </w:pPr>
      <w:r w:rsidRPr="00895BAC">
        <w:t>Pipeline Results</w:t>
      </w:r>
    </w:p>
    <w:p w14:paraId="0380BBC8" w14:textId="442AD3EA" w:rsidR="00FE22FF" w:rsidRPr="00895BAC" w:rsidRDefault="00FE22FF" w:rsidP="00895BAC">
      <w:pPr>
        <w:ind w:firstLine="720"/>
        <w:contextualSpacing/>
      </w:pPr>
      <w:r w:rsidRPr="00895BAC">
        <w:t xml:space="preserve">The filtering pipeline isolated 9 commercial </w:t>
      </w:r>
      <w:r w:rsidR="00610F23">
        <w:t>airport</w:t>
      </w:r>
      <w:r w:rsidRPr="00895BAC">
        <w:t>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3"/>
                    <a:stretch>
                      <a:fillRect/>
                    </a:stretch>
                  </pic:blipFill>
                  <pic:spPr>
                    <a:xfrm>
                      <a:off x="0" y="0"/>
                      <a:ext cx="6114214" cy="1673724"/>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lastRenderedPageBreak/>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4"/>
                    <a:stretch>
                      <a:fillRect/>
                    </a:stretch>
                  </pic:blipFill>
                  <pic:spPr>
                    <a:xfrm>
                      <a:off x="0" y="0"/>
                      <a:ext cx="5943600" cy="2971800"/>
                    </a:xfrm>
                    <a:prstGeom prst="rect">
                      <a:avLst/>
                    </a:prstGeom>
                  </pic:spPr>
                </pic:pic>
              </a:graphicData>
            </a:graphic>
          </wp:inline>
        </w:drawing>
      </w:r>
    </w:p>
    <w:p w14:paraId="22F5B56D" w14:textId="77777777" w:rsidR="00354040" w:rsidRDefault="00FE22FF" w:rsidP="00106ED0">
      <w:pPr>
        <w:ind w:firstLine="720"/>
        <w:contextualSpacing/>
      </w:pPr>
      <w:r w:rsidRPr="00895BAC">
        <w:t>Compared to the broader Top 25 network, the 9-airport cohort exhibits</w:t>
      </w:r>
      <w:r w:rsidR="00A507BC">
        <w:t xml:space="preserve"> higher flight movement density, higher delay and cancellation exposure, and high local originating demand. For details on </w:t>
      </w:r>
      <w:r w:rsidR="00A44A0F">
        <w:t xml:space="preserve">comparing the top 25 network to the 9 airport cohort, </w:t>
      </w:r>
      <w:r w:rsidR="00A44A0F" w:rsidRPr="00354040">
        <w:rPr>
          <w:highlight w:val="yellow"/>
        </w:rPr>
        <w:t>please refer to the appendix.</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lastRenderedPageBreak/>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5"/>
                    <a:stretch>
                      <a:fillRect/>
                    </a:stretch>
                  </pic:blipFill>
                  <pic:spPr>
                    <a:xfrm>
                      <a:off x="0" y="0"/>
                      <a:ext cx="5943600" cy="2063750"/>
                    </a:xfrm>
                    <a:prstGeom prst="rect">
                      <a:avLst/>
                    </a:prstGeom>
                  </pic:spPr>
                </pic:pic>
              </a:graphicData>
            </a:graphic>
          </wp:inline>
        </w:drawing>
      </w:r>
    </w:p>
    <w:p w14:paraId="67582A21" w14:textId="0C3D1FDC" w:rsidR="00FE22FF" w:rsidRPr="00895BAC" w:rsidRDefault="00FE22FF" w:rsidP="00D31CD3">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90–120 minute modal passenger show-up window established in airport terminal planning guidelines (Airport Cooperative Research Program [ACRP] Report 40; Transportation Research Board, 2010).</w:t>
      </w:r>
      <w:r w:rsidR="00D85F41">
        <w:t xml:space="preserve"> </w:t>
      </w:r>
      <w:r w:rsidR="00107BCB">
        <w:t xml:space="preserve">After scaling by booked load factors and deflating airside connecting passengers who never enter landside security, this transformation converts published flight timetables into an accurate baseline forecast of checkpoint queuing demand. </w:t>
      </w:r>
      <w:r w:rsidRPr="00D31CD3">
        <w:rPr>
          <w:highlight w:val="yellow"/>
        </w:rPr>
        <w:t>See appendix for the complete feature engineering pipeline</w:t>
      </w:r>
      <w:r w:rsidR="00107BCB" w:rsidRPr="00D31CD3">
        <w:rPr>
          <w:highlight w:val="yellow"/>
        </w:rPr>
        <w:t>.</w:t>
      </w:r>
    </w:p>
    <w:p w14:paraId="3C552D13" w14:textId="77777777" w:rsidR="00FE22FF" w:rsidRPr="00895BAC" w:rsidRDefault="00FE22FF" w:rsidP="00895BAC">
      <w:pPr>
        <w:pStyle w:val="Heading3"/>
      </w:pPr>
      <w:r w:rsidRPr="00895BAC">
        <w:t>Model Training</w:t>
      </w:r>
    </w:p>
    <w:p w14:paraId="220C802C" w14:textId="67B8EEC9" w:rsidR="00553B49" w:rsidRPr="00CA13DE" w:rsidRDefault="00553B49" w:rsidP="008A3622">
      <w:pPr>
        <w:ind w:firstLine="720"/>
        <w:rPr>
          <w:color w:val="000000" w:themeColor="text1"/>
        </w:rPr>
      </w:pPr>
      <w:r>
        <w:t xml:space="preserve">To </w:t>
      </w:r>
      <w:r w:rsidRPr="00CA13DE">
        <w:rPr>
          <w:color w:val="000000" w:themeColor="text1"/>
        </w:rPr>
        <w:t xml:space="preserve">test the thesis hypothesis, three candidate predictive models representing distinct operational paradigms were evaluated against an empirical persistence control. The Baseline Control assumes today's hourly checkpoint arrival volatility repeats </w:t>
      </w:r>
      <w:r w:rsidRPr="00306E7C">
        <w:rPr>
          <w:color w:val="000000" w:themeColor="text1"/>
          <w:u w:val="single"/>
        </w:rPr>
        <w:t xml:space="preserve">yesterday's </w:t>
      </w:r>
      <w:r w:rsidRPr="00CA13DE">
        <w:rPr>
          <w:color w:val="000000" w:themeColor="text1"/>
        </w:rPr>
        <w:t>observed dispersion</w:t>
      </w:r>
      <w:r w:rsidR="00306E7C">
        <w:rPr>
          <w:color w:val="000000" w:themeColor="text1"/>
        </w:rPr>
        <w:t xml:space="preserve">. </w:t>
      </w:r>
      <w:r w:rsidRPr="00CA13DE">
        <w:rPr>
          <w:color w:val="000000" w:themeColor="text1"/>
        </w:rPr>
        <w:t>Model 1 (Deterministic Flight Schedule Model) projects passenger arrival dispersion by convolving scheduled airline flight departure banks across empirical ACRP Report 40 show-up curves (</w:t>
      </w:r>
      <m:oMath>
        <m:r>
          <w:rPr>
            <w:rFonts w:ascii="Cambria Math" w:hAnsi="Cambria Math"/>
            <w:color w:val="000000" w:themeColor="text1"/>
          </w:rPr>
          <m:t>t+1,t+2,t+3</m:t>
        </m:r>
      </m:oMath>
      <w:r w:rsidRPr="00CA13DE">
        <w:rPr>
          <w:color w:val="000000" w:themeColor="text1"/>
        </w:rPr>
        <w:t xml:space="preserve">), capturing schedule geometry without requiring machine learning or live delay telemetry. Model 2 (Supervised Machine Learning Model) uses an automated decision-tree architecture trained across convolved schedule features and 24 Bureau of </w:t>
      </w:r>
      <w:r w:rsidRPr="00CA13DE">
        <w:rPr>
          <w:color w:val="000000" w:themeColor="text1"/>
        </w:rPr>
        <w:lastRenderedPageBreak/>
        <w:t>Transportation Statistics (BTS) On-Time Performance 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19"/>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19"/>
      <w:r w:rsidR="004A5CD1" w:rsidRPr="00CA13DE">
        <w:rPr>
          <w:rStyle w:val="CommentReference"/>
          <w:color w:val="000000" w:themeColor="text1"/>
          <w:sz w:val="24"/>
          <w:szCs w:val="24"/>
        </w:rPr>
        <w:commentReference w:id="19"/>
      </w:r>
    </w:p>
    <w:p w14:paraId="1B5F44B3" w14:textId="40562DAE" w:rsidR="00E40D42" w:rsidRPr="00895BAC" w:rsidRDefault="00FE22FF" w:rsidP="00895BAC">
      <w:pPr>
        <w:contextualSpacing/>
        <w:rPr>
          <w:b/>
          <w:bCs/>
          <w:i/>
          <w:iCs/>
        </w:rPr>
      </w:pPr>
      <w:r w:rsidRPr="00895BAC">
        <w:rPr>
          <w:b/>
          <w:bCs/>
          <w:i/>
          <w:iCs/>
        </w:rPr>
        <w:t>Model Testing</w:t>
      </w:r>
    </w:p>
    <w:p w14:paraId="1E9E3F78" w14:textId="5BE57BA5" w:rsidR="00FE22FF" w:rsidRPr="00895BAC" w:rsidRDefault="00E40D42" w:rsidP="00895BAC">
      <w:pPr>
        <w:ind w:firstLine="360"/>
        <w:contextualSpacing/>
      </w:pPr>
      <w:r w:rsidRPr="00895BAC">
        <w:t xml:space="preserve">All candidate architectures were evaluated against the untouched 2025 </w:t>
      </w:r>
      <w:commentRangeStart w:id="20"/>
      <w:r w:rsidRPr="00895BAC">
        <w:t>Full-Year Out-of-Time Holdout Dataset</w:t>
      </w:r>
      <w:commentRangeEnd w:id="20"/>
      <w:r w:rsidR="00A32BD6">
        <w:rPr>
          <w:rStyle w:val="CommentReference"/>
          <w:sz w:val="24"/>
          <w:szCs w:val="24"/>
        </w:rPr>
        <w:commentReference w:id="20"/>
      </w:r>
      <w:r w:rsidR="00362FD2">
        <w:t>.</w:t>
      </w:r>
      <w:r w:rsidRPr="00895BAC">
        <w:t xml:space="preserve"> Forecast performance was evaluated against the primary thesis target of </w:t>
      </w:r>
      <w:commentRangeStart w:id="21"/>
      <w:r w:rsidRPr="00895BAC">
        <w:t xml:space="preserve">diurnal </w:t>
      </w:r>
      <w:commentRangeEnd w:id="21"/>
      <w:r w:rsidR="00B0640E" w:rsidRPr="00895BAC">
        <w:rPr>
          <w:rStyle w:val="CommentReference"/>
          <w:sz w:val="24"/>
          <w:szCs w:val="24"/>
        </w:rPr>
        <w:commentReference w:id="21"/>
      </w:r>
      <w:r w:rsidRPr="00895BAC">
        <w:t>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xml:space="preserve">, measured as pax/hr standard deviation across the 24 hours of each day) alongside </w:t>
      </w:r>
      <w:r w:rsidRPr="00E02FD3">
        <w:rPr>
          <w:highlight w:val="yellow"/>
        </w:rPr>
        <w:t>scale-free relative volatility</w:t>
      </w:r>
      <w:r w:rsidRPr="00895BAC">
        <w:t xml:space="preserve">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E02FD3">
        <w:t>. Please see appendix for details on how to interpret these standard operational performance criteria.</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lastRenderedPageBreak/>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37F4C04" w:rsidR="00FE22FF" w:rsidRPr="00895BAC" w:rsidRDefault="00FE22FF" w:rsidP="00895BAC">
      <w:pPr>
        <w:ind w:firstLine="720"/>
        <w:contextualSpacing/>
      </w:pPr>
      <w:r w:rsidRPr="00895BAC">
        <w:t>Table 4.10 reports the out-of-time evaluation benchmark matrix across the candidate model architectures on the 2025 holdout dataset</w:t>
      </w:r>
      <w:r w:rsidR="00CC77D9">
        <w:t>.</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6"/>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2" w:name="_Toc242174153"/>
      <w:bookmarkStart w:id="23" w:name="_Toc242174805"/>
      <w:r w:rsidRPr="00895BAC">
        <w:t>General Model Performance Across the 9-Airport Cohort</w:t>
      </w:r>
      <w:bookmarkEnd w:id="22"/>
      <w:bookmarkEnd w:id="23"/>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lastRenderedPageBreak/>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1913E880" w:rsidR="00760008" w:rsidRPr="00895BAC" w:rsidRDefault="00760008" w:rsidP="00895BAC">
      <w:pPr>
        <w:ind w:firstLine="720"/>
        <w:contextualSpacing/>
      </w:pPr>
      <w:r w:rsidRPr="00895BAC">
        <w:t>The thesis hypothesis (Hypothesis 1)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4" w:name="_Toc242174154"/>
      <w:bookmarkStart w:id="25" w:name="_Toc242174806"/>
      <w:r w:rsidRPr="00895BAC">
        <w:t>Empirical Confirmation of Asymmetric Trade-Offs</w:t>
      </w:r>
      <w:bookmarkEnd w:id="24"/>
      <w:bookmarkEnd w:id="25"/>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w:t>
      </w:r>
      <w:r w:rsidR="00682543" w:rsidRPr="00895BAC">
        <w:lastRenderedPageBreak/>
        <w:t>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Gleich, Leila" w:date="2026-10-06T17:11:00Z" w:initials="GL">
    <w:p w14:paraId="38EF5514" w14:textId="77777777" w:rsidR="00704D85" w:rsidRDefault="00704D85" w:rsidP="00704D85">
      <w:r>
        <w:rPr>
          <w:rStyle w:val="CommentReference"/>
        </w:rPr>
        <w:annotationRef/>
      </w:r>
      <w:r>
        <w:rPr>
          <w:sz w:val="20"/>
          <w:szCs w:val="20"/>
        </w:rPr>
        <w:t>Reword</w:t>
      </w:r>
    </w:p>
  </w:comment>
  <w:comment w:id="19"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 w:id="20" w:author="Gleich, Leila" w:date="2026-10-06T17:22:00Z" w:initials="GL">
    <w:p w14:paraId="6C03471C" w14:textId="77777777" w:rsidR="00A32BD6" w:rsidRDefault="00A32BD6" w:rsidP="00A32BD6">
      <w:r>
        <w:rPr>
          <w:rStyle w:val="CommentReference"/>
        </w:rPr>
        <w:annotationRef/>
      </w:r>
      <w:r>
        <w:rPr>
          <w:sz w:val="20"/>
          <w:szCs w:val="20"/>
        </w:rPr>
        <w:t>Explain what a holdout is</w:t>
      </w:r>
    </w:p>
  </w:comment>
  <w:comment w:id="21" w:author="Gleich, Leila" w:date="2026-10-06T17:23:00Z" w:initials="GL">
    <w:p w14:paraId="3ED20FD8" w14:textId="77777777" w:rsidR="00B0640E" w:rsidRDefault="00B0640E" w:rsidP="00B0640E">
      <w:r>
        <w:rPr>
          <w:rStyle w:val="CommentReference"/>
        </w:rPr>
        <w:annotationRef/>
      </w:r>
      <w:r>
        <w:rPr>
          <w:sz w:val="20"/>
          <w:szCs w:val="20"/>
        </w:rPr>
        <w:t>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EF5514" w15:done="0"/>
  <w15:commentEx w15:paraId="763D4259" w15:done="0"/>
  <w15:commentEx w15:paraId="6C03471C" w15:done="0"/>
  <w15:commentEx w15:paraId="3ED20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06ACAE" w16cex:dateUtc="2026-10-07T00:11:00Z"/>
  <w16cex:commentExtensible w16cex:durableId="19A75B7F" w16cex:dateUtc="2026-10-06T23:32:00Z"/>
  <w16cex:commentExtensible w16cex:durableId="0519FBD7" w16cex:dateUtc="2026-10-07T00:22:00Z"/>
  <w16cex:commentExtensible w16cex:durableId="525D8A77" w16cex:dateUtc="2026-10-07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EF5514" w16cid:durableId="1606ACAE"/>
  <w16cid:commentId w16cid:paraId="763D4259" w16cid:durableId="19A75B7F"/>
  <w16cid:commentId w16cid:paraId="6C03471C" w16cid:durableId="0519FBD7"/>
  <w16cid:commentId w16cid:paraId="3ED20FD8" w16cid:durableId="525D8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21C93"/>
    <w:rsid w:val="000435EA"/>
    <w:rsid w:val="000B3680"/>
    <w:rsid w:val="000B7174"/>
    <w:rsid w:val="000C744B"/>
    <w:rsid w:val="00101D58"/>
    <w:rsid w:val="001027AC"/>
    <w:rsid w:val="00106ED0"/>
    <w:rsid w:val="00107BCB"/>
    <w:rsid w:val="00143FCA"/>
    <w:rsid w:val="0014663D"/>
    <w:rsid w:val="001676E7"/>
    <w:rsid w:val="001759BF"/>
    <w:rsid w:val="001C275F"/>
    <w:rsid w:val="00210080"/>
    <w:rsid w:val="002350E6"/>
    <w:rsid w:val="002354FC"/>
    <w:rsid w:val="00243745"/>
    <w:rsid w:val="00273628"/>
    <w:rsid w:val="00283C60"/>
    <w:rsid w:val="00291751"/>
    <w:rsid w:val="00295729"/>
    <w:rsid w:val="002B3A55"/>
    <w:rsid w:val="002B7944"/>
    <w:rsid w:val="002C3A4F"/>
    <w:rsid w:val="002F6BA1"/>
    <w:rsid w:val="00303062"/>
    <w:rsid w:val="00306E7C"/>
    <w:rsid w:val="00310F3F"/>
    <w:rsid w:val="00323EA8"/>
    <w:rsid w:val="00341734"/>
    <w:rsid w:val="00354040"/>
    <w:rsid w:val="00362FD2"/>
    <w:rsid w:val="00366380"/>
    <w:rsid w:val="003C24F6"/>
    <w:rsid w:val="003C5D05"/>
    <w:rsid w:val="003D67B4"/>
    <w:rsid w:val="004018C5"/>
    <w:rsid w:val="00402581"/>
    <w:rsid w:val="00431BEF"/>
    <w:rsid w:val="0045628D"/>
    <w:rsid w:val="0047660D"/>
    <w:rsid w:val="00482852"/>
    <w:rsid w:val="004A204C"/>
    <w:rsid w:val="004A2BD9"/>
    <w:rsid w:val="004A3777"/>
    <w:rsid w:val="004A5CD1"/>
    <w:rsid w:val="004E7D0B"/>
    <w:rsid w:val="004F1899"/>
    <w:rsid w:val="00512790"/>
    <w:rsid w:val="00516A28"/>
    <w:rsid w:val="00517FE5"/>
    <w:rsid w:val="00525542"/>
    <w:rsid w:val="0053527F"/>
    <w:rsid w:val="00540ACC"/>
    <w:rsid w:val="00551D8D"/>
    <w:rsid w:val="00553B49"/>
    <w:rsid w:val="00586F37"/>
    <w:rsid w:val="00597596"/>
    <w:rsid w:val="005D360B"/>
    <w:rsid w:val="005D45DE"/>
    <w:rsid w:val="005E7E1C"/>
    <w:rsid w:val="005F4684"/>
    <w:rsid w:val="006062C4"/>
    <w:rsid w:val="00610F23"/>
    <w:rsid w:val="00626B04"/>
    <w:rsid w:val="00643EC5"/>
    <w:rsid w:val="00651CE2"/>
    <w:rsid w:val="0067537F"/>
    <w:rsid w:val="00682543"/>
    <w:rsid w:val="006B1609"/>
    <w:rsid w:val="006C1506"/>
    <w:rsid w:val="006D5FF0"/>
    <w:rsid w:val="006F32B3"/>
    <w:rsid w:val="00704D85"/>
    <w:rsid w:val="00724533"/>
    <w:rsid w:val="00732190"/>
    <w:rsid w:val="0074327F"/>
    <w:rsid w:val="00760008"/>
    <w:rsid w:val="007D7BB2"/>
    <w:rsid w:val="007F537B"/>
    <w:rsid w:val="00801CD1"/>
    <w:rsid w:val="00811A28"/>
    <w:rsid w:val="008248AD"/>
    <w:rsid w:val="00826173"/>
    <w:rsid w:val="008300DD"/>
    <w:rsid w:val="00854018"/>
    <w:rsid w:val="00857917"/>
    <w:rsid w:val="00895BAC"/>
    <w:rsid w:val="008A3622"/>
    <w:rsid w:val="008C2F51"/>
    <w:rsid w:val="0091382A"/>
    <w:rsid w:val="00947D65"/>
    <w:rsid w:val="009576C4"/>
    <w:rsid w:val="00983825"/>
    <w:rsid w:val="009A495D"/>
    <w:rsid w:val="009A52F7"/>
    <w:rsid w:val="009B197A"/>
    <w:rsid w:val="009C20BE"/>
    <w:rsid w:val="009D38C5"/>
    <w:rsid w:val="009D6EFF"/>
    <w:rsid w:val="009E05EA"/>
    <w:rsid w:val="009E1C8A"/>
    <w:rsid w:val="009F38BB"/>
    <w:rsid w:val="00A1695E"/>
    <w:rsid w:val="00A30342"/>
    <w:rsid w:val="00A32BD6"/>
    <w:rsid w:val="00A44A0F"/>
    <w:rsid w:val="00A507BC"/>
    <w:rsid w:val="00A531B1"/>
    <w:rsid w:val="00A61379"/>
    <w:rsid w:val="00A66DA7"/>
    <w:rsid w:val="00A83C8B"/>
    <w:rsid w:val="00A97365"/>
    <w:rsid w:val="00AA540D"/>
    <w:rsid w:val="00AA726E"/>
    <w:rsid w:val="00AB16B8"/>
    <w:rsid w:val="00AD1DB1"/>
    <w:rsid w:val="00AD36B7"/>
    <w:rsid w:val="00B0640E"/>
    <w:rsid w:val="00B113B1"/>
    <w:rsid w:val="00B2420D"/>
    <w:rsid w:val="00B33A48"/>
    <w:rsid w:val="00B66396"/>
    <w:rsid w:val="00BD2540"/>
    <w:rsid w:val="00BF4FCE"/>
    <w:rsid w:val="00C36957"/>
    <w:rsid w:val="00C37DEC"/>
    <w:rsid w:val="00C72409"/>
    <w:rsid w:val="00C8471F"/>
    <w:rsid w:val="00C968B3"/>
    <w:rsid w:val="00CB3EC1"/>
    <w:rsid w:val="00CC77D9"/>
    <w:rsid w:val="00D02787"/>
    <w:rsid w:val="00D31CD3"/>
    <w:rsid w:val="00D77561"/>
    <w:rsid w:val="00D85F41"/>
    <w:rsid w:val="00D87092"/>
    <w:rsid w:val="00D95C0E"/>
    <w:rsid w:val="00DA26F4"/>
    <w:rsid w:val="00DC3937"/>
    <w:rsid w:val="00DD1A76"/>
    <w:rsid w:val="00DE4F0D"/>
    <w:rsid w:val="00E02FD3"/>
    <w:rsid w:val="00E367F5"/>
    <w:rsid w:val="00E40D42"/>
    <w:rsid w:val="00E67902"/>
    <w:rsid w:val="00E705D6"/>
    <w:rsid w:val="00E749E0"/>
    <w:rsid w:val="00E769F8"/>
    <w:rsid w:val="00ED64CD"/>
    <w:rsid w:val="00EF0E75"/>
    <w:rsid w:val="00EF3511"/>
    <w:rsid w:val="00F465A9"/>
    <w:rsid w:val="00F50F48"/>
    <w:rsid w:val="00F65823"/>
    <w:rsid w:val="00F709E9"/>
    <w:rsid w:val="00FB55E3"/>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e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5</cp:revision>
  <dcterms:created xsi:type="dcterms:W3CDTF">2026-10-10T04:34:00Z</dcterms:created>
  <dcterms:modified xsi:type="dcterms:W3CDTF">2026-10-10T04:36:00Z</dcterms:modified>
</cp:coreProperties>
</file>