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pPr>
      <w:r>
        <w:rPr>
          <w:rFonts w:ascii="Times New Roman" w:hAnsi="Times New Roman"/>
          <w:b/>
          <w:sz w:val="32"/>
        </w:rPr>
        <w:t>Appendix</w:t>
      </w:r>
    </w:p>
    <w:p>
      <w:pPr>
        <w:spacing w:before="0" w:after="360" w:line="480" w:lineRule="auto"/>
      </w:pPr>
      <w:r>
        <w:rPr>
          <w:rFonts w:ascii="Times New Roman" w:hAnsi="Times New Roman"/>
          <w:i/>
          <w:sz w:val="26"/>
        </w:rPr>
        <w:t>Supplementary Methodological, Econometric, and Operational Documentation</w:t>
      </w:r>
    </w:p>
    <w:p>
      <w:pPr>
        <w:spacing w:before="0" w:after="240" w:line="480" w:lineRule="auto"/>
        <w:ind w:left="720"/>
      </w:pPr>
      <w:r>
        <w:rPr>
          <w:rFonts w:ascii="Times New Roman" w:hAnsi="Times New Roman"/>
          <w:i/>
          <w:sz w:val="22"/>
        </w:rPr>
        <w:t>Note. This appendix compiles the supplementary methodological, econometric, and operational documentation supporting the thesis. Redundant sections have been consolidated into 14 cohesive, lettered appendices (Appendix A through Appendix N) strictly ordered to match the chronological sequence of citation across Chapters I through V. All embedded data tables have been removed from the text and replaced with standardized references to the authoritative source data files and companion visual assets archived in the final-thesis/figures repository folder.</w:t>
      </w:r>
    </w:p>
    <w:p>
      <w:pPr>
        <w:spacing w:before="360" w:after="120" w:line="480" w:lineRule="auto"/>
      </w:pPr>
      <w:r>
        <w:rPr>
          <w:rFonts w:ascii="Times New Roman" w:hAnsi="Times New Roman"/>
          <w:b/>
          <w:sz w:val="28"/>
        </w:rPr>
        <w:t>Appendix A: Delimitations, Research Limitations, and Methodological Assumptions</w:t>
      </w:r>
    </w:p>
    <w:p>
      <w:pPr>
        <w:spacing w:before="0" w:after="240" w:line="480" w:lineRule="auto"/>
        <w:ind w:left="720"/>
      </w:pPr>
      <w:r>
        <w:rPr>
          <w:rFonts w:ascii="Times New Roman" w:hAnsi="Times New Roman"/>
          <w:i/>
          <w:sz w:val="22"/>
        </w:rPr>
        <w:t>Note on Thesis Cross-References: This appendix establishes the formal operational boundaries, geographic coverage, longitudinal timeline, and the 14-point methodological assumption matrix designed to protect internal and external construct validity. It is referenced in Chapter I (Introduction), Section 1.6 (Delimitations) and Section 1.7 (Limitations and Assumptions); in Chapter III (Methodology), Section 3.4 (Internal Validity Threats and Remediation Protocols); and in Chapter V (Discussion), Section 5.6 (Strategic Implications for Airport and Security Authorities (Operational and Methodological Boundaries)).</w:t>
      </w:r>
    </w:p>
    <w:p>
      <w:pPr>
        <w:spacing w:before="240" w:after="120" w:line="480" w:lineRule="auto"/>
      </w:pPr>
      <w:r>
        <w:rPr>
          <w:rFonts w:ascii="Times New Roman" w:hAnsi="Times New Roman"/>
          <w:b/>
          <w:sz w:val="24"/>
        </w:rPr>
        <w:t>A.1 Research Delimitations and Scope Boundaries</w:t>
      </w:r>
    </w:p>
    <w:p>
      <w:pPr>
        <w:spacing w:before="0" w:after="120" w:line="480" w:lineRule="auto"/>
        <w:ind w:firstLine="720"/>
      </w:pPr>
      <w:r>
        <w:rPr>
          <w:rFonts w:ascii="Times New Roman" w:hAnsi="Times New Roman"/>
          <w:sz w:val="24"/>
        </w:rPr>
        <w:t>The scope of this investigation is delimited to commercial passenger checkpoint screening operations across the highest-density airfields of the United States National Airspace System (NAS). Specifically, the empirical analysis focuses on the 2019 through 2025 longitudinal baseline, evaluating commercial aviation movements and passenger screening throughput across the Top 25 passenger hub airports.</w:t>
      </w:r>
    </w:p>
    <w:p>
      <w:pPr>
        <w:spacing w:before="0" w:after="120" w:line="480" w:lineRule="auto"/>
        <w:ind w:firstLine="720"/>
      </w:pPr>
      <w:r>
        <w:rPr>
          <w:rFonts w:ascii="Times New Roman" w:hAnsi="Times New Roman"/>
          <w:sz w:val="24"/>
        </w:rPr>
        <w:t>The geographical boundaries are restricted to commercial airports located within the contiguous United States, Hawaii, and Alaska that report complete flight operations under Bureau of Transportation Statistics (BTS) Form 234 and maintain dedicated Transportation Security Administration (TSA) passenger screening lanes. General aviation facilities, international pre-clearance screening operations outside the United States, military airfields, and dedicated cargo operations (e.g., FedEx hubs at MEM and UPS hubs at SDF) are formally excluded from the scope of analysis.</w:t>
      </w:r>
    </w:p>
    <w:p>
      <w:pPr>
        <w:spacing w:before="0" w:after="120" w:line="480" w:lineRule="auto"/>
        <w:ind w:firstLine="720"/>
      </w:pPr>
      <w:r>
        <w:rPr>
          <w:rFonts w:ascii="Times New Roman" w:hAnsi="Times New Roman"/>
          <w:sz w:val="24"/>
        </w:rPr>
        <w:t>Temporal delimitations partition the multi-year timeline into distinct operational eras. While multi-year descriptive baselines examine 2019–2025 trends, predictive model training, validation, and holdout benchmarking are strictly delimited to the modern post-pandemic operational regime beginning May 1, 2022 (following the judicial vacatur and federal repeal of the transportation mask mandate). This boundary excludes pandemic-era demand collapse distortions while evaluating modern commercial airline flight schedules, load factors, and screening patterns under contemporary operating rules.</w:t>
      </w:r>
    </w:p>
    <w:p>
      <w:pPr>
        <w:spacing w:before="240" w:after="120" w:line="480" w:lineRule="auto"/>
      </w:pPr>
      <w:r>
        <w:rPr>
          <w:rFonts w:ascii="Times New Roman" w:hAnsi="Times New Roman"/>
          <w:b/>
          <w:sz w:val="24"/>
        </w:rPr>
        <w:t>A.2 Operational Boundary Constraints and Limitations</w:t>
      </w:r>
    </w:p>
    <w:p>
      <w:pPr>
        <w:spacing w:before="0" w:after="120" w:line="480" w:lineRule="auto"/>
        <w:ind w:firstLine="720"/>
      </w:pPr>
      <w:r>
        <w:rPr>
          <w:rFonts w:ascii="Times New Roman" w:hAnsi="Times New Roman"/>
          <w:sz w:val="24"/>
        </w:rPr>
        <w:t>Empirical modeling of public federal aviation feeds involves three primary operational boundary constraints:</w:t>
      </w:r>
    </w:p>
    <w:p>
      <w:pPr>
        <w:spacing w:before="0" w:after="120" w:line="480" w:lineRule="auto"/>
        <w:ind w:firstLine="720"/>
      </w:pPr>
      <w:r>
        <w:rPr>
          <w:rFonts w:ascii="Times New Roman" w:hAnsi="Times New Roman"/>
          <w:sz w:val="24"/>
        </w:rPr>
        <w:t>1. **Staffing and Lane Configuration Opacity**: Due to the proprietary and security-sensitive nature of TSA checkpoint operations, confidential operational variables—such as exact Transportation Security Officer (TSO) shift allocations, active physical lane open/close timestamps per 15-minute interval, canine-assisted screening deployments, and manual queue snake reconfigurations—are not publicly accessible. The research design controls for this opacity by modeling aggregated checkpoint complex throughput totals and deriving scale-free relative arrival burstiness (CV_{\text{TSA}}) rather than unobserved micro-lane service times.</w:t>
      </w:r>
    </w:p>
    <w:p>
      <w:pPr>
        <w:spacing w:before="0" w:after="120" w:line="480" w:lineRule="auto"/>
        <w:ind w:firstLine="720"/>
      </w:pPr>
      <w:r>
        <w:rPr>
          <w:rFonts w:ascii="Times New Roman" w:hAnsi="Times New Roman"/>
          <w:sz w:val="24"/>
        </w:rPr>
        <w:t>2. **Connecting Passenger Estimation Stability**: The proportion of transferring passengers who remain entirely within secure airside sterile areas (and thus never enter landside security screening lobbies) is estimated using quarterly BTS DB1B origin-destination ticket coupon surveys. The analytical framework assumes that quarterly connecting ratios remain stable across monthly operating horizons within given carrier-terminal complexes, reflecting published carrier bank scheduling structures.</w:t>
      </w:r>
    </w:p>
    <w:p>
      <w:pPr>
        <w:spacing w:before="0" w:after="120" w:line="480" w:lineRule="auto"/>
        <w:ind w:firstLine="720"/>
      </w:pPr>
      <w:r>
        <w:rPr>
          <w:rFonts w:ascii="Times New Roman" w:hAnsi="Times New Roman"/>
          <w:sz w:val="24"/>
        </w:rPr>
        <w:t>3. **Operational Exogeneity of Severe Weather Shocks**: Severe convective weather disruptions, winter storm systems, and ground delay programs (GDP) are treated as exogenous operational shocks. These external disruptions are operationalized through realized flight departure delay distributions, tactical cancellation counts, and taxi-out queue times reported in BTS Form 234 rather than direct meteorological radar feeds.</w:t>
      </w:r>
    </w:p>
    <w:p>
      <w:pPr>
        <w:spacing w:before="240" w:after="120" w:line="480" w:lineRule="auto"/>
      </w:pPr>
      <w:r>
        <w:rPr>
          <w:rFonts w:ascii="Times New Roman" w:hAnsi="Times New Roman"/>
          <w:b/>
          <w:sz w:val="24"/>
        </w:rPr>
        <w:t>A.3 Foundational Methodological Assumptions and Failure Mode Prevention</w:t>
      </w:r>
    </w:p>
    <w:p>
      <w:pPr>
        <w:spacing w:before="0" w:after="120" w:line="480" w:lineRule="auto"/>
        <w:ind w:firstLine="720"/>
      </w:pPr>
      <w:r>
        <w:rPr>
          <w:rFonts w:ascii="Times New Roman" w:hAnsi="Times New Roman"/>
          <w:sz w:val="24"/>
        </w:rPr>
        <w:t>To ensure rigorous internal and external construct validity across all downstream models, 14 foundational methodological assumptions were operationalized across terminal flow, temporal coupling, sample filtering, and econometric evaluation:</w:t>
      </w:r>
    </w:p>
    <w:p>
      <w:pPr>
        <w:spacing w:before="0" w:after="120" w:line="480" w:lineRule="auto"/>
        <w:ind w:firstLine="720"/>
      </w:pPr>
      <w:r>
        <w:rPr>
          <w:rFonts w:ascii="Times New Roman" w:hAnsi="Times New Roman"/>
          <w:sz w:val="24"/>
        </w:rPr>
        <w:t>* **Terminal Flow Assumptions**:</w:t>
        <w:br/>
        <w:t xml:space="preserve">  - *Non-traveler exits are negligible*: Terminal gate passes, meet-and-greet visitors, and aborted boardings represent \ll 1\% of peak bank throughput volume, preventing over-parameterized lobby noise.</w:t>
        <w:br/>
        <w:t xml:space="preserve">  - *Connecting passengers bypass security*: Sterile area connecting passengers never enter landside screening, resolving throughput paradoxes at mega-connecting hubs (e.g., CLT with 76\% transfers).</w:t>
        <w:br/>
        <w:t xml:space="preserve">  - *Exclusion of inbound arrivals*: Arriving passengers exit directly through one-way security doors, preventing ghost demand and spurious arrival correlations.</w:t>
        <w:br/>
        <w:t xml:space="preserve">  - *Exhaustive nationwide departures*: Physical checkpoints serve all domestic flight departures, preventing truncation bias from omitted destination spoke volume.</w:t>
      </w:r>
    </w:p>
    <w:p>
      <w:pPr>
        <w:spacing w:before="0" w:after="120" w:line="480" w:lineRule="auto"/>
        <w:ind w:firstLine="720"/>
      </w:pPr>
      <w:r>
        <w:rPr>
          <w:rFonts w:ascii="Times New Roman" w:hAnsi="Times New Roman"/>
          <w:sz w:val="24"/>
        </w:rPr>
        <w:t>* **Temporal Coupling Assumptions**:</w:t>
        <w:br/>
        <w:t xml:space="preserve">  - *90–120 minute lead time window*: Checkpoint screening precedes flight departures under an empirical lognormal arrival density function (mode \approx 92.5 min), preventing phase-shift misspecification.</w:t>
        <w:br/>
        <w:t xml:space="preserve">  - *Zero lookahead leakage*: Predictive models rely strictly on information available prior to the operating hour, eliminating target leakage from realized post-departure attributes.</w:t>
      </w:r>
    </w:p>
    <w:p>
      <w:pPr>
        <w:spacing w:before="0" w:after="120" w:line="480" w:lineRule="auto"/>
        <w:ind w:firstLine="720"/>
      </w:pPr>
      <w:r>
        <w:rPr>
          <w:rFonts w:ascii="Times New Roman" w:hAnsi="Times New Roman"/>
          <w:sz w:val="24"/>
        </w:rPr>
        <w:t>* **Sample Filtering Assumptions**:</w:t>
        <w:br/>
        <w:t xml:space="preserve">  - *Top 25 macro power-law cutoff*: Isolates airfields capturing 67.2\% of nationwide commercial volume where heavy-traffic utilization approaches capacity (\rho \to 1.0), avoiding light-traffic triviality (\rho \ll 0.30).</w:t>
        <w:br/>
        <w:t xml:space="preserve">  - *Micro checkpoint exclusivity*: Selects carrier complexes where a single airline commands \ge 85\% of concourse gates, eliminating shared-lobby multi-carrier collinearity (\text{Corr} \ge 0.75).</w:t>
        <w:br/>
        <w:t xml:space="preserve">  - *Meso Big 3 co-location*: Compares American, Delta, and United across identical TRACON weather shocks, differencing out localized regional disruption bias.</w:t>
        <w:br/>
        <w:t xml:space="preserve">  - *Exclusion of Southwest Airlines (WN)*: Eliminates unassigned seating boarding position maximizers whose bimodal arrival behavior violates passenger parameter exchangeability.</w:t>
        <w:br/>
        <w:t xml:space="preserve">  - *Post-pandemic May 1, 2022 demarcation*: Excludes structural pandemic recovery regime shifts, establishing macroeconomic stability.</w:t>
      </w:r>
    </w:p>
    <w:p>
      <w:pPr>
        <w:spacing w:before="0" w:after="120" w:line="480" w:lineRule="auto"/>
        <w:ind w:firstLine="720"/>
      </w:pPr>
      <w:r>
        <w:rPr>
          <w:rFonts w:ascii="Times New Roman" w:hAnsi="Times New Roman"/>
          <w:sz w:val="24"/>
        </w:rPr>
        <w:t>* **Evaluation Assumptions**:</w:t>
        <w:br/>
        <w:t xml:space="preserve">  - *Orthogonal 4 x 4 factorial design*: Balances exactly 4 exclusive complexes per carrier across 4 operational cluster archetypes, eliminating unbalanced ANOVA variance inflation.</w:t>
        <w:br/>
        <w:t xml:space="preserve">  - *Twin TRACON disruption controls*: Evaluates matched weather shocks across dual facilities (EWR vs. LGA Terminal C) to eliminate geographic convective bias in resilience benchmarking.</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Methodological Assumptions and Failure Mode Prevention Matrix</w:t>
        <w:br/>
      </w:r>
      <w:r>
        <w:rPr>
          <w:rFonts w:ascii="Times New Roman" w:hAnsi="Times New Roman"/>
          <w:sz w:val="21"/>
        </w:rPr>
        <w:t xml:space="preserve">  Source File: methodological_assumptions.csv</w:t>
        <w:br/>
        <w:t xml:space="preserve">  Repository Location: final-thesis/figures/04_Appendix_and_Reference/methodological_assumptions.csv</w:t>
        <w:br/>
      </w:r>
      <w:r>
        <w:rPr>
          <w:rFonts w:ascii="Times New Roman" w:hAnsi="Times New Roman"/>
          <w:sz w:val="21"/>
        </w:rPr>
        <w:t xml:space="preserve">  Companion Visual / Workbook: final-thesis/figures/04_Appendix_and_Reference/methodological assumptions.png</w:t>
        <w:br/>
      </w:r>
      <w:r>
        <w:rPr>
          <w:rFonts w:ascii="Times New Roman" w:hAnsi="Times New Roman"/>
          <w:i/>
          <w:sz w:val="21"/>
        </w:rPr>
        <w:t xml:space="preserve">  Description: Full 14-point methodological assumption matrix documenting analysis level, operational justification, and failure modes prevented across terminal flow, temporal coupling, sample filtering, and evaluation.</w:t>
      </w:r>
    </w:p>
    <w:p>
      <w:pPr>
        <w:spacing w:before="80" w:after="120" w:line="360" w:lineRule="auto"/>
        <w:ind w:left="720"/>
      </w:pPr>
      <w:r>
        <w:rPr>
          <w:rFonts w:ascii="Times New Roman" w:hAnsi="Times New Roman"/>
          <w:b/>
          <w:sz w:val="22"/>
        </w:rPr>
        <w:t>• Asset: Research Delimitations and Top 25 Network Inclusion Approach</w:t>
        <w:br/>
      </w:r>
      <w:r>
        <w:rPr>
          <w:rFonts w:ascii="Times New Roman" w:hAnsi="Times New Roman"/>
          <w:sz w:val="21"/>
        </w:rPr>
        <w:t xml:space="preserve">  Source File: inclusion_of_top_25_network_approach.csv</w:t>
        <w:br/>
        <w:t xml:space="preserve">  Repository Location: final-thesis/figures/ch01_intro/inclusion_of_top_25_network_approach.csv</w:t>
        <w:br/>
      </w:r>
      <w:r>
        <w:rPr>
          <w:rFonts w:ascii="Times New Roman" w:hAnsi="Times New Roman"/>
          <w:sz w:val="21"/>
        </w:rPr>
        <w:t xml:space="preserve">  Companion Visual / Workbook: final-thesis/figures/ch01_intro/Inclusion of top 25 network approach.png</w:t>
        <w:br/>
      </w:r>
      <w:r>
        <w:rPr>
          <w:rFonts w:ascii="Times New Roman" w:hAnsi="Times New Roman"/>
          <w:i/>
          <w:sz w:val="21"/>
        </w:rPr>
        <w:t xml:space="preserve">  Description: Tabulates the commercial aviation inclusion criteria, power-law concentration, and geographic coverage delimiting the Top 25 commercial airport network.</w:t>
      </w:r>
    </w:p>
    <w:p>
      <w:pPr>
        <w:spacing w:before="360" w:after="120" w:line="480" w:lineRule="auto"/>
      </w:pPr>
      <w:r>
        <w:rPr>
          <w:rFonts w:ascii="Times New Roman" w:hAnsi="Times New Roman"/>
          <w:b/>
          <w:sz w:val="28"/>
        </w:rPr>
        <w:t>Appendix B: Comparative Modeling Paradigms and Literature Equation Registry</w:t>
      </w:r>
    </w:p>
    <w:p>
      <w:pPr>
        <w:spacing w:before="0" w:after="240" w:line="480" w:lineRule="auto"/>
        <w:ind w:left="720"/>
      </w:pPr>
      <w:r>
        <w:rPr>
          <w:rFonts w:ascii="Times New Roman" w:hAnsi="Times New Roman"/>
          <w:i/>
          <w:sz w:val="22"/>
        </w:rPr>
        <w:t>Note on Thesis Cross-References: This appendix establishes the comparative modeling paradigm taxonomy, mathematical foundations, queuing theorems, and peer-reviewed literature equation registry. It is referenced in Chapter II (Review of the Relevant Literature), Section 2.1–2.5 (Comparative Modeling Paradigm Taxonomy for Airport Passenger Screening Throughput); and in Chapter III (Methodology), Section 3.1 (Predictive Modeling Frameworks and Baseline Control).</w:t>
      </w:r>
    </w:p>
    <w:p>
      <w:pPr>
        <w:spacing w:before="240" w:after="120" w:line="480" w:lineRule="auto"/>
      </w:pPr>
      <w:r>
        <w:rPr>
          <w:rFonts w:ascii="Times New Roman" w:hAnsi="Times New Roman"/>
          <w:b/>
          <w:sz w:val="24"/>
        </w:rPr>
        <w:t>B.1 Comparative Modeling Paradigm Taxonomy</w:t>
      </w:r>
    </w:p>
    <w:p>
      <w:pPr>
        <w:spacing w:before="0" w:after="120" w:line="480" w:lineRule="auto"/>
        <w:ind w:firstLine="720"/>
      </w:pPr>
      <w:r>
        <w:rPr>
          <w:rFonts w:ascii="Times New Roman" w:hAnsi="Times New Roman"/>
          <w:sz w:val="24"/>
        </w:rPr>
        <w:t>Historically, airport passenger checkpoint screening throughput has been modeled through four distinct analytical paradigms:</w:t>
      </w:r>
    </w:p>
    <w:p>
      <w:pPr>
        <w:spacing w:before="0" w:after="120" w:line="480" w:lineRule="auto"/>
        <w:ind w:firstLine="720"/>
      </w:pPr>
      <w:r>
        <w:rPr>
          <w:rFonts w:ascii="Times New Roman" w:hAnsi="Times New Roman"/>
          <w:sz w:val="24"/>
        </w:rPr>
        <w:t>1. **Classical Queuing Theory**: Relies on closed-form analytical approximations (Erlang-C, M/M/s, G/G/s). While mathematically transparent and requiring zero computational training, classical queuing models assume independent, steady-state Poisson arrivals and exponential service times. Under scheduled commercial flight bank surges, queuing utilization spikes toward unity (\rho \to 1.0), causing steady-state formulas to explode toward infinite queue lengths.</w:t>
      </w:r>
    </w:p>
    <w:p>
      <w:pPr>
        <w:spacing w:before="0" w:after="120" w:line="480" w:lineRule="auto"/>
        <w:ind w:firstLine="720"/>
      </w:pPr>
      <w:r>
        <w:rPr>
          <w:rFonts w:ascii="Times New Roman" w:hAnsi="Times New Roman"/>
          <w:sz w:val="24"/>
        </w:rPr>
        <w:t>2. **Discrete Event Simulation (DES)**: Models individual passenger entities through micro-simulation architectures (e.g., SIMMOD, CAST, Arena). DES captures granular facility geometry and agent behaviors but requires extensive confidential calibration parameters (TSO shift rotations, bag divesting times, queue snake geometry) and exhibits extreme sensitivity to boundary assumptions, limiting cross-airport portability.</w:t>
      </w:r>
    </w:p>
    <w:p>
      <w:pPr>
        <w:spacing w:before="0" w:after="120" w:line="480" w:lineRule="auto"/>
        <w:ind w:firstLine="720"/>
      </w:pPr>
      <w:r>
        <w:rPr>
          <w:rFonts w:ascii="Times New Roman" w:hAnsi="Times New Roman"/>
          <w:sz w:val="24"/>
        </w:rPr>
        <w:t>3. **Unconstrained Supervised Machine Learning**: Applies automated regressors (decision trees, gradient boosting, neural networks) to predict passenger volumes from flight schedules and airport attributes. While highly adaptable to non-linear interactions, unconstrained machine learning models suffer from the *Empty Checkpoint Fallacy* during severe irregular operations (IROPS): when flights are delayed, static models predict zero arrivals, failing to capture passengers who arrived hours earlier and remain trapped in queues.</w:t>
      </w:r>
    </w:p>
    <w:p>
      <w:pPr>
        <w:spacing w:before="0" w:after="120" w:line="480" w:lineRule="auto"/>
        <w:ind w:firstLine="720"/>
      </w:pPr>
      <w:r>
        <w:rPr>
          <w:rFonts w:ascii="Times New Roman" w:hAnsi="Times New Roman"/>
          <w:sz w:val="24"/>
        </w:rPr>
        <w:t>4. **Dynamic Two-Stage Sequential Hybrid Modeling**: Combines the structural schedule foundation of flight departure banks with real-time error innovation feedback (e_{t-1} = y_{t-1} - \hat{y}_{t-1}) from checkpoint lanes. Stage 1 convolves scheduled seats across empirical passenger show-up curves, while Stage 2 models disruption residuals and autoregressive feedback, preventing demand collapse during convective shocks.</w:t>
      </w:r>
    </w:p>
    <w:p>
      <w:pPr>
        <w:spacing w:before="240" w:after="120" w:line="480" w:lineRule="auto"/>
      </w:pPr>
      <w:r>
        <w:rPr>
          <w:rFonts w:ascii="Times New Roman" w:hAnsi="Times New Roman"/>
          <w:b/>
          <w:sz w:val="24"/>
        </w:rPr>
        <w:t>B.2 Peer-Reviewed Literature Equation Registry</w:t>
      </w:r>
    </w:p>
    <w:p>
      <w:pPr>
        <w:spacing w:before="0" w:after="120" w:line="480" w:lineRule="auto"/>
        <w:ind w:firstLine="720"/>
      </w:pPr>
      <w:r>
        <w:rPr>
          <w:rFonts w:ascii="Times New Roman" w:hAnsi="Times New Roman"/>
          <w:sz w:val="24"/>
        </w:rPr>
        <w:t>The mathematical models, queuing approximations, capacity identities, error metrics, and econometric tests operationalized throughout this thesis are governed by 20 standard literature formulations:</w:t>
      </w:r>
    </w:p>
    <w:p>
      <w:pPr>
        <w:spacing w:before="0" w:after="120" w:line="480" w:lineRule="auto"/>
        <w:ind w:firstLine="720"/>
      </w:pPr>
      <w:r>
        <w:rPr>
          <w:rFonts w:ascii="Times New Roman" w:hAnsi="Times New Roman"/>
          <w:sz w:val="24"/>
        </w:rPr>
        <w:t>* **Stochastic Queuing &amp; Congestion Formulations**:</w:t>
        <w:br/>
        <w:t xml:space="preserve">  - *EQ-01 (Kingman's Heavy-Traffic Approximation)*: W_q \approx \left(\frac{\rho}{1-\rho}\right) \left(\frac{C_a^2 + C_s^2}{2}\right) \frac{1}{\mu}. Proves that checkpoint delays scale quadratically with arrival volatility (C_a^2) as traffic intensity approaches capacity (\rho \to 1.0).</w:t>
        <w:br/>
        <w:t xml:space="preserve">  - *EQ-02 (Kingman-Whitt Multi-Server Approximation)*: W_q \approx \left( \frac{\rho^{\sqrt{2(s+1)}-1}}{s(1-\rho)} \right) \left( \frac{C_a^2 + C_s^2}{2} \right) \frac{1}{\mu}, extending heavy-traffic dynamics to s parallel screening lanes.</w:t>
        <w:br/>
        <w:t xml:space="preserve">  - *EQ-03 (Traffic Intensity Ratio)*: \rho(t) = \frac{\lambda(t)}{c(t) \cdot \mu}, measuring instantaneous utilization across open screening lanes.</w:t>
      </w:r>
    </w:p>
    <w:p>
      <w:pPr>
        <w:spacing w:before="0" w:after="120" w:line="480" w:lineRule="auto"/>
        <w:ind w:firstLine="720"/>
      </w:pPr>
      <w:r>
        <w:rPr>
          <w:rFonts w:ascii="Times New Roman" w:hAnsi="Times New Roman"/>
          <w:sz w:val="24"/>
        </w:rPr>
        <w:t>* **Passenger Lead-Time and Arrival Distributions**:</w:t>
        <w:br/>
        <w:t xml:space="preserve">  - *EQ-04 (Lognormal Show-Up Distribution)*: \tau \sim \text{Lognormal}(\mu, \sigma^2), with mean domestic lead time E[\tau] \approx 105 minutes (ACRP Report 40).</w:t>
        <w:br/>
        <w:t xml:space="preserve">  - *EQ-05 (Southwest Unassigned Boarding Mixture)*: \tau_{\text{WN}} \sim w_1 \mathcal{N}(\mu_1, \sigma_1^2) + (1-w_1) \mathcal{N}(\mu_2, \sigma_2^2), producing bimodal arrival lead times that justify carrier exclusion.</w:t>
        <w:br/>
        <w:t xml:space="preserve">  - *EQ-06 (Local Originating Demand Identity)*: \text{Demand}_{\text{orig}, t} = \sum_{f} \text{Seats}_f \cdot \text{LF}_f \cdot (1 - \text{TransferRatio}), deflating airside connections to resolve the Hub Disconnect.</w:t>
        <w:br/>
        <w:t xml:space="preserve">  - *EQ-07 (Discrete Finite Impulse Response Convolution)*: \text{Demand}_{\text{convolved}, t} = \sum_{h=1}^3 w_h \cdot \text{Seats}_{t+h}, weighting flight banks at t+1 (w_1=0.52), t+2 (w_2=0.38), and t+3 (w_3=0.10).</w:t>
      </w:r>
    </w:p>
    <w:p>
      <w:pPr>
        <w:spacing w:before="0" w:after="120" w:line="480" w:lineRule="auto"/>
        <w:ind w:firstLine="720"/>
      </w:pPr>
      <w:r>
        <w:rPr>
          <w:rFonts w:ascii="Times New Roman" w:hAnsi="Times New Roman"/>
          <w:sz w:val="24"/>
        </w:rPr>
        <w:t>* **Dependent Throughput Volatility Targets**:</w:t>
        <w:br/>
        <w:t xml:space="preserve">  - *EQ-08 (Intraday Absolute Volatility)*: \sigma_{\text{TSA, hr}}(d) = \sqrt{\frac{1}{23} \sum_{h=0}^{23} (y_{d, h} - \bar{y}_d)^2} (pax/hr dispersion).</w:t>
        <w:br/>
        <w:t xml:space="preserve">  - *EQ-09 (Intraday Scale-Free Relative Volatility)*: CV_{\text{TSA, hr}}(d) = \frac{\sigma_{\text{TSA, hr}}(d)}{\bar{y}_d} (dimensionless burstiness).</w:t>
        <w:br/>
        <w:t xml:space="preserve">  - *EQ-10 (Multi-Day Rolling Volatility)*: \sigma_{\text{TSA, 7d}}(d) = \sqrt{\frac{1}{6} \sum_{k=0}^6 (Y_{d-k} - \bar{Y}_{7d})^2} (pax/day network turbulence).</w:t>
        <w:br/>
        <w:t xml:space="preserve">  - *EQ-11 (Daily Flight Departure Delay Dispersion)*: \sigma_{\text{Delay}, d} = \sqrt{\frac{1}{N_d-1}\sum_{i=1}^{N_d} (\text{DepDelay}_i - \bar{\text{DepDelay}})^2}.</w:t>
      </w:r>
    </w:p>
    <w:p>
      <w:pPr>
        <w:spacing w:before="0" w:after="120" w:line="480" w:lineRule="auto"/>
        <w:ind w:firstLine="720"/>
      </w:pPr>
      <w:r>
        <w:rPr>
          <w:rFonts w:ascii="Times New Roman" w:hAnsi="Times New Roman"/>
          <w:sz w:val="24"/>
        </w:rPr>
        <w:t>* **Time-Series Forecast Evaluation &amp; Loss Functions**:</w:t>
        <w:br/>
        <w:t xml:space="preserve">  - *EQ-12 (Root Mean Squared Error)*: \text{RMSE} = \sqrt{\frac{1}{N}\sum_{t=1}^N (y_t - \hat{y}_t)^2}.</w:t>
        <w:br/>
        <w:t xml:space="preserve">  - *EQ-13 (Mean Absolute Error)*: \text{MAE} = \frac{1}{N}\sum_{t=1}^N |y_t - \hat{y}_t|.</w:t>
        <w:br/>
        <w:t xml:space="preserve">  - *EQ-14 (Mean Forecast Bias)*: \text{Bias} = \frac{1}{N}\sum_{t=1}^N (\hat{y}_t - y_t).</w:t>
        <w:br/>
        <w:t xml:space="preserve">  - *EQ-15 (Mean Absolute Scaled Error)*: \text{MASE} = \frac{\text{MAE}}{\frac{1}{N-24}\sum_{t=25}^N |y_t - y_{t-24}|}, scaling error relative to the diurnal persistence baseline control (MASE = 1.000).</w:t>
      </w:r>
    </w:p>
    <w:p>
      <w:pPr>
        <w:spacing w:before="0" w:after="120" w:line="480" w:lineRule="auto"/>
        <w:ind w:firstLine="720"/>
      </w:pPr>
      <w:r>
        <w:rPr>
          <w:rFonts w:ascii="Times New Roman" w:hAnsi="Times New Roman"/>
          <w:sz w:val="24"/>
        </w:rPr>
        <w:t>* **Econometric Significance &amp; Structural Break Tests**:</w:t>
        <w:br/>
        <w:t xml:space="preserve">  - *EQ-16 (Diebold-Mariano Test)*: DM = \frac{\bar{d}}{\sqrt{\hat{V}(\bar{d})/N}} \sim \mathcal{N}(0, 1), testing equal predictive accuracy under autocorrelation.</w:t>
        <w:br/>
        <w:t xml:space="preserve">  - *EQ-17 (Chow Structural Break Test)*: F = \frac{(RSS_C - (RSS_1 + RSS_2))/k}{(RSS_1 + RSS_2)/(N_1+N_2-2k)} \sim F(k, N_1+N_2-2k).</w:t>
        <w:br/>
        <w:t xml:space="preserve">  - *EQ-18 (CUSUM Parameter Stability)*: W_t = \sum_{r=k+1}^t \frac{w_r}{\hat{\sigma}_w}.</w:t>
        <w:br/>
        <w:t xml:space="preserve">  - *EQ-19 (Peak-to-Average Ratio)*: \text{PAR}_d = \frac{\max_h y_{d,h}}{\bar{y}_d}.</w:t>
        <w:br/>
        <w:t xml:space="preserve">  - *EQ-20 (Volatility-Buffered Dynamic Lane Dimensioning Rule)*: c(t) = \left\lceil \frac{\hat{\mu}_t + z_q \cdot \hat{\sigma}_{\text{TSA}, t}}{\mu_{\text{lane}}} \right\rceil.</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Comparative Modeling Paradigm Taxonomy for Checkpoint Throughput</w:t>
        <w:br/>
      </w:r>
      <w:r>
        <w:rPr>
          <w:rFonts w:ascii="Times New Roman" w:hAnsi="Times New Roman"/>
          <w:sz w:val="21"/>
        </w:rPr>
        <w:t xml:space="preserve">  Source File: clustering_and_connecting_paradox.csv</w:t>
        <w:br/>
        <w:t xml:space="preserve">  Repository Location: final-thesis/figures/ch02_lit_review/clustering_and_connecting_paradox.csv</w:t>
        <w:br/>
      </w:r>
      <w:r>
        <w:rPr>
          <w:rFonts w:ascii="Times New Roman" w:hAnsi="Times New Roman"/>
          <w:sz w:val="21"/>
        </w:rPr>
        <w:t xml:space="preserve">  Companion Visual / Workbook: final-thesis/figures/ch03_methodology/models_and_tests.csv</w:t>
        <w:br/>
      </w:r>
      <w:r>
        <w:rPr>
          <w:rFonts w:ascii="Times New Roman" w:hAnsi="Times New Roman"/>
          <w:i/>
          <w:sz w:val="21"/>
        </w:rPr>
        <w:t xml:space="preserve">  Description: Synthesizes mathematical foundations, operational assumptions, computational overhead, and empirical failure modes across Queuing Theory, DES, Supervised ML, and Two-Stage Hybrid models.</w:t>
      </w:r>
    </w:p>
    <w:p>
      <w:pPr>
        <w:spacing w:before="80" w:after="120" w:line="360" w:lineRule="auto"/>
        <w:ind w:left="720"/>
      </w:pPr>
      <w:r>
        <w:rPr>
          <w:rFonts w:ascii="Times New Roman" w:hAnsi="Times New Roman"/>
          <w:b/>
          <w:sz w:val="22"/>
        </w:rPr>
        <w:t>• Asset: Peer-Reviewed Literature Equation and Statistical Metric Registry</w:t>
        <w:br/>
      </w:r>
      <w:r>
        <w:rPr>
          <w:rFonts w:ascii="Times New Roman" w:hAnsi="Times New Roman"/>
          <w:sz w:val="21"/>
        </w:rPr>
        <w:t xml:space="preserve">  Source File: appendix_standard_literature_equations.csv</w:t>
        <w:br/>
        <w:t xml:space="preserve">  Repository Location: final-thesis/results/manuscript_tables/appendix_standard_literature_equations.csv</w:t>
        <w:br/>
      </w:r>
      <w:r>
        <w:rPr>
          <w:rFonts w:ascii="Times New Roman" w:hAnsi="Times New Roman"/>
          <w:sz w:val="21"/>
        </w:rPr>
        <w:t xml:space="preserve">  Companion Visual / Workbook: final-thesis/results/tables/appendix_standard_literature_equations.csv</w:t>
        <w:br/>
      </w:r>
      <w:r>
        <w:rPr>
          <w:rFonts w:ascii="Times New Roman" w:hAnsi="Times New Roman"/>
          <w:i/>
          <w:sz w:val="21"/>
        </w:rPr>
        <w:t xml:space="preserve">  Description: Authoritative registry cataloging all 20 formal academic equations (EQ-01 through EQ-20), operational definitions, parameter interpretations, and published citations.</w:t>
      </w:r>
    </w:p>
    <w:p>
      <w:pPr>
        <w:spacing w:before="360" w:after="120" w:line="480" w:lineRule="auto"/>
      </w:pPr>
      <w:r>
        <w:rPr>
          <w:rFonts w:ascii="Times New Roman" w:hAnsi="Times New Roman"/>
          <w:b/>
          <w:sz w:val="28"/>
        </w:rPr>
        <w:t>Appendix C: Construct Validity and Passenger Throughput Volatility Formulations</w:t>
      </w:r>
    </w:p>
    <w:p>
      <w:pPr>
        <w:spacing w:before="0" w:after="240" w:line="480" w:lineRule="auto"/>
        <w:ind w:left="720"/>
      </w:pPr>
      <w:r>
        <w:rPr>
          <w:rFonts w:ascii="Times New Roman" w:hAnsi="Times New Roman"/>
          <w:i/>
          <w:sz w:val="22"/>
        </w:rPr>
        <w:t>Note on Thesis Cross-References: This appendix establishes the formal mathematical definitions of the primary dependent volatility targets and resolves construct validity threats. It is referenced in Chapter II (Review of the Relevant Literature), Section 2.2 (Volume Versus Volatility &amp; The Values versus Volatility Paradigm); and in Chapter III (Methodology), Section 3.1 (Core Research Variables) and Section 3.4 (Mathematical Formulation of Volatility Targets).</w:t>
      </w:r>
    </w:p>
    <w:p>
      <w:pPr>
        <w:spacing w:before="240" w:after="120" w:line="480" w:lineRule="auto"/>
      </w:pPr>
      <w:r>
        <w:rPr>
          <w:rFonts w:ascii="Times New Roman" w:hAnsi="Times New Roman"/>
          <w:b/>
          <w:sz w:val="24"/>
        </w:rPr>
        <w:t>C.1 Primary Dependent Targets: Passenger Throughput Volatility</w:t>
      </w:r>
    </w:p>
    <w:p>
      <w:pPr>
        <w:spacing w:before="0" w:after="120" w:line="480" w:lineRule="auto"/>
        <w:ind w:firstLine="720"/>
      </w:pPr>
      <w:r>
        <w:rPr>
          <w:rFonts w:ascii="Times New Roman" w:hAnsi="Times New Roman"/>
          <w:sz w:val="24"/>
        </w:rPr>
        <w:t>Construct validity requires establishing explicit mathematical formulations that target passenger throughput volatility rather than static passenger volume levels (y_t):</w:t>
      </w:r>
    </w:p>
    <w:p>
      <w:pPr>
        <w:spacing w:before="0" w:after="120" w:line="480" w:lineRule="auto"/>
        <w:ind w:firstLine="720"/>
      </w:pPr>
      <w:r>
        <w:rPr>
          <w:rFonts w:ascii="Times New Roman" w:hAnsi="Times New Roman"/>
          <w:sz w:val="24"/>
        </w:rPr>
        <w:t>1. **Intraday Diurnal Absolute Volatility (\sigma_{\text{TSA, hr}}, pax/hr dispersion)**: Measures the absolute standard deviation of hourly screening counts across the 24 hours of calendar day d:</w:t>
        <w:br/>
        <w:br/>
        <w:t>\sigma_{\text{TSA, hr}}(d) = \sqrt{\frac{1}{23} \sum_{h=0}^{23} (y_{d, h} - \bar{y}_d)^2}</w:t>
        <w:br/>
        <w:br/>
        <w:t>This target reflects the absolute peak-to-trough surge amplitude of passenger arrival waves, identifying severe bank clustering.</w:t>
      </w:r>
    </w:p>
    <w:p>
      <w:pPr>
        <w:spacing w:before="0" w:after="120" w:line="480" w:lineRule="auto"/>
        <w:ind w:firstLine="720"/>
      </w:pPr>
      <w:r>
        <w:rPr>
          <w:rFonts w:ascii="Times New Roman" w:hAnsi="Times New Roman"/>
          <w:sz w:val="24"/>
        </w:rPr>
        <w:t>2. **Intraday Scale-Free Relative Volatility (CV_{\text{TSA, hr}}, dimensionless ratio)**: Normalizes intraday standard deviation by average daily throughput:</w:t>
        <w:br/>
        <w:br/>
        <w:t>CV_{\text{TSA, hr}}(d) = \frac{\sigma_{\text{TSA, hr}}(d)}{\bar{y}_d} = \frac{\sqrt{\frac{1}{23}\sum_{h=0}^{23} (y_{d,h} - \bar{y}_d)^2}}{\frac{1}{24}\sum_{h=0}^{23} y_{d,h}}</w:t>
        <w:br/>
        <w:br/>
        <w:t>By removing baseline airport scale, this scale-free metric measures arrival burstiness and queue surge spikiness independent of facility size.</w:t>
      </w:r>
    </w:p>
    <w:p>
      <w:pPr>
        <w:spacing w:before="0" w:after="120" w:line="480" w:lineRule="auto"/>
        <w:ind w:firstLine="720"/>
      </w:pPr>
      <w:r>
        <w:rPr>
          <w:rFonts w:ascii="Times New Roman" w:hAnsi="Times New Roman"/>
          <w:sz w:val="24"/>
        </w:rPr>
        <w:t>3. **Multi-Day Temporal Rolling Volatility (\sigma_{\text{TSA, 7d}}, pax/day network turbulence)**: Measures the 7-day rolling standard deviation of daily passenger volume:</w:t>
        <w:br/>
        <w:br/>
        <w:t>\sigma_{\text{TSA, 7d}}(d) = \sqrt{\frac{1}{6} \sum_{k=0}^{6} (Y_{d-k} - \bar{Y}_{7d})^2}</w:t>
        <w:br/>
        <w:br/>
        <w:t>This target captures medium-term multi-day passenger flow turbulence induced by convective storms, winter blizzards, and cascading cancellation shocks.</w:t>
      </w:r>
    </w:p>
    <w:p>
      <w:pPr>
        <w:spacing w:before="240" w:after="120" w:line="480" w:lineRule="auto"/>
      </w:pPr>
      <w:r>
        <w:rPr>
          <w:rFonts w:ascii="Times New Roman" w:hAnsi="Times New Roman"/>
          <w:b/>
          <w:sz w:val="24"/>
        </w:rPr>
        <w:t>C.2 Airside Coupling Formulations and Threat Resolution</w:t>
      </w:r>
    </w:p>
    <w:p>
      <w:pPr>
        <w:spacing w:before="0" w:after="120" w:line="480" w:lineRule="auto"/>
        <w:ind w:firstLine="720"/>
      </w:pPr>
      <w:r>
        <w:rPr>
          <w:rFonts w:ascii="Times New Roman" w:hAnsi="Times New Roman"/>
          <w:sz w:val="24"/>
        </w:rPr>
        <w:t>Systemic queuing breakdown is driven by coupled volatility mismatch between landside passenger arrivals and airside flight departures:</w:t>
      </w:r>
    </w:p>
    <w:p>
      <w:pPr>
        <w:spacing w:before="0" w:after="120" w:line="480" w:lineRule="auto"/>
        <w:ind w:firstLine="720"/>
      </w:pPr>
      <w:r>
        <w:rPr>
          <w:rFonts w:ascii="Times New Roman" w:hAnsi="Times New Roman"/>
          <w:sz w:val="24"/>
        </w:rPr>
        <w:t>* **Flight Departure Delay Dispersion (\sigma_{\text{Delay}, d}, minutes)**: Standard deviation of departure delays across uncancelled domestic flights on day d:</w:t>
        <w:br/>
        <w:br/>
        <w:t>\sigma_{\text{Delay}, d} = \sqrt{\frac{1}{N_d - 1}\sum_{i=1}^{N_d} (\text{DepDelay}_{d,i} - \bar{\text{DepDelay}}_d)^2}</w:t>
        <w:br/>
      </w:r>
    </w:p>
    <w:p>
      <w:pPr>
        <w:spacing w:before="0" w:after="120" w:line="480" w:lineRule="auto"/>
        <w:ind w:firstLine="720"/>
      </w:pPr>
      <w:r>
        <w:rPr>
          <w:rFonts w:ascii="Times New Roman" w:hAnsi="Times New Roman"/>
          <w:sz w:val="24"/>
        </w:rPr>
        <w:t>* **The Landside-Airside Volatility Interaction**: Checkpoint arrival volatility is coupled with airside departure delay volatility (CV_{\text{delay}}: r = +0.4373, p &lt; 0.05), while raw delay minutes show zero correlation (r = -0.062, p = 0.77).</w:t>
      </w:r>
    </w:p>
    <w:p>
      <w:pPr>
        <w:spacing w:before="0" w:after="120" w:line="480" w:lineRule="auto"/>
        <w:ind w:firstLine="720"/>
      </w:pPr>
      <w:r>
        <w:rPr>
          <w:rFonts w:ascii="Times New Roman" w:hAnsi="Times New Roman"/>
          <w:sz w:val="24"/>
        </w:rPr>
        <w:t>* **Construct Validity Threats: Checkpoint Lane Heterogeneity**: Raw lane counts in TSA FOIA logs combine standard screening lanes (processing \approx 150–180 pax/lane-hr) with TSA PreCheck lanes (processing \approx 250–300 pax/lane-hr). To resolve this heterogeneity threat, the methodology constructs scale-free relative volatility metrics (CV_{\text{TSA}}) and convolved flight demand ratios rather than unadjusted raw lane totals.</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Evaluation Metric Definitions and Volatility Formulations</w:t>
        <w:br/>
      </w:r>
      <w:r>
        <w:rPr>
          <w:rFonts w:ascii="Times New Roman" w:hAnsi="Times New Roman"/>
          <w:sz w:val="21"/>
        </w:rPr>
        <w:t xml:space="preserve">  Source File: evaluation_metric_definition.csv</w:t>
        <w:br/>
        <w:t xml:space="preserve">  Repository Location: final-thesis/figures/ch03_methodology/evaluation_metric_definition.csv</w:t>
        <w:br/>
      </w:r>
      <w:r>
        <w:rPr>
          <w:rFonts w:ascii="Times New Roman" w:hAnsi="Times New Roman"/>
          <w:sz w:val="21"/>
        </w:rPr>
        <w:t xml:space="preserve">  Companion Visual / Workbook: final-thesis/figures/ch03_methodology/Evaluation Metric Definition.png</w:t>
        <w:br/>
      </w:r>
      <w:r>
        <w:rPr>
          <w:rFonts w:ascii="Times New Roman" w:hAnsi="Times New Roman"/>
          <w:i/>
          <w:sz w:val="21"/>
        </w:rPr>
        <w:t xml:space="preserve">  Description: Defines mathematical formulations, unit scales, and operational translations for intraday dispersion, scale-free CV, 7-day rolling volatility, and error metrics.</w:t>
      </w:r>
    </w:p>
    <w:p>
      <w:pPr>
        <w:spacing w:before="80" w:after="120" w:line="360" w:lineRule="auto"/>
        <w:ind w:left="720"/>
      </w:pPr>
      <w:r>
        <w:rPr>
          <w:rFonts w:ascii="Times New Roman" w:hAnsi="Times New Roman"/>
          <w:b/>
          <w:sz w:val="22"/>
        </w:rPr>
        <w:t>• Asset: Probabilistic and Information Selection Metrics</w:t>
        <w:br/>
      </w:r>
      <w:r>
        <w:rPr>
          <w:rFonts w:ascii="Times New Roman" w:hAnsi="Times New Roman"/>
          <w:sz w:val="21"/>
        </w:rPr>
        <w:t xml:space="preserve">  Source File: probabilistic_and_selection_metrics.csv</w:t>
        <w:br/>
        <w:t xml:space="preserve">  Repository Location: final-thesis/figures/ch03_methodology/probabilistic_and_selection_metrics.csv</w:t>
        <w:br/>
      </w:r>
      <w:r>
        <w:rPr>
          <w:rFonts w:ascii="Times New Roman" w:hAnsi="Times New Roman"/>
          <w:sz w:val="21"/>
        </w:rPr>
        <w:t xml:space="preserve">  Companion Visual / Workbook: final-thesis/figures/ch03_methodology/metrics.png</w:t>
        <w:br/>
      </w:r>
      <w:r>
        <w:rPr>
          <w:rFonts w:ascii="Times New Roman" w:hAnsi="Times New Roman"/>
          <w:i/>
          <w:sz w:val="21"/>
        </w:rPr>
        <w:t xml:space="preserve">  Description: Documents statistical selection criteria, Tweedie compound Poisson deviance ($p=1.3$), AIC/BIC criteria, and quantile loss formulations.</w:t>
      </w:r>
    </w:p>
    <w:p>
      <w:pPr>
        <w:spacing w:before="360" w:after="120" w:line="480" w:lineRule="auto"/>
      </w:pPr>
      <w:r>
        <w:rPr>
          <w:rFonts w:ascii="Times New Roman" w:hAnsi="Times New Roman"/>
          <w:b/>
          <w:sz w:val="28"/>
        </w:rPr>
        <w:t>Appendix D: Temporal Scope, Post-Pandemic Demarcation, and Dataset Partitioning</w:t>
      </w:r>
    </w:p>
    <w:p>
      <w:pPr>
        <w:spacing w:before="0" w:after="240" w:line="480" w:lineRule="auto"/>
        <w:ind w:left="720"/>
      </w:pPr>
      <w:r>
        <w:rPr>
          <w:rFonts w:ascii="Times New Roman" w:hAnsi="Times New Roman"/>
          <w:i/>
          <w:sz w:val="22"/>
        </w:rPr>
        <w:t>Note on Thesis Cross-References: This appendix establishes the empirical justification for excluding pandemic-period volatility and documents the post-pandemic demarcation and partitioning design. It is referenced in Chapter III (Methodology), Section 3.2 (Temporal Scope and Boundary Definition) and Section 3.1 (Dataset Partitioning and Validation Protocol); and in Chapter IV (Results), Section 4.2 (Temporal Boundaries).</w:t>
      </w:r>
    </w:p>
    <w:p>
      <w:pPr>
        <w:spacing w:before="240" w:after="120" w:line="480" w:lineRule="auto"/>
      </w:pPr>
      <w:r>
        <w:rPr>
          <w:rFonts w:ascii="Times New Roman" w:hAnsi="Times New Roman"/>
          <w:b/>
          <w:sz w:val="24"/>
        </w:rPr>
        <w:t>D.1 Temporal Scope and the Post-Pandemic Demarcation Point</w:t>
      </w:r>
    </w:p>
    <w:p>
      <w:pPr>
        <w:spacing w:before="0" w:after="120" w:line="480" w:lineRule="auto"/>
        <w:ind w:firstLine="720"/>
      </w:pPr>
      <w:r>
        <w:rPr>
          <w:rFonts w:ascii="Times New Roman" w:hAnsi="Times New Roman"/>
          <w:sz w:val="24"/>
        </w:rPr>
        <w:t>To ensure structural modeling integrity, the temporal boundaries of this sample exclude the systemic disruptions of the COVID-19 pandemic (2020 through early 2022). While passenger volume collapsed by more than 95\% during March–April 2020, commercial flight schedules were maintained at artificially inflated levels to protect airline airport slot rights and comply with federal CARES Act minimum service guarantees. This created a complete structural decoupling between flight schedules and passenger arrivals.</w:t>
      </w:r>
    </w:p>
    <w:p>
      <w:pPr>
        <w:spacing w:before="0" w:after="120" w:line="480" w:lineRule="auto"/>
        <w:ind w:firstLine="720"/>
      </w:pPr>
      <w:r>
        <w:rPr>
          <w:rFonts w:ascii="Times New Roman" w:hAnsi="Times New Roman"/>
          <w:sz w:val="24"/>
        </w:rPr>
        <w:t>The empirical demarcation point is established on **May 1, 2022**, following the nationwide judicial vacatur and federal repeal of the commercial transportation mask mandate in late April 2022. This date marks the restoration of normal commercial travel behaviors and stable airline schedule-to-demand coupling across legacy carriers.</w:t>
      </w:r>
    </w:p>
    <w:p>
      <w:pPr>
        <w:spacing w:before="0" w:after="120" w:line="480" w:lineRule="auto"/>
        <w:ind w:firstLine="720"/>
      </w:pPr>
      <w:r>
        <w:rPr>
          <w:rFonts w:ascii="Times New Roman" w:hAnsi="Times New Roman"/>
          <w:sz w:val="24"/>
        </w:rPr>
        <w:t>Econometric stability across the demarcation point was evaluated through two formal tests:</w:t>
        <w:br/>
        <w:t>1. **Chow Structural Break Test**: Compares linear regression parameters pre- and post-May 1, 2022, confirming structural parameter stability (F = 1.42, p = 0.18 &gt; 0.05).</w:t>
        <w:br/>
        <w:t>2. **Cumulative Sum of Recursive Residuals (CUSUM)**: Confirms that recursive residuals remain bounded within 95\% confidence bands throughout the post-demarcation window (May 2022 through December 2025).</w:t>
      </w:r>
    </w:p>
    <w:p>
      <w:pPr>
        <w:spacing w:before="240" w:after="120" w:line="480" w:lineRule="auto"/>
      </w:pPr>
      <w:r>
        <w:rPr>
          <w:rFonts w:ascii="Times New Roman" w:hAnsi="Times New Roman"/>
          <w:b/>
          <w:sz w:val="24"/>
        </w:rPr>
        <w:t>D.2 Longitudinal Dataset Partitioning and 7-Day Purge Embargo</w:t>
      </w:r>
    </w:p>
    <w:p>
      <w:pPr>
        <w:spacing w:before="0" w:after="120" w:line="480" w:lineRule="auto"/>
        <w:ind w:firstLine="720"/>
      </w:pPr>
      <w:r>
        <w:rPr>
          <w:rFonts w:ascii="Times New Roman" w:hAnsi="Times New Roman"/>
          <w:sz w:val="24"/>
        </w:rPr>
        <w:t>The post-demarcation dataset spans **44 continuous calendar months** (May 1, 2022 to December 31, 2025) partitioned into three non-overlapping operational windows:</w:t>
      </w:r>
    </w:p>
    <w:p>
      <w:pPr>
        <w:spacing w:before="0" w:after="120" w:line="480" w:lineRule="auto"/>
        <w:ind w:firstLine="720"/>
      </w:pPr>
      <w:r>
        <w:rPr>
          <w:rFonts w:ascii="Times New Roman" w:hAnsi="Times New Roman"/>
          <w:sz w:val="24"/>
        </w:rPr>
        <w:t>* **Training Window (In-Sample Calibration)**: May 1, 2022 to December 31, 2023 (20.0 continuous months; 15,976 complex-days; 122,847 hourly records across the 12 complexes). Used to calibrate flight schedule convolutions and fit supervised model parameters.</w:t>
        <w:br/>
        <w:t>* **Validation Window (Hyperparameter Tuning)**: January 8, 2024 to December 24, 2024 (11.8 continuous months; 3,293 complex-days; 72,723 hourly records). Strictly reserved for hyperparameter optimization and cross-validation.</w:t>
        <w:br/>
        <w:t>* **Out-of-Time Holdout Dataset (Certified Testing)**: January 1, 2025 to December 31, 2025 (12.0 continuous months; 3,222 complex-days; 77,328 hourly records). Maintained completely sealed until final model evaluation.</w:t>
      </w:r>
    </w:p>
    <w:p>
      <w:pPr>
        <w:spacing w:before="0" w:after="120" w:line="480" w:lineRule="auto"/>
        <w:ind w:firstLine="720"/>
      </w:pPr>
      <w:r>
        <w:rPr>
          <w:rFonts w:ascii="Times New Roman" w:hAnsi="Times New Roman"/>
          <w:sz w:val="24"/>
        </w:rPr>
        <w:t>To prevent temporal lookahead leakage across partition boundaries, a **7-day operational purge embargo** was enforced:</w:t>
        <w:br/>
        <w:t>- Training-to-Validation Embargo: January 1, 2024 to January 7, 2024 (purged).</w:t>
        <w:br/>
        <w:t>- Validation-to-Holdout Embargo: December 25, 2024 to December 31, 2024 (purged).</w:t>
        <w:br/>
        <w:t>This buffer ensures that multi-day rolling features (e.g., \sigma_{\text{TSA, 7d}}) and autoregressive error lags do not cross partition thresholds.</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Post-Pandemic Temporal Demarcation and Structural Stability Justification</w:t>
        <w:br/>
      </w:r>
      <w:r>
        <w:rPr>
          <w:rFonts w:ascii="Times New Roman" w:hAnsi="Times New Roman"/>
          <w:sz w:val="21"/>
        </w:rPr>
        <w:t xml:space="preserve">  Source File: post_pandemic_justification.csv</w:t>
        <w:br/>
        <w:t xml:space="preserve">  Repository Location: final-thesis/figures/ch03_methodology/post_pandemic_justification.csv</w:t>
        <w:br/>
      </w:r>
      <w:r>
        <w:rPr>
          <w:rFonts w:ascii="Times New Roman" w:hAnsi="Times New Roman"/>
          <w:sz w:val="21"/>
        </w:rPr>
        <w:t xml:space="preserve">  Companion Visual / Workbook: final-thesis/figures/ch03_methodology/post-pandemic justification.png</w:t>
        <w:br/>
      </w:r>
      <w:r>
        <w:rPr>
          <w:rFonts w:ascii="Times New Roman" w:hAnsi="Times New Roman"/>
          <w:i/>
          <w:sz w:val="21"/>
        </w:rPr>
        <w:t xml:space="preserve">  Description: Documents Chow structural break statistics, CUSUM recursive residual bounds, and CUSUM convergence justifying the May 1, 2022 boundary.</w:t>
      </w:r>
    </w:p>
    <w:p>
      <w:pPr>
        <w:spacing w:before="80" w:after="120" w:line="360" w:lineRule="auto"/>
        <w:ind w:left="720"/>
      </w:pPr>
      <w:r>
        <w:rPr>
          <w:rFonts w:ascii="Times New Roman" w:hAnsi="Times New Roman"/>
          <w:b/>
          <w:sz w:val="22"/>
        </w:rPr>
        <w:t>• Asset: Dataset Partitioning Protocol and Longitudinal Timeline</w:t>
        <w:br/>
      </w:r>
      <w:r>
        <w:rPr>
          <w:rFonts w:ascii="Times New Roman" w:hAnsi="Times New Roman"/>
          <w:sz w:val="21"/>
        </w:rPr>
        <w:t xml:space="preserve">  Source File: 01_Sample_and_Airport_Selection.xlsx</w:t>
        <w:br/>
        <w:t xml:space="preserve">  Repository Location: final-thesis/figures/ch03_methodology/01_Sample_and_Airport_Selection.xlsx</w:t>
        <w:br/>
      </w:r>
      <w:r>
        <w:rPr>
          <w:rFonts w:ascii="Times New Roman" w:hAnsi="Times New Roman"/>
          <w:sz w:val="21"/>
        </w:rPr>
        <w:t xml:space="preserve">  Companion Visual / Workbook: final-thesis/figures/ch04_results/table_4_3b_master_annual_seasonal_volatility_regimes_summary.csv</w:t>
        <w:br/>
      </w:r>
      <w:r>
        <w:rPr>
          <w:rFonts w:ascii="Times New Roman" w:hAnsi="Times New Roman"/>
          <w:i/>
          <w:sz w:val="21"/>
        </w:rPr>
        <w:t xml:space="preserve">  Description: Multi-tab workbook containing the 44-month longitudinal timeline, 7-day purge embargos, sample sizes, and holiday exclusions.</w:t>
      </w:r>
    </w:p>
    <w:p>
      <w:pPr>
        <w:spacing w:before="360" w:after="120" w:line="480" w:lineRule="auto"/>
      </w:pPr>
      <w:r>
        <w:rPr>
          <w:rFonts w:ascii="Times New Roman" w:hAnsi="Times New Roman"/>
          <w:b/>
          <w:sz w:val="28"/>
        </w:rPr>
        <w:t>Appendix E: Four-Tier Purposive Filtering Pipeline and Nine-Airport Cohort Selection</w:t>
      </w:r>
    </w:p>
    <w:p>
      <w:pPr>
        <w:spacing w:before="0" w:after="240" w:line="480" w:lineRule="auto"/>
        <w:ind w:left="720"/>
      </w:pPr>
      <w:r>
        <w:rPr>
          <w:rFonts w:ascii="Times New Roman" w:hAnsi="Times New Roman"/>
          <w:i/>
          <w:sz w:val="22"/>
        </w:rPr>
        <w:t>Note on Thesis Cross-References: This appendix details the progressive multi-phase filtering architecture that isolates dedicated single-carrier screening facilities from confounding network interactions. It is referenced in Chapter III (Methodology), Section 3.2 (Sample: Four-Tiered Purposive Filtering Pipeline); and in Chapter IV (Results), Section 4.3 (Data Filtering and Subset Selection).</w:t>
      </w:r>
    </w:p>
    <w:p>
      <w:pPr>
        <w:spacing w:before="240" w:after="120" w:line="480" w:lineRule="auto"/>
      </w:pPr>
      <w:r>
        <w:rPr>
          <w:rFonts w:ascii="Times New Roman" w:hAnsi="Times New Roman"/>
          <w:b/>
          <w:sz w:val="24"/>
        </w:rPr>
        <w:t>E.1 The Four-Tier Purposive Filtering Progression</w:t>
      </w:r>
    </w:p>
    <w:p>
      <w:pPr>
        <w:spacing w:before="0" w:after="120" w:line="480" w:lineRule="auto"/>
        <w:ind w:firstLine="720"/>
      </w:pPr>
      <w:r>
        <w:rPr>
          <w:rFonts w:ascii="Times New Roman" w:hAnsi="Times New Roman"/>
          <w:sz w:val="24"/>
        </w:rPr>
        <w:t>To overcome confounding operational interactions across shared commercial facilities, the study operationalizes a Four-Tier Purposive Filtering Pipeline:</w:t>
      </w:r>
    </w:p>
    <w:p>
      <w:pPr>
        <w:spacing w:before="0" w:after="120" w:line="480" w:lineRule="auto"/>
        <w:ind w:firstLine="720"/>
      </w:pPr>
      <w:r>
        <w:rPr>
          <w:rFonts w:ascii="Times New Roman" w:hAnsi="Times New Roman"/>
          <w:sz w:val="24"/>
        </w:rPr>
        <w:t>* **Phase 1: Macro Filter (Systemic Scale &amp; Congestion)**: Filters the nationwide universe of 450+ commercial airports down to the **Top 25 passenger airfields** representing 67.2\% of domestic departures. Ensures traffic intensity routinely approaches heavy-traffic queuing saturation (\rho \to 1.0) during bank peaks.</w:t>
        <w:br/>
        <w:t>* **Phase 2: Meso Filter (Network Topology &amp; Legacy Carrier Dominance)**: Restricts the candidate set to airfields with dominant network legacy operations (American Airlines [AA], Delta Air Lines [DL], United Airlines [UA]) commanding \ge 60\% combined seat share. Excludes point-to-point carriers, notably Southwest Airlines (WN), due to unassigned boarding arrival variance. Retains **14 candidate airfields**.</w:t>
        <w:br/>
        <w:t>* **Phase 3: Micro Filter (Physical Layout &amp; Checkpoint Exclusivity)**: Enforces physical terminal separation, selecting only terminals where screening lanes serve a single carrier (\ge 85\% gate exclusivity). Eliminates shared-lobby multi-carrier collinearity (\text{Corr}(S_j, S_k) \ge 0.75, \text{VIF} \ge 4.0). Retains **9 airfields**.</w:t>
        <w:br/>
        <w:t>* **Phase 4: Factorial Cohort (Balanced Experimental Matrix)**: Constructs an orthogonal 4 \times 4 factorial design across 4 operational archetypes, establishing the **9-Airport Experimental Cohort** across **12 Dedicated Carrier Complexes**:</w:t>
        <w:br/>
        <w:t xml:space="preserve">  - *American Airlines (4 complexes)*: BOS Terminal B, DFW Terminal D, LAX Terminal 4, PHL Terminal B/C.</w:t>
        <w:br/>
        <w:t xml:space="preserve">  - *Delta Air Lines (4 complexes)*: BOS Terminal A, DTW McNamara Terminal, LAX Terminal 2/3, LGA Terminal C.</w:t>
        <w:br/>
        <w:t xml:space="preserve">  - *United Airlines (4 complexes)*: EWR Terminal C, IAH Terminal C, LAX Terminal 7, ORD Terminal 1.</w:t>
      </w:r>
    </w:p>
    <w:p>
      <w:pPr>
        <w:spacing w:before="240" w:after="120" w:line="480" w:lineRule="auto"/>
      </w:pPr>
      <w:r>
        <w:rPr>
          <w:rFonts w:ascii="Times New Roman" w:hAnsi="Times New Roman"/>
          <w:b/>
          <w:sz w:val="24"/>
        </w:rPr>
        <w:t>E.2 Key Airport Selection Contrasts and Econometric Validation</w:t>
      </w:r>
    </w:p>
    <w:p>
      <w:pPr>
        <w:spacing w:before="0" w:after="120" w:line="480" w:lineRule="auto"/>
        <w:ind w:firstLine="720"/>
      </w:pPr>
      <w:r>
        <w:rPr>
          <w:rFonts w:ascii="Times New Roman" w:hAnsi="Times New Roman"/>
          <w:sz w:val="24"/>
        </w:rPr>
        <w:t>Specific airport inclusion and exclusion contrasts substantiate the methodological validity of the cohort:</w:t>
      </w:r>
    </w:p>
    <w:p>
      <w:pPr>
        <w:spacing w:before="0" w:after="120" w:line="480" w:lineRule="auto"/>
        <w:ind w:firstLine="720"/>
      </w:pPr>
      <w:r>
        <w:rPr>
          <w:rFonts w:ascii="Times New Roman" w:hAnsi="Times New Roman"/>
          <w:sz w:val="24"/>
        </w:rPr>
        <w:t>* **LGA vs. JFK Selection Contrast**: United Airlines permanently ceased operations at JFK in October 2022 (violating Meso longitudinal continuity). Conversely, LGA opened Delta's consolidated Terminal C in June 2022, providing 100% single-carrier lane exclusivity and pristine unconfounded checkpoint isolation.</w:t>
        <w:br/>
        <w:t>* **PHL vs. SLC Selection Contrast**: Salt Lake City International (SLC) channels all airlines through a single consolidated central screening checkpoint, making carrier isolation physically impossible. Philadelphia International (PHL) provides dedicated American Airlines checkpoints in Terminals B and C, ensuring carrier isolation within Cluster 2.</w:t>
      </w:r>
    </w:p>
    <w:p>
      <w:pPr>
        <w:spacing w:before="0" w:after="120" w:line="480" w:lineRule="auto"/>
        <w:ind w:firstLine="720"/>
      </w:pPr>
      <w:r>
        <w:rPr>
          <w:rFonts w:ascii="Times New Roman" w:hAnsi="Times New Roman"/>
          <w:sz w:val="24"/>
        </w:rPr>
        <w:t>**Econometric Verification of Carrier Checkpoint Isolation**:</w:t>
        <w:br/>
        <w:t>To confirm that dedicated screening complexes isolate single-carrier demand without cross-carrier leakage, three econometric tests were executed:</w:t>
        <w:br/>
        <w:t>1. *Volume Conservation Test*: Confirms that convolved carrier departures match observed checkpoint volume (R^2 = 0.880 to 0.940).</w:t>
        <w:br/>
        <w:t>2. *Cross-Carrier Leakage Test*: Evaluates whether other airlines' flight banks predict dedicated checkpoint arrivals (F = 0.84, p = 0.43, confirming zero leakage).</w:t>
        <w:br/>
        <w:t>3. *Collinearity Diagnostics*: Evaluates variance inflation factors, showing VIF drops from &gt; 4.50 in shared terminals to &lt; 1.15 in dedicated terminals.</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Airport Operational Cluster Archetypes and Factorial Design Matrix</w:t>
        <w:br/>
      </w:r>
      <w:r>
        <w:rPr>
          <w:rFonts w:ascii="Times New Roman" w:hAnsi="Times New Roman"/>
          <w:sz w:val="21"/>
        </w:rPr>
        <w:t xml:space="preserve">  Source File: airport_clusters.csv</w:t>
        <w:br/>
        <w:t xml:space="preserve">  Repository Location: final-thesis/figures/ch03_methodology/airport_clusters.csv</w:t>
        <w:br/>
      </w:r>
      <w:r>
        <w:rPr>
          <w:rFonts w:ascii="Times New Roman" w:hAnsi="Times New Roman"/>
          <w:sz w:val="21"/>
        </w:rPr>
        <w:t xml:space="preserve">  Companion Visual / Workbook: final-thesis/figures/ch03_methodology/airport clusters.png</w:t>
        <w:br/>
      </w:r>
      <w:r>
        <w:rPr>
          <w:rFonts w:ascii="Times New Roman" w:hAnsi="Times New Roman"/>
          <w:i/>
          <w:sz w:val="21"/>
        </w:rPr>
        <w:t xml:space="preserve">  Description: Documents the balanced 4x4 factorial experimental design balancing 12 carrier-exclusive complexes across 4 operational cluster archetypes.</w:t>
      </w:r>
    </w:p>
    <w:p>
      <w:pPr>
        <w:spacing w:before="80" w:after="120" w:line="360" w:lineRule="auto"/>
        <w:ind w:left="720"/>
      </w:pPr>
      <w:r>
        <w:rPr>
          <w:rFonts w:ascii="Times New Roman" w:hAnsi="Times New Roman"/>
          <w:b/>
          <w:sz w:val="22"/>
        </w:rPr>
        <w:t>• Asset: Summary Descriptive Statistics: Nine-Airport Cohort vs. Top 25 Airfields</w:t>
        <w:br/>
      </w:r>
      <w:r>
        <w:rPr>
          <w:rFonts w:ascii="Times New Roman" w:hAnsi="Times New Roman"/>
          <w:sz w:val="21"/>
        </w:rPr>
        <w:t xml:space="preserve">  Source File: table_4_7_summary_descriptive_statistics_nine_airport_vs_top25.csv</w:t>
        <w:br/>
        <w:t xml:space="preserve">  Repository Location: final-thesis/figures/ch04_results/table_4_7_summary_descriptive_statistics_nine_airport_vs_top25.csv</w:t>
        <w:br/>
      </w:r>
      <w:r>
        <w:rPr>
          <w:rFonts w:ascii="Times New Roman" w:hAnsi="Times New Roman"/>
          <w:sz w:val="21"/>
        </w:rPr>
        <w:t xml:space="preserve">  Companion Visual / Workbook: final-thesis/figures/04_Appendix_and_Reference/data_profile_top9.csv</w:t>
        <w:br/>
      </w:r>
      <w:r>
        <w:rPr>
          <w:rFonts w:ascii="Times New Roman" w:hAnsi="Times New Roman"/>
          <w:i/>
          <w:sz w:val="21"/>
        </w:rPr>
        <w:t xml:space="preserve">  Description: Compares scheduled flight density (+16.9%), average departure delays (+7.2%), and local originating passenger shares (+8.1%) between the cohort and the broader Top 25 network.</w:t>
      </w:r>
    </w:p>
    <w:p>
      <w:pPr>
        <w:spacing w:before="80" w:after="120" w:line="360" w:lineRule="auto"/>
        <w:ind w:left="720"/>
      </w:pPr>
      <w:r>
        <w:rPr>
          <w:rFonts w:ascii="Times New Roman" w:hAnsi="Times New Roman"/>
          <w:b/>
          <w:sz w:val="22"/>
        </w:rPr>
        <w:t>• Asset: Econometric Verification of Carrier Checkpoint Isolation</w:t>
        <w:br/>
      </w:r>
      <w:r>
        <w:rPr>
          <w:rFonts w:ascii="Times New Roman" w:hAnsi="Times New Roman"/>
          <w:sz w:val="21"/>
        </w:rPr>
        <w:t xml:space="preserve">  Source File: table_4_5_econometric_verification_of_carrier_checkpoint_isolation.csv</w:t>
        <w:br/>
        <w:t xml:space="preserve">  Repository Location: final-thesis/figures/ch04_results/table_4_5_econometric_verification_of_carrier_checkpoint_isolation.csv</w:t>
        <w:br/>
      </w:r>
      <w:r>
        <w:rPr>
          <w:rFonts w:ascii="Times New Roman" w:hAnsi="Times New Roman"/>
          <w:sz w:val="21"/>
        </w:rPr>
        <w:t xml:space="preserve">  Companion Visual / Workbook: final-thesis/figures/ch03_methodology/checkpoint_examples.csv</w:t>
        <w:br/>
      </w:r>
      <w:r>
        <w:rPr>
          <w:rFonts w:ascii="Times New Roman" w:hAnsi="Times New Roman"/>
          <w:i/>
          <w:sz w:val="21"/>
        </w:rPr>
        <w:t xml:space="preserve">  Description: Presents regression F-tests, leakage coefficients, and collinearity VIF reductions across dedicated screening checkpoints.</w:t>
      </w:r>
    </w:p>
    <w:p>
      <w:pPr>
        <w:spacing w:before="360" w:after="120" w:line="480" w:lineRule="auto"/>
      </w:pPr>
      <w:r>
        <w:rPr>
          <w:rFonts w:ascii="Times New Roman" w:hAnsi="Times New Roman"/>
          <w:b/>
          <w:sz w:val="28"/>
        </w:rPr>
        <w:t>Appendix F: Multi-Source Aviation Data Feeds, ETL Architecture, and Data Hygiene Protocols</w:t>
      </w:r>
    </w:p>
    <w:p>
      <w:pPr>
        <w:spacing w:before="0" w:after="240" w:line="480" w:lineRule="auto"/>
        <w:ind w:left="720"/>
      </w:pPr>
      <w:r>
        <w:rPr>
          <w:rFonts w:ascii="Times New Roman" w:hAnsi="Times New Roman"/>
          <w:i/>
          <w:sz w:val="22"/>
        </w:rPr>
        <w:t>Note on Thesis Cross-References: This appendix documents the multi-source data feeds, conformed Star Schema staging pipeline, 26-step ETL transformations, and data hygiene protocols. It is referenced in Chapter III (Methodology), Section 3.3 (Sources of Data: TSA FOIA, BTS OTP, BTS Form 41 T-100, BTS DB1B) and Section 3.5 (Treatment of Data: Extract, Transform, Load); and in Chapter IV (Results), Section 4.2 (Descriptive Statistics for Post ETL Data).</w:t>
      </w:r>
    </w:p>
    <w:p>
      <w:pPr>
        <w:spacing w:before="240" w:after="120" w:line="480" w:lineRule="auto"/>
      </w:pPr>
      <w:r>
        <w:rPr>
          <w:rFonts w:ascii="Times New Roman" w:hAnsi="Times New Roman"/>
          <w:b/>
          <w:sz w:val="24"/>
        </w:rPr>
        <w:t>F.1 Multi-Source Data Feeds and Warehouse Architecture</w:t>
      </w:r>
    </w:p>
    <w:p>
      <w:pPr>
        <w:spacing w:before="0" w:after="120" w:line="480" w:lineRule="auto"/>
        <w:ind w:firstLine="720"/>
      </w:pPr>
      <w:r>
        <w:rPr>
          <w:rFonts w:ascii="Times New Roman" w:hAnsi="Times New Roman"/>
          <w:sz w:val="24"/>
        </w:rPr>
        <w:t>The analytical data warehouse integrates four authoritative federal aviation feeds across the 7-year baseline (2019–2025):</w:t>
      </w:r>
    </w:p>
    <w:p>
      <w:pPr>
        <w:spacing w:before="0" w:after="120" w:line="480" w:lineRule="auto"/>
        <w:ind w:firstLine="720"/>
      </w:pPr>
      <w:r>
        <w:rPr>
          <w:rFonts w:ascii="Times New Roman" w:hAnsi="Times New Roman"/>
          <w:sz w:val="24"/>
        </w:rPr>
        <w:t>1. **TSA FOIA Checkpoint Screening Logs**: 19,500,286 raw lane-hourly throughput rows cleaned and conformed to 6,434,732 lane-hours representing 2,703,694,229 screened passengers across the Top 25 airfields. Captured at the physical screening lane-hour grain.</w:t>
        <w:br/>
        <w:t>2. **BTS On-Time Flight Performance (Form 234)**: 45,777,091 raw domestic flight movement records conformed to 13,153,654 mainline departures across 17 reporting carriers and 294 destination spoke airports. Provides scheduled departure times, actual wheels-off, departure delay minutes, tactical cancellations, and delay cause decomposition.</w:t>
        <w:br/>
        <w:t>3. **BTS Form 41 Schedule T-100 Domestic Segment Capacity**: 1,945,451 raw carrier-route-equipment records conformed to 422,096 carrier-segment-month observations covering 2,094,610,715 departing seats and 1,701,068,172 transported revenue passengers (mean load factor 84.73\%, mean seat capacity 171.1 seats).</w:t>
        <w:br/>
        <w:t>4. **BTS DB1B / DB1C Origin-Destination Ticket Coupon Survey**: 12,910,384 raw itinerary coupon records representing a 10\% random ticket sample conformed to 22,051,557 coupon records and 62,158,071 passenger journeys across closed 25-airport network pairs (mean connecting transfer ratio 51.39\%).</w:t>
      </w:r>
    </w:p>
    <w:p>
      <w:pPr>
        <w:spacing w:before="240" w:after="120" w:line="480" w:lineRule="auto"/>
      </w:pPr>
      <w:r>
        <w:rPr>
          <w:rFonts w:ascii="Times New Roman" w:hAnsi="Times New Roman"/>
          <w:b/>
          <w:sz w:val="24"/>
        </w:rPr>
        <w:t>F.2 ETL Transformation Protocols and Data Hygiene Rules</w:t>
      </w:r>
    </w:p>
    <w:p>
      <w:pPr>
        <w:spacing w:before="0" w:after="120" w:line="480" w:lineRule="auto"/>
        <w:ind w:firstLine="720"/>
      </w:pPr>
      <w:r>
        <w:rPr>
          <w:rFonts w:ascii="Times New Roman" w:hAnsi="Times New Roman"/>
          <w:sz w:val="24"/>
        </w:rPr>
        <w:t>Data preparation follows a rigorous 26-step pipeline implemented in high-performance vectorized DuckDB:</w:t>
        <w:br/>
        <w:t>* **8-Step Extract Protocol**: Validates cryptographic hashes, enforces columnar schemas, eliminates corrupt text lines, and standardizes temporal time zones to local solar airfield time.</w:t>
        <w:br/>
        <w:t>* **15-Step Transform Protocol**: Synthesizes Star Schema conformed dimension tables, computes convolved passenger show-up curves, calculates connecting passenger deflators, and derives scale-free relative volatility metrics (CV_{\text{TSA}}).</w:t>
        <w:br/>
        <w:t>* **3-Step Load Protocol**: Generates optimized Apache Parquet column partitions, builds multi-dimensional relational grids, and executes referential integrity certification.</w:t>
      </w:r>
    </w:p>
    <w:p>
      <w:pPr>
        <w:spacing w:before="0" w:after="120" w:line="480" w:lineRule="auto"/>
        <w:ind w:firstLine="720"/>
      </w:pPr>
      <w:r>
        <w:rPr>
          <w:rFonts w:ascii="Times New Roman" w:hAnsi="Times New Roman"/>
          <w:sz w:val="24"/>
        </w:rPr>
        <w:t>**Three Essential Data Hygiene Protocols**:</w:t>
        <w:br/>
        <w:t>1. *Spatial Key Fingerprinting and Null Quarantining*: Upstream raw TSA logs contained 35,809 records with null, corrupted, or non-IATA airport strings. Automated checkpoint fingerprinting recovered 7,489 records; the remaining 22,190 unresolvable records were mapped to a dedicated null surrogate key (`airportId = 0`, `airportMissing = 1`), preventing the creation of an artificial 9.71-million passenger phantom airport.</w:t>
        <w:br/>
        <w:t>2. *Structural Zeros Preservation*: Exactly 64,743 records (1.01\% of cleaned observations) reported zero throughput. Cross-referencing flight schedules confirmed 98.6\% of zeros occurred during overnight non-operational hours (00:00 to 03:59). These were preserved as true physical terminal lane closures rather than naively imputed.</w:t>
        <w:br/>
        <w:t>3. *Advance vs. Tactical Cancellation Demarcation*: 99.4\% of unassigned aircraft tail numbers occurred on cancelled flights. Advance cancellations (&gt;24 hours pre-departure) were purged from departing seat capacity curves; tactical cancellations (&lt;2 hours pre-departure) were retained in passenger demand curves because affected travelers had already crossed landside screening prior to flight cancellation.</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Master Multi-Source Aviation Data Foundation and Warehouse Census</w:t>
        <w:br/>
      </w:r>
      <w:r>
        <w:rPr>
          <w:rFonts w:ascii="Times New Roman" w:hAnsi="Times New Roman"/>
          <w:sz w:val="21"/>
        </w:rPr>
        <w:t xml:space="preserve">  Source File: database_profiles.csv</w:t>
        <w:br/>
        <w:t xml:space="preserve">  Repository Location: final-thesis/figures/04_Appendix_and_Reference/database_profiles.csv</w:t>
        <w:br/>
      </w:r>
      <w:r>
        <w:rPr>
          <w:rFonts w:ascii="Times New Roman" w:hAnsi="Times New Roman"/>
          <w:sz w:val="21"/>
        </w:rPr>
        <w:t xml:space="preserve">  Companion Visual / Workbook: final-thesis/figures/04_Appendix_and_Reference/database profiles.png</w:t>
        <w:br/>
      </w:r>
      <w:r>
        <w:rPr>
          <w:rFonts w:ascii="Times New Roman" w:hAnsi="Times New Roman"/>
          <w:i/>
          <w:sz w:val="21"/>
        </w:rPr>
        <w:t xml:space="preserve">  Description: Details source agency, temporal coverage, raw ingested records, cleaned records, analytical grain, and operational attributes across TSA, OTP, T-100, and DB1B.</w:t>
      </w:r>
    </w:p>
    <w:p>
      <w:pPr>
        <w:spacing w:before="80" w:after="120" w:line="360" w:lineRule="auto"/>
        <w:ind w:left="720"/>
      </w:pPr>
      <w:r>
        <w:rPr>
          <w:rFonts w:ascii="Times New Roman" w:hAnsi="Times New Roman"/>
          <w:b/>
          <w:sz w:val="22"/>
        </w:rPr>
        <w:t>• Asset: Bureau of Transportation Statistics DB1B Ticket Hierarchy</w:t>
        <w:br/>
      </w:r>
      <w:r>
        <w:rPr>
          <w:rFonts w:ascii="Times New Roman" w:hAnsi="Times New Roman"/>
          <w:sz w:val="21"/>
        </w:rPr>
        <w:t xml:space="preserve">  Source File: bts_db1b_table_hierarchy.csv</w:t>
        <w:br/>
        <w:t xml:space="preserve">  Repository Location: final-thesis/figures/04_Appendix_and_Reference/bts_db1b_table_hierarchy.csv</w:t>
        <w:br/>
      </w:r>
      <w:r>
        <w:rPr>
          <w:rFonts w:ascii="Times New Roman" w:hAnsi="Times New Roman"/>
          <w:sz w:val="21"/>
        </w:rPr>
        <w:t xml:space="preserve">  Companion Visual / Workbook: final-thesis/figures/04_Appendix_and_Reference/BTS-DB1B_Appendix.png</w:t>
        <w:br/>
      </w:r>
      <w:r>
        <w:rPr>
          <w:rFonts w:ascii="Times New Roman" w:hAnsi="Times New Roman"/>
          <w:i/>
          <w:sz w:val="21"/>
        </w:rPr>
        <w:t xml:space="preserve">  Description: Documents the 3-tier hierarchy of DB1B (Coupon, Ticket, Market tables) and connecting passenger deflator derivation.</w:t>
      </w:r>
    </w:p>
    <w:p>
      <w:pPr>
        <w:spacing w:before="80" w:after="120" w:line="360" w:lineRule="auto"/>
        <w:ind w:left="720"/>
      </w:pPr>
      <w:r>
        <w:rPr>
          <w:rFonts w:ascii="Times New Roman" w:hAnsi="Times New Roman"/>
          <w:b/>
          <w:sz w:val="22"/>
        </w:rPr>
        <w:t>• Asset: Combined Data Pipeline Funnel Lifecycle and Threat Remediation Matrix</w:t>
        <w:br/>
      </w:r>
      <w:r>
        <w:rPr>
          <w:rFonts w:ascii="Times New Roman" w:hAnsi="Times New Roman"/>
          <w:sz w:val="21"/>
        </w:rPr>
        <w:t xml:space="preserve">  Source File: combined_data_threats_and_remediation_matrix.csv</w:t>
        <w:br/>
        <w:t xml:space="preserve">  Repository Location: final-thesis/figures/ch03_methodology/combined_data_threats_and_remediation_matrix.csv</w:t>
        <w:br/>
      </w:r>
      <w:r>
        <w:rPr>
          <w:rFonts w:ascii="Times New Roman" w:hAnsi="Times New Roman"/>
          <w:sz w:val="21"/>
        </w:rPr>
        <w:t xml:space="preserve">  Companion Visual / Workbook: final-thesis/figures/ch03_methodology/Combined_Data_Threats_and_Remediation_Matrix.png</w:t>
        <w:br/>
      </w:r>
      <w:r>
        <w:rPr>
          <w:rFonts w:ascii="Times New Roman" w:hAnsi="Times New Roman"/>
          <w:i/>
          <w:sz w:val="21"/>
        </w:rPr>
        <w:t xml:space="preserve">  Description: Full tabular matrix mapping 11 data quality threats to specific cleaning rules and econometric remediation gates.</w:t>
      </w:r>
    </w:p>
    <w:p>
      <w:pPr>
        <w:spacing w:before="360" w:after="120" w:line="480" w:lineRule="auto"/>
      </w:pPr>
      <w:r>
        <w:rPr>
          <w:rFonts w:ascii="Times New Roman" w:hAnsi="Times New Roman"/>
          <w:b/>
          <w:sz w:val="28"/>
        </w:rPr>
        <w:t>Appendix G: Statistical Significance Testing: Diebold-Mariano, Chow, and CUSUM Foundations</w:t>
      </w:r>
    </w:p>
    <w:p>
      <w:pPr>
        <w:spacing w:before="0" w:after="240" w:line="480" w:lineRule="auto"/>
        <w:ind w:left="720"/>
      </w:pPr>
      <w:r>
        <w:rPr>
          <w:rFonts w:ascii="Times New Roman" w:hAnsi="Times New Roman"/>
          <w:i/>
          <w:sz w:val="22"/>
        </w:rPr>
        <w:t>Note on Thesis Cross-References: This appendix provides the formal mathematical derivations, asymptotic theory, and degrees-of-freedom audits for the statistical significance tests operationalized throughout the thesis. It is referenced in Chapter III (Methodology), Section 3.1 (Dataset Partitioning and Validation Protocol) and Section 3.1 (Apparatus and Materials: Evaluation Metric Definition); and in Chapter IV (Results), Section 4.4 (Model Results and Evaluation).</w:t>
      </w:r>
    </w:p>
    <w:p>
      <w:pPr>
        <w:spacing w:before="240" w:after="120" w:line="480" w:lineRule="auto"/>
      </w:pPr>
      <w:r>
        <w:rPr>
          <w:rFonts w:ascii="Times New Roman" w:hAnsi="Times New Roman"/>
          <w:b/>
          <w:sz w:val="24"/>
        </w:rPr>
        <w:t>G.1 The Diebold-Mariano Test for Equal Predictive Accuracy</w:t>
      </w:r>
    </w:p>
    <w:p>
      <w:pPr>
        <w:spacing w:before="0" w:after="120" w:line="480" w:lineRule="auto"/>
        <w:ind w:firstLine="720"/>
      </w:pPr>
      <w:r>
        <w:rPr>
          <w:rFonts w:ascii="Times New Roman" w:hAnsi="Times New Roman"/>
          <w:sz w:val="24"/>
        </w:rPr>
        <w:t>Comparing time-series forecast accuracy using standard paired t-tests is econometrically invalid because forecast error residuals exhibit serial autocorrelation and contemporaneous cross-correlation. This autocorrelation violates the independent and identically distributed (i.i.d.) assumption of the classical t-distribution, causing standard error estimators to severely underestimate sampling variance and yielding spurious statistical significance (p &lt; 0.0001).</w:t>
      </w:r>
    </w:p>
    <w:p>
      <w:pPr>
        <w:spacing w:before="0" w:after="120" w:line="480" w:lineRule="auto"/>
        <w:ind w:firstLine="720"/>
      </w:pPr>
      <w:r>
        <w:rPr>
          <w:rFonts w:ascii="Times New Roman" w:hAnsi="Times New Roman"/>
          <w:sz w:val="24"/>
        </w:rPr>
        <w:t>To establish rigorous statistical superiority, the thesis operationalizes the **Diebold-Mariano (DM) Test** with a Newey-West Heteroskedasticity and Autocorrelation Consistent (HAC) long-run variance estimator. Let e_{1,t} = y_t - \hat{y}_{1,t} and e_{2,t} = y_t - \hat{y}_{2,t} represent the forecast error series for Candidate Model 1 and Candidate Model 2. The loss differential series under quadratic loss is defined as:</w:t>
        <w:br/>
        <w:br/>
        <w:t>d_t = e_{1,t}^2 - e_{2,t}^2</w:t>
        <w:br/>
        <w:br/>
        <w:t>The null hypothesis of equal forecast accuracy is H_0: E[d_t] = 0. The test statistic is formulated as:</w:t>
        <w:br/>
        <w:br/>
        <w:t>DM = \frac{\bar{d}}{\sqrt{\hat{V}(\bar{d}) / N}} \xrightarrow{d} \mathcal{N}(0, 1)</w:t>
        <w:br/>
        <w:br/>
        <w:t>where \bar{d} = \frac{1}{N} \sum_{t=1}^N d_t, and the asymptotic long-run variance \hat{V}(\bar{d}) is estimated via spectral density at frequency zero with a Bartlett kernel:</w:t>
        <w:br/>
        <w:br/>
        <w:t>\hat{V}(\bar{d}) = \hat{\gamma}_0 + 2 \sum_{k=1}^{h-1} \left(1 - \frac{k}{h}\right) \hat{\gamma}_k</w:t>
        <w:br/>
      </w:r>
    </w:p>
    <w:p>
      <w:pPr>
        <w:spacing w:before="0" w:after="120" w:line="480" w:lineRule="auto"/>
        <w:ind w:firstLine="720"/>
      </w:pPr>
      <w:r>
        <w:rPr>
          <w:rFonts w:ascii="Times New Roman" w:hAnsi="Times New Roman"/>
          <w:sz w:val="24"/>
        </w:rPr>
        <w:t>Applied across the certified 2025 out-of-time holdout dataset (N = 3,222 test complex-days; degrees of freedom df = 3,221), the empirical pairwise Diebold-Mariano test yields:</w:t>
        <w:br/>
        <w:t>* **Model 2 vs. Model 1**: DM = +42.15 (p &lt; 0.0001).</w:t>
        <w:br/>
        <w:t>* **Model 3 vs. Model 1**: DM = +48.72 (p &lt; 0.0001).</w:t>
        <w:br/>
        <w:t>* **Model 3 vs. Model 2**: DM = +11.38 (p &lt; 0.0001).</w:t>
        <w:br/>
        <w:t>This formally rejects the null hypothesis of equal predictive accuracy, proving that Model 3's error reduction is a genuine statistical improvement rather than a sampling artifact.</w:t>
      </w:r>
    </w:p>
    <w:p>
      <w:pPr>
        <w:spacing w:before="240" w:after="120" w:line="480" w:lineRule="auto"/>
      </w:pPr>
      <w:r>
        <w:rPr>
          <w:rFonts w:ascii="Times New Roman" w:hAnsi="Times New Roman"/>
          <w:b/>
          <w:sz w:val="24"/>
        </w:rPr>
        <w:t>G.2 Chow Structural Break and CUSUM Parameter Stability Tests</w:t>
      </w:r>
    </w:p>
    <w:p>
      <w:pPr>
        <w:spacing w:before="0" w:after="120" w:line="480" w:lineRule="auto"/>
        <w:ind w:firstLine="720"/>
      </w:pPr>
      <w:r>
        <w:rPr>
          <w:rFonts w:ascii="Times New Roman" w:hAnsi="Times New Roman"/>
          <w:sz w:val="24"/>
        </w:rPr>
        <w:t>To mathematically verify the temporal stability of the model training regime, two structural econometric tests were executed across the May 1, 2022 demarcation boundary:</w:t>
      </w:r>
    </w:p>
    <w:p>
      <w:pPr>
        <w:spacing w:before="0" w:after="120" w:line="480" w:lineRule="auto"/>
        <w:ind w:firstLine="720"/>
      </w:pPr>
      <w:r>
        <w:rPr>
          <w:rFonts w:ascii="Times New Roman" w:hAnsi="Times New Roman"/>
          <w:sz w:val="24"/>
        </w:rPr>
        <w:t>* **Chow Structural Break Test**: Evaluates whether regression coefficients differ across pre- and post-demarcation periods:</w:t>
        <w:br/>
        <w:br/>
        <w:t>F = \frac{(RSS_C - (RSS_1 + RSS_2)) / k}{(RSS_1 + RSS_2) / (N_1 + N_2 - 2k)} \sim F(k, N_1 + N_2 - 2k)</w:t>
        <w:br/>
        <w:br/>
        <w:t>The pooled regression model yields F = 1.42 (p = 0.18), failing to reject the null hypothesis of coefficient equality and confirming parameter stability across the post-demarcation regime.</w:t>
      </w:r>
    </w:p>
    <w:p>
      <w:pPr>
        <w:spacing w:before="0" w:after="120" w:line="480" w:lineRule="auto"/>
        <w:ind w:firstLine="720"/>
      </w:pPr>
      <w:r>
        <w:rPr>
          <w:rFonts w:ascii="Times New Roman" w:hAnsi="Times New Roman"/>
          <w:sz w:val="24"/>
        </w:rPr>
        <w:t>* **Cumulative Sum of Recursive Residuals (CUSUM)**: Assesses ongoing parameter constancy over time:</w:t>
        <w:br/>
        <w:br/>
        <w:t>W_t = \sum_{r=k+1}^t \frac{w_r}{\hat{\sigma}_w}</w:t>
        <w:br/>
        <w:br/>
        <w:t>where w_r are standardized recursive residuals. CUSUM trajectories remain strictly within the 95\% significance boundaries throughout the May 2022 to December 2025 observation window, certifying data stability.</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Diebold-Mariano Pairwise Statistical Significance Matrix</w:t>
        <w:br/>
      </w:r>
      <w:r>
        <w:rPr>
          <w:rFonts w:ascii="Times New Roman" w:hAnsi="Times New Roman"/>
          <w:sz w:val="21"/>
        </w:rPr>
        <w:t xml:space="preserve">  Source File: table_4_11_master_multi_pillar_hypothesis_evaluation_matrix.csv</w:t>
        <w:br/>
        <w:t xml:space="preserve">  Repository Location: final-thesis/figures/ch04_results/table_4_11_master_multi_pillar_hypothesis_evaluation_matrix.csv</w:t>
        <w:br/>
      </w:r>
      <w:r>
        <w:rPr>
          <w:rFonts w:ascii="Times New Roman" w:hAnsi="Times New Roman"/>
          <w:sz w:val="21"/>
        </w:rPr>
        <w:t xml:space="preserve">  Companion Visual / Workbook: final-thesis/figures/ch03_methodology/models_and_tests.csv</w:t>
        <w:br/>
      </w:r>
      <w:r>
        <w:rPr>
          <w:rFonts w:ascii="Times New Roman" w:hAnsi="Times New Roman"/>
          <w:i/>
          <w:sz w:val="21"/>
        </w:rPr>
        <w:t xml:space="preserve">  Description: Certified pairwise DM test statistics, HAC Newey-West standard errors, loss differentials, and p-values across all candidate models on the 2025 holdout.</w:t>
      </w:r>
    </w:p>
    <w:p>
      <w:pPr>
        <w:spacing w:before="80" w:after="120" w:line="360" w:lineRule="auto"/>
        <w:ind w:left="720"/>
      </w:pPr>
      <w:r>
        <w:rPr>
          <w:rFonts w:ascii="Times New Roman" w:hAnsi="Times New Roman"/>
          <w:b/>
          <w:sz w:val="22"/>
        </w:rPr>
        <w:t>• Asset: Control and Test Process Execution Framework</w:t>
        <w:br/>
      </w:r>
      <w:r>
        <w:rPr>
          <w:rFonts w:ascii="Times New Roman" w:hAnsi="Times New Roman"/>
          <w:sz w:val="21"/>
        </w:rPr>
        <w:t xml:space="preserve">  Source File: control_and_test_process.csv</w:t>
        <w:br/>
        <w:t xml:space="preserve">  Repository Location: final-thesis/figures/ch03_methodology/control_and_test_process.csv</w:t>
        <w:br/>
      </w:r>
      <w:r>
        <w:rPr>
          <w:rFonts w:ascii="Times New Roman" w:hAnsi="Times New Roman"/>
          <w:sz w:val="21"/>
        </w:rPr>
        <w:t xml:space="preserve">  Companion Visual / Workbook: final-thesis/figures/ch03_methodology/Control and test process.png</w:t>
        <w:br/>
      </w:r>
      <w:r>
        <w:rPr>
          <w:rFonts w:ascii="Times New Roman" w:hAnsi="Times New Roman"/>
          <w:i/>
          <w:sz w:val="21"/>
        </w:rPr>
        <w:t xml:space="preserve">  Description: Details the experimental control procedures, null hypothesis definitions, degrees-of-freedom calibrations, and asymptotic convergence tests.</w:t>
      </w:r>
    </w:p>
    <w:p>
      <w:pPr>
        <w:spacing w:before="360" w:after="120" w:line="480" w:lineRule="auto"/>
      </w:pPr>
      <w:r>
        <w:rPr>
          <w:rFonts w:ascii="Times New Roman" w:hAnsi="Times New Roman"/>
          <w:b/>
          <w:sz w:val="28"/>
        </w:rPr>
        <w:t>Appendix H: Feature Engineering Pipeline and Empirical Arrival Convolution</w:t>
      </w:r>
    </w:p>
    <w:p>
      <w:pPr>
        <w:spacing w:before="0" w:after="240" w:line="480" w:lineRule="auto"/>
        <w:ind w:left="720"/>
      </w:pPr>
      <w:r>
        <w:rPr>
          <w:rFonts w:ascii="Times New Roman" w:hAnsi="Times New Roman"/>
          <w:i/>
          <w:sz w:val="22"/>
        </w:rPr>
        <w:t>Note on Thesis Cross-References: This appendix details the ACRP Report 40 empirical passenger show-up curve convolution, feature domains, and the 84-cell interaction grid. It is referenced in Chapter III (Methodology), Section 3.5 (Treatment of Data: Feature Engineering Pipeline Details); and in Chapter IV (Results), Section 4.3 (Model Development and Execution: Feature Engineering).</w:t>
      </w:r>
    </w:p>
    <w:p>
      <w:pPr>
        <w:spacing w:before="240" w:after="120" w:line="480" w:lineRule="auto"/>
      </w:pPr>
      <w:r>
        <w:rPr>
          <w:rFonts w:ascii="Times New Roman" w:hAnsi="Times New Roman"/>
          <w:b/>
          <w:sz w:val="24"/>
        </w:rPr>
        <w:t>H.1 Empirical Passenger Show-Up Curve Convolution</w:t>
      </w:r>
    </w:p>
    <w:p>
      <w:pPr>
        <w:spacing w:before="0" w:after="120" w:line="480" w:lineRule="auto"/>
        <w:ind w:firstLine="720"/>
      </w:pPr>
      <w:r>
        <w:rPr>
          <w:rFonts w:ascii="Times New Roman" w:hAnsi="Times New Roman"/>
          <w:sz w:val="24"/>
        </w:rPr>
        <w:t>Predictive modeling of security checkpoint demand requires converting published flight departure schedules into landside passenger arrivals. In commercial aviation operations, passengers do not arrive at security checkpoints simultaneously with aircraft pushback; rather, they present themselves across a lead-time arrival curve distributed 90 to 180 minutes prior to scheduled departure.</w:t>
      </w:r>
    </w:p>
    <w:p>
      <w:pPr>
        <w:spacing w:before="0" w:after="120" w:line="480" w:lineRule="auto"/>
        <w:ind w:firstLine="720"/>
      </w:pPr>
      <w:r>
        <w:rPr>
          <w:rFonts w:ascii="Times New Roman" w:hAnsi="Times New Roman"/>
          <w:sz w:val="24"/>
        </w:rPr>
        <w:t>Following Transportation Research Board ACRP Report 40 (*Airport Curbside and Terminal Area Planning*), the passenger arrival lead time \tau follows an empirical lognormal distribution with mean E[\tau] \approx 105 minutes. For hourly operational forecasting, this distribution is operationalized as a discrete Finite Impulse Response (FIR) convolution kernel across a 3-hour lead window:</w:t>
        <w:br/>
        <w:br/>
        <w:t>\text{Demand}_{\text{convolved}, t} = \sum_{h=1}^{3} w_h \cdot \left[ \sum_{f \in \mathcal{F}_{t+h}} \text{Seats}_f \cdot \text{LoadFactor}_f \cdot (1 - \text{ConnectingRatio}_{\text{airport}}) \right]</w:t>
        <w:br/>
        <w:br/>
        <w:t>where the empirical convolution weights are calibrated to:</w:t>
        <w:br/>
        <w:t>* w_1 = 0.52 (t+1 hour lead): Captures the peak passenger arrival wave (60–119 minutes pre-departure).</w:t>
        <w:br/>
        <w:t>* w_2 = 0.38 (t+2 hour lead): Captures early arrivals (120–179 minutes pre-departure).</w:t>
        <w:br/>
        <w:t>* w_3 = 0.10 (t+3 hour lead): Captures extreme early arrivals (180+ minutes pre-departure).</w:t>
        <w:br/>
        <w:t>* \sum_{h=1}^3 w_h = 1.00 (normalized volume conservation).</w:t>
      </w:r>
    </w:p>
    <w:p>
      <w:pPr>
        <w:spacing w:before="240" w:after="120" w:line="480" w:lineRule="auto"/>
      </w:pPr>
      <w:r>
        <w:rPr>
          <w:rFonts w:ascii="Times New Roman" w:hAnsi="Times New Roman"/>
          <w:b/>
          <w:sz w:val="24"/>
        </w:rPr>
        <w:t>H.2 The 24 Dual-Paradigm Feature Specification</w:t>
      </w:r>
    </w:p>
    <w:p>
      <w:pPr>
        <w:spacing w:before="0" w:after="120" w:line="480" w:lineRule="auto"/>
        <w:ind w:firstLine="720"/>
      </w:pPr>
      <w:r>
        <w:rPr>
          <w:rFonts w:ascii="Times New Roman" w:hAnsi="Times New Roman"/>
          <w:sz w:val="24"/>
        </w:rPr>
        <w:t>The feature store synthesizes 24 operational attributes engineered in DuckDB structured into two distinct paradigms:</w:t>
      </w:r>
    </w:p>
    <w:p>
      <w:pPr>
        <w:spacing w:before="0" w:after="120" w:line="480" w:lineRule="auto"/>
        <w:ind w:firstLine="720"/>
      </w:pPr>
      <w:r>
        <w:rPr>
          <w:rFonts w:ascii="Times New Roman" w:hAnsi="Times New Roman"/>
          <w:sz w:val="24"/>
        </w:rPr>
        <w:t>* **14 Feature Level Attributes (Static Volume Representation)**: Scheduled departing seats (t+1, t+2, t+3), total scheduled flights, convolved passenger volume, average departure delay minutes, total cancellation counts, taxi-out minutes, seasonal dummy indicators (quarter, month, day-of-week, hour-of-day), and facility baseline scale.</w:t>
        <w:br/>
        <w:t>* **10 Feature Volatility Attributes (Dynamic Volatility Representation)**: Departure delay standard deviation (\sigma_{\text{Delay}}), departure delay coefficient of variation (CV_{\text{delay}}), flight schedule dispersion (CV_{\text{sched}}), rolling 7-day volume standard deviation (\sigma_{\text{TSA, 7d}}), intraday throughput dispersion (\sigma_{\text{TSA, hr}}), Diurnal Operational Turbulence Shock Index (T_{\text{dow}}(h)), taxi queue dispersion, tactical cancellation burstiness, and real-time prior-hour innovation error (e_{t-1}).</w:t>
      </w:r>
    </w:p>
    <w:p>
      <w:pPr>
        <w:spacing w:before="0" w:after="120" w:line="480" w:lineRule="auto"/>
        <w:ind w:firstLine="720"/>
      </w:pPr>
      <w:r>
        <w:rPr>
          <w:rFonts w:ascii="Times New Roman" w:hAnsi="Times New Roman"/>
          <w:sz w:val="24"/>
        </w:rPr>
        <w:t>**The 84-Cell Interaction Grid**:</w:t>
        <w:br/>
        <w:t>To capture non-linear disruption patterns, features are conditioned across an 84-cell operational interaction tensor (4 \text{ Annual Seasonal Regimes} \times 7 \text{ Days of Week} \times 3 \text{ Diurnal Peak Windows}). An exhaustive sample depth audit confirms that **83 of the 84 cells** contain \ge 100 empirical observation hours in the development sample, ensuring robust statistical support.</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Passenger Stochastic Arrival Parameters and ACRP 40 Lead-Time Timeline</w:t>
        <w:br/>
      </w:r>
      <w:r>
        <w:rPr>
          <w:rFonts w:ascii="Times New Roman" w:hAnsi="Times New Roman"/>
          <w:sz w:val="21"/>
        </w:rPr>
        <w:t xml:space="preserve">  Source File: passenger_stochastic_arrival_parameters.csv</w:t>
        <w:br/>
        <w:t xml:space="preserve">  Repository Location: final-thesis/figures/ch02_lit_review/passenger_stochastic_arrival_parameters.csv</w:t>
        <w:br/>
      </w:r>
      <w:r>
        <w:rPr>
          <w:rFonts w:ascii="Times New Roman" w:hAnsi="Times New Roman"/>
          <w:sz w:val="21"/>
        </w:rPr>
        <w:t xml:space="preserve">  Companion Visual / Workbook: final-thesis/figures/ch03_methodology/physical_transfer_lead_lag_timeline.csv</w:t>
        <w:br/>
      </w:r>
      <w:r>
        <w:rPr>
          <w:rFonts w:ascii="Times New Roman" w:hAnsi="Times New Roman"/>
          <w:i/>
          <w:sz w:val="21"/>
        </w:rPr>
        <w:t xml:space="preserve">  Description: Tabulates lognormal show-up parameters, peak arrival modes (92.5 min), and discrete FIR convolution weights across commercial airline lead horizons.</w:t>
      </w:r>
    </w:p>
    <w:p>
      <w:pPr>
        <w:spacing w:before="80" w:after="120" w:line="360" w:lineRule="auto"/>
        <w:ind w:left="720"/>
      </w:pPr>
      <w:r>
        <w:rPr>
          <w:rFonts w:ascii="Times New Roman" w:hAnsi="Times New Roman"/>
          <w:b/>
          <w:sz w:val="22"/>
        </w:rPr>
        <w:t>• Asset: Empirical Lead-Lag Transfer Dynamics and Convolution Curves</w:t>
        <w:br/>
      </w:r>
      <w:r>
        <w:rPr>
          <w:rFonts w:ascii="Times New Roman" w:hAnsi="Times New Roman"/>
          <w:sz w:val="21"/>
        </w:rPr>
        <w:t xml:space="preserve">  Source File: table_4_9_empirical_lead_lag_transfer_dynamics.csv</w:t>
        <w:br/>
        <w:t xml:space="preserve">  Repository Location: final-thesis/figures/ch04_results/table_4_9_empirical_lead_lag_transfer_dynamics.csv</w:t>
        <w:br/>
      </w:r>
      <w:r>
        <w:rPr>
          <w:rFonts w:ascii="Times New Roman" w:hAnsi="Times New Roman"/>
          <w:sz w:val="21"/>
        </w:rPr>
        <w:t xml:space="preserve">  Companion Visual / Workbook: final-thesis/figures/ch04_results/figure_4_5_lead_lag_convolution_curves.png</w:t>
        <w:br/>
      </w:r>
      <w:r>
        <w:rPr>
          <w:rFonts w:ascii="Times New Roman" w:hAnsi="Times New Roman"/>
          <w:i/>
          <w:sz w:val="21"/>
        </w:rPr>
        <w:t xml:space="preserve">  Description: Empirical regression benchmarks demonstrating that t+1 and t+2 flight banks explain 90.0% of landside passenger arrival variance.</w:t>
      </w:r>
    </w:p>
    <w:p>
      <w:pPr>
        <w:spacing w:before="360" w:after="120" w:line="480" w:lineRule="auto"/>
      </w:pPr>
      <w:r>
        <w:rPr>
          <w:rFonts w:ascii="Times New Roman" w:hAnsi="Times New Roman"/>
          <w:b/>
          <w:sz w:val="28"/>
        </w:rPr>
        <w:t>Appendix I: Seasonal Volatility Regimes, Day-of-Week Archetypes, and Diurnal Bimodal Dynamics</w:t>
      </w:r>
    </w:p>
    <w:p>
      <w:pPr>
        <w:spacing w:before="0" w:after="240" w:line="480" w:lineRule="auto"/>
        <w:ind w:left="720"/>
      </w:pPr>
      <w:r>
        <w:rPr>
          <w:rFonts w:ascii="Times New Roman" w:hAnsi="Times New Roman"/>
          <w:i/>
          <w:sz w:val="22"/>
        </w:rPr>
        <w:t>Note on Thesis Cross-References: This appendix establishes the three coupled seasonality dimensions: annual volatility regimes, day-of-week demand archetypes, and local weekly airport profiles. It is referenced in Chapter IV (Results), Section 4.2 (Initial Exploratory Data Analysis: Defining Seasonality) and Section 4.3 (Local Seasonal and Day-of-Week Differences Across the Nine Selected Airports).</w:t>
      </w:r>
    </w:p>
    <w:p>
      <w:pPr>
        <w:spacing w:before="240" w:after="120" w:line="480" w:lineRule="auto"/>
      </w:pPr>
      <w:r>
        <w:rPr>
          <w:rFonts w:ascii="Times New Roman" w:hAnsi="Times New Roman"/>
          <w:b/>
          <w:sz w:val="24"/>
        </w:rPr>
        <w:t>I.1 Master Annual Seasonal Volatility Regimes</w:t>
      </w:r>
    </w:p>
    <w:p>
      <w:pPr>
        <w:spacing w:before="0" w:after="120" w:line="480" w:lineRule="auto"/>
        <w:ind w:firstLine="720"/>
      </w:pPr>
      <w:r>
        <w:rPr>
          <w:rFonts w:ascii="Times New Roman" w:hAnsi="Times New Roman"/>
          <w:sz w:val="24"/>
        </w:rPr>
        <w:t>Commercial airport operational stress is not uniform across the calendar year. Analysis of the 2019–2025 baseline across the Top 25 airfields identifies four distinct annual operational regimes:</w:t>
      </w:r>
    </w:p>
    <w:p>
      <w:pPr>
        <w:spacing w:before="0" w:after="120" w:line="480" w:lineRule="auto"/>
        <w:ind w:firstLine="720"/>
      </w:pPr>
      <w:r>
        <w:rPr>
          <w:rFonts w:ascii="Times New Roman" w:hAnsi="Times New Roman"/>
          <w:sz w:val="24"/>
        </w:rPr>
        <w:t>1. **Winter Operational Churn (January–February)**: Characterized by severe winter weather blizzards, elevated flight cancellations (2.12\%–2.85\%), and depressed baseline passenger volume (1,048 pax/lane-hr). Flight delay dispersion is elevated (\sigma_{\text{Delay}} = 48.2 min).</w:t>
        <w:br/>
        <w:t>2. **Spring Expansion (March–May)**: Spring break surges elevate passenger volumes (1,215 pax/lane-hr) with moderate delay volatility (\sigma_{\text{Delay}} = 46.1 min) and low cancellations (1.22\%).</w:t>
        <w:br/>
        <w:t>3. **Summer Surge Peak (June–August)**: Represents the annual maximum in throughput volume (1,385 pax/lane-hr), flight movements, and delay dispersion (\sigma_{\text{Delay}} = 58.7 min). Severe afternoon convective thunderstorm lines trigger extensive ground delay programs.</w:t>
        <w:br/>
        <w:t>4. **Autumn Stability (September–December, excluding Thanksgiving/Christmas peaks)**: Characterized by predictable business travel banks, low cancellation rates (1.08\%), and stabilized throughput (1,180 pax/lane-hr). Delay dispersion reaches annual minimums (\sigma_{\text{Delay}} = 44.5 min).</w:t>
      </w:r>
    </w:p>
    <w:p>
      <w:pPr>
        <w:spacing w:before="240" w:after="120" w:line="480" w:lineRule="auto"/>
      </w:pPr>
      <w:r>
        <w:rPr>
          <w:rFonts w:ascii="Times New Roman" w:hAnsi="Times New Roman"/>
          <w:b/>
          <w:sz w:val="24"/>
        </w:rPr>
        <w:t>I.2 Day-of-Week Archetypes and Diurnal Bimodal Turbulence</w:t>
      </w:r>
    </w:p>
    <w:p>
      <w:pPr>
        <w:spacing w:before="0" w:after="120" w:line="480" w:lineRule="auto"/>
        <w:ind w:firstLine="720"/>
      </w:pPr>
      <w:r>
        <w:rPr>
          <w:rFonts w:ascii="Times New Roman" w:hAnsi="Times New Roman"/>
          <w:sz w:val="24"/>
        </w:rPr>
        <w:t>Weekly commercial aviation operations cluster into three primary Day-of-Week (DOW) archetypes:</w:t>
      </w:r>
    </w:p>
    <w:p>
      <w:pPr>
        <w:spacing w:before="0" w:after="120" w:line="480" w:lineRule="auto"/>
        <w:ind w:firstLine="720"/>
      </w:pPr>
      <w:r>
        <w:rPr>
          <w:rFonts w:ascii="Times New Roman" w:hAnsi="Times New Roman"/>
          <w:sz w:val="24"/>
        </w:rPr>
        <w:t>* **Midweek Operational Reset (Tuesday &amp; Wednesday)**: The most stable operational period of the week. Characterized by moderate volume (1,110 pax/lane-hr), minimal departure delays (10.8 min), and low arrival burstiness (CV_{\text{TSA}} = 0.285). Checkpoints operate with predictable, steady queuing.</w:t>
        <w:br/>
        <w:t>* **Outbound Corporate Surge (Monday &amp; Thursday)**: Driven by business travel schedules. Mondays exhibit the highest within-day arrival burstiness (CV_{\text{TSA}} = 0.362) and acute early morning bank peaks (05:00–08:30), requiring maximum lane staffing.</w:t>
        <w:br/>
        <w:t>* **Leisure Return Delay Propagation (Sunday &amp; Friday)**: Sunday represents the highest overall passenger volume (1,340 pax/lane-hr) and severe network-wide delay cascades (average delay 19.4 min; \sigma_{\text{Delay}} = 54.2 min), propagating airside queuing disruptions into evening screening lobbies.</w:t>
      </w:r>
    </w:p>
    <w:p>
      <w:pPr>
        <w:spacing w:before="0" w:after="120" w:line="480" w:lineRule="auto"/>
        <w:ind w:firstLine="720"/>
      </w:pPr>
      <w:r>
        <w:rPr>
          <w:rFonts w:ascii="Times New Roman" w:hAnsi="Times New Roman"/>
          <w:sz w:val="24"/>
        </w:rPr>
        <w:t>**Diurnal Bimodal Turbulence**:</w:t>
        <w:br/>
        <w:t>Within each calendar day, passenger screening demand exhibits non-consecutive bimodal turbulence peaks:</w:t>
        <w:br/>
        <w:t>- *Morning Surge Peak (05:00–08:30 local)*: Driven by originating business banks; flight operations are largely on-time, but passenger queues spike acutely.</w:t>
        <w:br/>
        <w:t>- *Evening Delay Cascade (16:00–19:30 local)*: Driven by accumulated network delay propagation and late-afternoon flight banks.</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Master Annual Seasonal Volatility Regimes Summary</w:t>
        <w:br/>
      </w:r>
      <w:r>
        <w:rPr>
          <w:rFonts w:ascii="Times New Roman" w:hAnsi="Times New Roman"/>
          <w:sz w:val="21"/>
        </w:rPr>
        <w:t xml:space="preserve">  Source File: table_4_3b_master_annual_seasonal_volatility_regimes_summary.csv</w:t>
        <w:br/>
        <w:t xml:space="preserve">  Repository Location: final-thesis/figures/ch04_results/table_4_3b_master_annual_seasonal_volatility_regimes_summary.csv</w:t>
        <w:br/>
      </w:r>
      <w:r>
        <w:rPr>
          <w:rFonts w:ascii="Times New Roman" w:hAnsi="Times New Roman"/>
          <w:sz w:val="21"/>
        </w:rPr>
        <w:t xml:space="preserve">  Companion Visual / Workbook: final-thesis/figures/ch04_results/figure_4_2_annual_volatility_clusters.png</w:t>
        <w:br/>
      </w:r>
      <w:r>
        <w:rPr>
          <w:rFonts w:ascii="Times New Roman" w:hAnsi="Times New Roman"/>
          <w:i/>
          <w:sz w:val="21"/>
        </w:rPr>
        <w:t xml:space="preserve">  Description: Tabulates monthly passenger throughput, seat capacity, departure delays, cancellations, and coupled volatility across the 4 annual regimes.</w:t>
      </w:r>
    </w:p>
    <w:p>
      <w:pPr>
        <w:spacing w:before="80" w:after="120" w:line="360" w:lineRule="auto"/>
        <w:ind w:left="720"/>
      </w:pPr>
      <w:r>
        <w:rPr>
          <w:rFonts w:ascii="Times New Roman" w:hAnsi="Times New Roman"/>
          <w:b/>
          <w:sz w:val="22"/>
        </w:rPr>
        <w:t>• Asset: Day-of-Week Volatility Dynamics and Operational Archetypes</w:t>
        <w:br/>
      </w:r>
      <w:r>
        <w:rPr>
          <w:rFonts w:ascii="Times New Roman" w:hAnsi="Times New Roman"/>
          <w:sz w:val="21"/>
        </w:rPr>
        <w:t xml:space="preserve">  Source File: 02_day_of_week_volatility_dynamics.png</w:t>
        <w:br/>
        <w:t xml:space="preserve">  Repository Location: final-thesis/figures/ch04_results/02_day_of_week_volatility_dynamics.png</w:t>
        <w:br/>
      </w:r>
      <w:r>
        <w:rPr>
          <w:rFonts w:ascii="Times New Roman" w:hAnsi="Times New Roman"/>
          <w:sz w:val="21"/>
        </w:rPr>
        <w:t xml:space="preserve">  Companion Visual / Workbook: final-thesis/figures/ch04_results/figure_4_3_day_of_week_volatility_dynamics.png</w:t>
        <w:br/>
      </w:r>
      <w:r>
        <w:rPr>
          <w:rFonts w:ascii="Times New Roman" w:hAnsi="Times New Roman"/>
          <w:i/>
          <w:sz w:val="21"/>
        </w:rPr>
        <w:t xml:space="preserve">  Description: Visualizes arrival burstiness (CV), delay cascades, and throughput volume across all seven days of the week.</w:t>
      </w:r>
    </w:p>
    <w:p>
      <w:pPr>
        <w:spacing w:before="80" w:after="120" w:line="360" w:lineRule="auto"/>
        <w:ind w:left="720"/>
      </w:pPr>
      <w:r>
        <w:rPr>
          <w:rFonts w:ascii="Times New Roman" w:hAnsi="Times New Roman"/>
          <w:b/>
          <w:sz w:val="22"/>
        </w:rPr>
        <w:t>• Asset: Diurnal Hourly Volatility Clusters and Bimodal Peaks</w:t>
        <w:br/>
      </w:r>
      <w:r>
        <w:rPr>
          <w:rFonts w:ascii="Times New Roman" w:hAnsi="Times New Roman"/>
          <w:sz w:val="21"/>
        </w:rPr>
        <w:t xml:space="preserve">  Source File: 03_diurnal_hourly_volatility_clusters_by_dow.png</w:t>
        <w:br/>
        <w:t xml:space="preserve">  Repository Location: final-thesis/figures/ch04_results/03_diurnal_hourly_volatility_clusters_by_dow.png</w:t>
        <w:br/>
      </w:r>
      <w:r>
        <w:rPr>
          <w:rFonts w:ascii="Times New Roman" w:hAnsi="Times New Roman"/>
          <w:sz w:val="21"/>
        </w:rPr>
        <w:t xml:space="preserve">  Companion Visual / Workbook: final-thesis/figures/ch04_results/figure_4_4_diurnal_hourly_volatility_clusters.png</w:t>
        <w:br/>
      </w:r>
      <w:r>
        <w:rPr>
          <w:rFonts w:ascii="Times New Roman" w:hAnsi="Times New Roman"/>
          <w:i/>
          <w:sz w:val="21"/>
        </w:rPr>
        <w:t xml:space="preserve">  Description: Heatmap and line cluster charts establishing the non-consecutive bimodal diurnal turbulence peaks (morning surge vs evening cascade).</w:t>
      </w:r>
    </w:p>
    <w:p>
      <w:pPr>
        <w:spacing w:before="360" w:after="120" w:line="480" w:lineRule="auto"/>
      </w:pPr>
      <w:r>
        <w:rPr>
          <w:rFonts w:ascii="Times New Roman" w:hAnsi="Times New Roman"/>
          <w:b/>
          <w:sz w:val="28"/>
        </w:rPr>
        <w:t>Appendix J: Candidate Predictive Models, Evaluation Metrics, and Holdout Benchmarks</w:t>
      </w:r>
    </w:p>
    <w:p>
      <w:pPr>
        <w:spacing w:before="0" w:after="240" w:line="480" w:lineRule="auto"/>
        <w:ind w:left="720"/>
      </w:pPr>
      <w:r>
        <w:rPr>
          <w:rFonts w:ascii="Times New Roman" w:hAnsi="Times New Roman"/>
          <w:i/>
          <w:sz w:val="22"/>
        </w:rPr>
        <w:t>Note on Thesis Cross-References: This appendix compiles the certified empirical evaluation benchmarks across all three candidate models and baseline control evaluated against the 2025 out-of-time holdout dataset. It is referenced in Chapter IV (Results), Section 4.4 (Model Results and Evaluation) and Section 4.4 (Empirical Confirmation of Asymmetric Trade-Offs); and in Chapter V (Discussion), Section 5.3–5.5 (Master Synthesis and Operational Recommendations).</w:t>
      </w:r>
    </w:p>
    <w:p>
      <w:pPr>
        <w:spacing w:before="240" w:after="120" w:line="480" w:lineRule="auto"/>
      </w:pPr>
      <w:r>
        <w:rPr>
          <w:rFonts w:ascii="Times New Roman" w:hAnsi="Times New Roman"/>
          <w:b/>
          <w:sz w:val="24"/>
        </w:rPr>
        <w:t>J.1 The 3-Model Candidate Evaluation Suite and Baseline Control</w:t>
      </w:r>
    </w:p>
    <w:p>
      <w:pPr>
        <w:spacing w:before="0" w:after="120" w:line="480" w:lineRule="auto"/>
        <w:ind w:firstLine="720"/>
      </w:pPr>
      <w:r>
        <w:rPr>
          <w:rFonts w:ascii="Times New Roman" w:hAnsi="Times New Roman"/>
          <w:sz w:val="24"/>
        </w:rPr>
        <w:t>To evaluate the research questions, the study establishes three candidate models representing distinct operational paradigms, benchmarked against an empirical baseline control:</w:t>
      </w:r>
    </w:p>
    <w:p>
      <w:pPr>
        <w:spacing w:before="0" w:after="120" w:line="480" w:lineRule="auto"/>
        <w:ind w:firstLine="720"/>
      </w:pPr>
      <w:r>
        <w:rPr>
          <w:rFonts w:ascii="Times New Roman" w:hAnsi="Times New Roman"/>
          <w:sz w:val="24"/>
        </w:rPr>
        <w:t>1. **Baseline Control Benchmark (Daily Persistence)**: Assumes that checkpoint arrival volatility today will exactly mirror the volatility observed at the identical hour 24 hours prior (\hat{y}_t = y_{t-24}). Serves as the non-parametric reference standard (</w:t>
        <w:tab/>
        <w:t>ext{MASE} \equiv 1.000).</w:t>
        <w:br/>
        <w:t>2. **Model 1: Deterministic Flight Schedule Model (Operational Baseline)**: Convolves published airline flight schedules across empirical ACRP Report 40 passenger show-up curves (t+1, t+2, t+3). Requires zero historical training data, exhibits zero feedback latency, and provides a deterministic physics-based baseline.</w:t>
        <w:br/>
        <w:t>3. **Model 2: Supervised Machine Learning Model (Flight Operations &amp; Delays)**: Decision-tree regressor trained across convolved flight schedules, 24 BTS OTP flight delay features, tactical cancellations, and airport interaction variables.</w:t>
        <w:br/>
        <w:t>4. **Model 3: Dynamic Two-Stage Hybrid Model (Schedule + Real-Time Feedback)**: Sequential two-stage model. Stage 1 captures scheduled flight bank cycles; Stage 2 predicts residual shocks using operational delay features coupled with live 1-step error innovation feedback (e_{t-1} = y_{t-1} - \hat{y}_{t-1}) from checkpoint lanes.</w:t>
      </w:r>
    </w:p>
    <w:p>
      <w:pPr>
        <w:spacing w:before="240" w:after="120" w:line="480" w:lineRule="auto"/>
      </w:pPr>
      <w:r>
        <w:rPr>
          <w:rFonts w:ascii="Times New Roman" w:hAnsi="Times New Roman"/>
          <w:b/>
          <w:sz w:val="24"/>
        </w:rPr>
        <w:t>J.2 Certified 2025 Out-of-Time Holdout Benchmarks and Asymmetric Trade-Offs</w:t>
      </w:r>
    </w:p>
    <w:p>
      <w:pPr>
        <w:spacing w:before="0" w:after="120" w:line="480" w:lineRule="auto"/>
        <w:ind w:firstLine="720"/>
      </w:pPr>
      <w:r>
        <w:rPr>
          <w:rFonts w:ascii="Times New Roman" w:hAnsi="Times New Roman"/>
          <w:sz w:val="24"/>
        </w:rPr>
        <w:t>Model performance was evaluated across the certified 2025 holdout dataset (N = 3,222 test complex-days; 77,328 hourly observations) across three orthogonal evaluation dimensions:</w:t>
      </w:r>
    </w:p>
    <w:p>
      <w:pPr>
        <w:spacing w:before="0" w:after="120" w:line="480" w:lineRule="auto"/>
        <w:ind w:firstLine="720"/>
      </w:pPr>
      <w:r>
        <w:rPr>
          <w:rFonts w:ascii="Times New Roman" w:hAnsi="Times New Roman"/>
          <w:sz w:val="24"/>
        </w:rPr>
        <w:t>* **Dimension 1: Robustness (Routine Operations)**:</w:t>
        <w:br/>
        <w:t xml:space="preserve">  - *Baseline Control*: R^2 = 0.382, \text{RMSE} = 345.8 pax/hr, \text{MAE} = 224.5 pax/hr, \text{MASE} = 1.000, \text{Bias} = +2.4.</w:t>
        <w:br/>
        <w:t xml:space="preserve">  - *Model 1 (Deterministic)*: R^2 = 0.529, \text{RMSE} = 313.4 pax/hr, \text{MAE} = 212.1 pax/hr, \text{MASE} = 0.945, \text{Bias} = -42.1.</w:t>
        <w:br/>
        <w:t xml:space="preserve">  - *Model 2 (Supervised ML)*: R^2 = 0.762, \text{RMSE} = 238.4 pax/hr, \text{MAE} = 154.2 pax/hr, \text{MASE} = 0.700, \text{Bias} = -18.4.</w:t>
        <w:br/>
        <w:t xml:space="preserve">  - *Model 3 (Dynamic Hybrid)*: R^2 = 0.814, \text{RMSE} = 222.1 pax/hr, \text{MAE} = 142.8 pax/hr, \text{MASE} = 0.662, \text{Bias} = -8.5.</w:t>
      </w:r>
    </w:p>
    <w:p>
      <w:pPr>
        <w:spacing w:before="0" w:after="120" w:line="480" w:lineRule="auto"/>
        <w:ind w:firstLine="720"/>
      </w:pPr>
      <w:r>
        <w:rPr>
          <w:rFonts w:ascii="Times New Roman" w:hAnsi="Times New Roman"/>
          <w:sz w:val="24"/>
        </w:rPr>
        <w:t>* **Empirical Confirmation of Master Asymmetric Trade-Offs (H_1)**:</w:t>
        <w:br/>
        <w:t xml:space="preserve">  1. *Model 3 wins Dimension 1 (Robustness)* with lowest overall error (\text{RMSE} = 222.1, \text{MASE} = 0.662), while Model 2 wins *Routine Pareto Efficiency* (achieving \text{MASE} = 0.700 with zero live checkpoint feedback latency).</w:t>
        <w:br/>
        <w:t xml:space="preserve">  2. *Model 3 decisively wins Dimension 2 (Resilience Under IROPS)*: under severe disruption, Model 3 maintains a shock recovery multiplier R_{\text{MASE}} = 1.05 and time-to-recovery \text{TTR} = 2.8 hours. Pure ML (Model 2) fragilely collapses (R_{\text{MASE}} = 2.14, \text{TTR} = 5.4 h) due to the Empty Checkpoint Fallacy.</w:t>
        <w:br/>
        <w:t xml:space="preserve">  3. *Model 1 decisively wins Dimension 3 (Generalizability)*: under zero-shot spatial transfer (EWR \to LGA Terminal C without retraining), Model 1 achieves a Relative Transfer Ratio \text{RTR} = 1.04 and transfer penalty \Delta\text{MASE} = +4.0\%. Model 3 decisively fails spatial transfer (\text{RTR} = 1.19, \Delta\text{MASE} = +21.5\%) due to decision tree terminal geometry overfitting.</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Master Model Benchmark Matrix (2025 Holdout Evaluation)</w:t>
        <w:br/>
      </w:r>
      <w:r>
        <w:rPr>
          <w:rFonts w:ascii="Times New Roman" w:hAnsi="Times New Roman"/>
          <w:sz w:val="21"/>
        </w:rPr>
        <w:t xml:space="preserve">  Source File: table_4_10_master_model_benchmark_matrix.csv</w:t>
        <w:br/>
        <w:t xml:space="preserve">  Repository Location: final-thesis/figures/ch04_results/table_4_10_master_model_benchmark_matrix.csv</w:t>
        <w:br/>
      </w:r>
      <w:r>
        <w:rPr>
          <w:rFonts w:ascii="Times New Roman" w:hAnsi="Times New Roman"/>
          <w:sz w:val="21"/>
        </w:rPr>
        <w:t xml:space="preserve">  Companion Visual / Workbook: final-thesis/results/04_model_execution_2025_holdout/04_model_execution_2025_holdout.xlsx</w:t>
        <w:br/>
      </w:r>
      <w:r>
        <w:rPr>
          <w:rFonts w:ascii="Times New Roman" w:hAnsi="Times New Roman"/>
          <w:i/>
          <w:sz w:val="21"/>
        </w:rPr>
        <w:t xml:space="preserve">  Description: Certified empirical benchmarks detailing R^2, RMSE, MAE, MASE, and Bias across Baseline Control, Model 1, Model 2, and Model 3 on the 2025 holdout.</w:t>
      </w:r>
    </w:p>
    <w:p>
      <w:pPr>
        <w:spacing w:before="80" w:after="120" w:line="360" w:lineRule="auto"/>
        <w:ind w:left="720"/>
      </w:pPr>
      <w:r>
        <w:rPr>
          <w:rFonts w:ascii="Times New Roman" w:hAnsi="Times New Roman"/>
          <w:b/>
          <w:sz w:val="22"/>
        </w:rPr>
        <w:t>• Asset: Master Multi-Pillar Hypothesis Evaluation Matrix Across the Four Models (Throughput Volatility)</w:t>
        <w:br/>
      </w:r>
      <w:r>
        <w:rPr>
          <w:rFonts w:ascii="Times New Roman" w:hAnsi="Times New Roman"/>
          <w:sz w:val="21"/>
        </w:rPr>
        <w:t xml:space="preserve">  Source File: table_4_11_master_multi_pillar_hypothesis_evaluation_matrix.csv</w:t>
        <w:br/>
        <w:t xml:space="preserve">  Repository Location: final-thesis/figures/ch04_results/table_4_11_master_multi_pillar_hypothesis_evaluation_matrix.csv</w:t>
        <w:br/>
      </w:r>
      <w:r>
        <w:rPr>
          <w:rFonts w:ascii="Times New Roman" w:hAnsi="Times New Roman"/>
          <w:sz w:val="21"/>
        </w:rPr>
        <w:t xml:space="preserve">  Companion Visual / Workbook: final-thesis/figures/ch05_discussion/figure_5_1_asymmetric_trade_off_triangle.png</w:t>
        <w:br/>
      </w:r>
      <w:r>
        <w:rPr>
          <w:rFonts w:ascii="Times New Roman" w:hAnsi="Times New Roman"/>
          <w:i/>
          <w:sz w:val="21"/>
        </w:rPr>
        <w:t xml:space="preserve">  Description: Certified empirical multi-pillar matrix evaluating Baseline Control, Model 1 (Deterministic), Model 2 (Supervised Machine Learning), and Model 3 (Dynamic Two-Stage Hybrid) across Dimension 1 (Robustness), Dimension 2 (Resilience), and Dimension 3 (Generalizability) on the 2025 out-of-time holdout dataset.</w:t>
      </w:r>
    </w:p>
    <w:p>
      <w:pPr>
        <w:spacing w:before="80" w:after="120" w:line="360" w:lineRule="auto"/>
        <w:ind w:left="720"/>
      </w:pPr>
      <w:r>
        <w:rPr>
          <w:rFonts w:ascii="Times New Roman" w:hAnsi="Times New Roman"/>
          <w:b/>
          <w:sz w:val="22"/>
        </w:rPr>
        <w:t>• Asset: Master Asymmetric Trade-Off Matrix and Decision Policy</w:t>
        <w:br/>
      </w:r>
      <w:r>
        <w:rPr>
          <w:rFonts w:ascii="Times New Roman" w:hAnsi="Times New Roman"/>
          <w:sz w:val="21"/>
        </w:rPr>
        <w:t xml:space="preserve">  Source File: table_5_4_master_asymmetric_trade_off_matrix.csv</w:t>
        <w:br/>
        <w:t xml:space="preserve">  Repository Location: final-thesis/figures/ch05_discussion/table_5_4_master_asymmetric_trade_off_matrix.csv</w:t>
        <w:br/>
      </w:r>
      <w:r>
        <w:rPr>
          <w:rFonts w:ascii="Times New Roman" w:hAnsi="Times New Roman"/>
          <w:sz w:val="21"/>
        </w:rPr>
        <w:t xml:space="preserve">  Companion Visual / Workbook: final-thesis/figures/ch05_discussion/figure_5_1_asymmetric_trade_off_triangle.png</w:t>
        <w:br/>
      </w:r>
      <w:r>
        <w:rPr>
          <w:rFonts w:ascii="Times New Roman" w:hAnsi="Times New Roman"/>
          <w:i/>
          <w:sz w:val="21"/>
        </w:rPr>
        <w:t xml:space="preserve">  Description: Multi-dimensional evaluation matrix synthesizing Robustness (routine), Resilience (shocks), and Generalizability (transfer) confirming Hypothesis H1.</w:t>
      </w:r>
    </w:p>
    <w:p>
      <w:pPr>
        <w:spacing w:before="360" w:after="120" w:line="480" w:lineRule="auto"/>
      </w:pPr>
      <w:r>
        <w:rPr>
          <w:rFonts w:ascii="Times New Roman" w:hAnsi="Times New Roman"/>
          <w:b/>
          <w:sz w:val="28"/>
        </w:rPr>
        <w:t>Appendix K: The Values versus Volatility Operational Coupling Across Temporal Horizons</w:t>
      </w:r>
    </w:p>
    <w:p>
      <w:pPr>
        <w:spacing w:before="0" w:after="240" w:line="480" w:lineRule="auto"/>
        <w:ind w:left="720"/>
      </w:pPr>
      <w:r>
        <w:rPr>
          <w:rFonts w:ascii="Times New Roman" w:hAnsi="Times New Roman"/>
          <w:i/>
          <w:sz w:val="22"/>
        </w:rPr>
        <w:t>Note on Thesis Cross-References: This appendix establishes the econometric proof for the Values versus Volatility operational coupling across intraday absolute, scale-free relative, and multi-day temporal horizons. It is referenced in Chapter IV (Results), Section 4.4 (The Values versus Volatility Operational Coupling); and in Chapter V (Discussion), Section 5.4 (Deep-Dive: Values versus Volatility Paradigm Across Temporal Horizons).</w:t>
      </w:r>
    </w:p>
    <w:p>
      <w:pPr>
        <w:spacing w:before="240" w:after="120" w:line="480" w:lineRule="auto"/>
      </w:pPr>
      <w:r>
        <w:rPr>
          <w:rFonts w:ascii="Times New Roman" w:hAnsi="Times New Roman"/>
          <w:b/>
          <w:sz w:val="24"/>
        </w:rPr>
        <w:t>K.1 Empirical Formulation of the Operational Coupling</w:t>
      </w:r>
    </w:p>
    <w:p>
      <w:pPr>
        <w:spacing w:before="0" w:after="120" w:line="480" w:lineRule="auto"/>
        <w:ind w:firstLine="720"/>
      </w:pPr>
      <w:r>
        <w:rPr>
          <w:rFonts w:ascii="Times New Roman" w:hAnsi="Times New Roman"/>
          <w:sz w:val="24"/>
        </w:rPr>
        <w:t>A core theoretical finding of this research is the empirical confirmation of the **Values versus Volatility Operational Coupling**. In standard airport planning practice, forecasters rely on static volume levels (y_t) to project staffing needs. However, under heavy-traffic queuing principles (Kingman's formula), checkpoint delays and queue lengths scale quadratically with arrival volatility (C_a^2), not static volume.</w:t>
      </w:r>
    </w:p>
    <w:p>
      <w:pPr>
        <w:spacing w:before="0" w:after="120" w:line="480" w:lineRule="auto"/>
        <w:ind w:firstLine="720"/>
      </w:pPr>
      <w:r>
        <w:rPr>
          <w:rFonts w:ascii="Times New Roman" w:hAnsi="Times New Roman"/>
          <w:sz w:val="24"/>
        </w:rPr>
        <w:t>To test this operational coupling, models were trained across three controlled feature representations:</w:t>
        <w:br/>
        <w:t>1. *Feature Values Only*: Utilizing standard static operational metrics (raw scheduled seats, average delay minutes, total cancellations, taxi queue lengths).</w:t>
        <w:br/>
        <w:t>2. *Feature Volatility Only*: Utilizing statistical dispersion metrics (flight departure delay standard deviation \sigma_{\text{Delay}}, delay burstiness CV_{\text{delay}}, schedule dispersion, 7-day rolling volatility).</w:t>
        <w:br/>
        <w:t>3. *Combined Dual Representation*: Integrating both feature values and feature volatilities.</w:t>
      </w:r>
    </w:p>
    <w:p>
      <w:pPr>
        <w:spacing w:before="240" w:after="120" w:line="480" w:lineRule="auto"/>
      </w:pPr>
      <w:r>
        <w:rPr>
          <w:rFonts w:ascii="Times New Roman" w:hAnsi="Times New Roman"/>
          <w:b/>
          <w:sz w:val="24"/>
        </w:rPr>
        <w:t>K.2 Empirical Results Across Temporal Horizons</w:t>
      </w:r>
    </w:p>
    <w:p>
      <w:pPr>
        <w:spacing w:before="0" w:after="120" w:line="480" w:lineRule="auto"/>
        <w:ind w:firstLine="720"/>
      </w:pPr>
      <w:r>
        <w:rPr>
          <w:rFonts w:ascii="Times New Roman" w:hAnsi="Times New Roman"/>
          <w:sz w:val="24"/>
        </w:rPr>
        <w:t>Evaluating the three feature representations across three distinct temporal horizons demonstrates the necessity of volatility features:</w:t>
      </w:r>
    </w:p>
    <w:p>
      <w:pPr>
        <w:spacing w:before="0" w:after="120" w:line="480" w:lineRule="auto"/>
        <w:ind w:firstLine="720"/>
      </w:pPr>
      <w:r>
        <w:rPr>
          <w:rFonts w:ascii="Times New Roman" w:hAnsi="Times New Roman"/>
          <w:sz w:val="24"/>
        </w:rPr>
        <w:t>* **Horizon 1: Intraday Diurnal Absolute Volatility (\sigma_{\text{TSA, hr}}, pax/hr dispersion)**:</w:t>
        <w:br/>
        <w:t xml:space="preserve">  - *Values Only*: Achieves R^2 = 0.584 (\text{RMSE} = 310.2 pax/hr). Raw flight volume provides a baseline schedule diurnal shape.</w:t>
        <w:br/>
        <w:t xml:space="preserve">  - *Volatility Only*: Achieves R^2 = 0.612 (\text{RMSE} = 295.4 pax/hr).</w:t>
        <w:br/>
        <w:t xml:space="preserve">  - *Combined Dual Representation*: Achieves champion R^2 = 0.732 (\text{RMSE} = 252.1 pax/hr), capturing both baseline diurnal volume and peak bank surge dispersion.</w:t>
      </w:r>
    </w:p>
    <w:p>
      <w:pPr>
        <w:spacing w:before="0" w:after="120" w:line="480" w:lineRule="auto"/>
        <w:ind w:firstLine="720"/>
      </w:pPr>
      <w:r>
        <w:rPr>
          <w:rFonts w:ascii="Times New Roman" w:hAnsi="Times New Roman"/>
          <w:sz w:val="24"/>
        </w:rPr>
        <w:t>* **Horizon 2: Intraday Scale-Free Relative Volatility (CV_{\text{TSA, hr}}, burstiness ratio)**:</w:t>
        <w:br/>
        <w:t xml:space="preserve">  - *Values Only*: Collapses to R^2 = 0.089 (\text{RMSE} = 0.098). Static volume features cannot capture dimensionless arrival burstiness.</w:t>
        <w:br/>
        <w:t xml:space="preserve">  - *Volatility Only*: Achieves R^2 = 0.448 (\text{RMSE} = 0.072).</w:t>
        <w:br/>
        <w:t xml:space="preserve">  - *Combined Dual Representation*: Reaches R^2 = 0.485 (\text{RMSE} = 0.069), demonstrating that arrival burstiness is intrinsically driven by schedule and delay volatility.</w:t>
      </w:r>
    </w:p>
    <w:p>
      <w:pPr>
        <w:spacing w:before="0" w:after="120" w:line="480" w:lineRule="auto"/>
        <w:ind w:firstLine="720"/>
      </w:pPr>
      <w:r>
        <w:rPr>
          <w:rFonts w:ascii="Times New Roman" w:hAnsi="Times New Roman"/>
          <w:sz w:val="24"/>
        </w:rPr>
        <w:t>* **Horizon 3: Multi-Day Temporal Rolling Volatility (\sigma_{\text{TSA, 7d}}, pax/day network turbulence)**:</w:t>
        <w:br/>
        <w:t xml:space="preserve">  - *Values Only*: Completely collapses to negative explanatory power (R^2 = -0.142, \text{RMSE} = 3,420 pax/day). Static daily flight volumes completely fail to forecast multi-day network turbulence.</w:t>
        <w:br/>
        <w:t xml:space="preserve">  - *Volatility Only*: Successfully forecasts multi-day turbulence (R^2 = +0.312, \text{RMSE} = 2,650 pax/day).</w:t>
        <w:br/>
        <w:t xml:space="preserve">  - *Combined Dual Representation*: Achieves champion R^2 = +0.385 (\text{RMSE} = 2,480 pax/day).</w:t>
      </w:r>
    </w:p>
    <w:p>
      <w:pPr>
        <w:spacing w:before="0" w:after="120" w:line="480" w:lineRule="auto"/>
        <w:ind w:firstLine="720"/>
      </w:pPr>
      <w:r>
        <w:rPr>
          <w:rFonts w:ascii="Times New Roman" w:hAnsi="Times New Roman"/>
          <w:sz w:val="24"/>
        </w:rPr>
        <w:t>These results confirm that static feature levels are fundamentally blind to multi-day network turbulence (R^2 &lt; 0), whereas feature volatility metrics succeed (R^2 &gt; 0.31).</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The Values versus Volatility Operational Coupling Empirical Regression Matrix</w:t>
        <w:br/>
      </w:r>
      <w:r>
        <w:rPr>
          <w:rFonts w:ascii="Times New Roman" w:hAnsi="Times New Roman"/>
          <w:sz w:val="21"/>
        </w:rPr>
        <w:t xml:space="preserve">  Source File: table_4_12_the_values_versus_volatility_paradigm_feature_space_regression_benchmark.csv</w:t>
        <w:br/>
        <w:t xml:space="preserve">  Repository Location: final-thesis/figures/ch04_results/table_4_11_master_multi_pillar_hypothesis_evaluation_matrix.csv</w:t>
        <w:br/>
      </w:r>
      <w:r>
        <w:rPr>
          <w:rFonts w:ascii="Times New Roman" w:hAnsi="Times New Roman"/>
          <w:sz w:val="21"/>
        </w:rPr>
        <w:t xml:space="preserve">  Companion Visual / Workbook: final-thesis/figures/ch02_lit_review/otp_and_tsa_volume_coupling.csv</w:t>
        <w:br/>
      </w:r>
      <w:r>
        <w:rPr>
          <w:rFonts w:ascii="Times New Roman" w:hAnsi="Times New Roman"/>
          <w:i/>
          <w:sz w:val="21"/>
        </w:rPr>
        <w:t xml:space="preserve">  Description: Compares explanatory power (R^2 and RMSE) across Values Only, Volatility Only, and Combined models across intraday absolute, scale-free CV, and 7-day rolling horizons.</w:t>
      </w:r>
    </w:p>
    <w:p>
      <w:pPr>
        <w:spacing w:before="80" w:after="120" w:line="360" w:lineRule="auto"/>
        <w:ind w:left="720"/>
      </w:pPr>
      <w:r>
        <w:rPr>
          <w:rFonts w:ascii="Times New Roman" w:hAnsi="Times New Roman"/>
          <w:b/>
          <w:sz w:val="22"/>
        </w:rPr>
        <w:t>• Asset: Landside-Airside Volatility Coupling and Flight Delay Dispersion</w:t>
        <w:br/>
      </w:r>
      <w:r>
        <w:rPr>
          <w:rFonts w:ascii="Times New Roman" w:hAnsi="Times New Roman"/>
          <w:sz w:val="21"/>
        </w:rPr>
        <w:t xml:space="preserve">  Source File: otp_volatility.csv</w:t>
        <w:br/>
        <w:t xml:space="preserve">  Repository Location: final-thesis/figures/ch02_lit_review/otp_volatility.csv</w:t>
        <w:br/>
      </w:r>
      <w:r>
        <w:rPr>
          <w:rFonts w:ascii="Times New Roman" w:hAnsi="Times New Roman"/>
          <w:sz w:val="21"/>
        </w:rPr>
        <w:t xml:space="preserve">  Companion Visual / Workbook: final-thesis/figures/ch02_lit_review/OTP volatility.png</w:t>
        <w:br/>
      </w:r>
      <w:r>
        <w:rPr>
          <w:rFonts w:ascii="Times New Roman" w:hAnsi="Times New Roman"/>
          <w:i/>
          <w:sz w:val="21"/>
        </w:rPr>
        <w:t xml:space="preserve">  Description: Documents the strong empirical correlation between checkpoint throughput volatility and flight departure delay dispersion (r = +0.4373, p &lt; 0.05).</w:t>
      </w:r>
    </w:p>
    <w:p>
      <w:pPr>
        <w:spacing w:before="360" w:after="120" w:line="480" w:lineRule="auto"/>
      </w:pPr>
      <w:r>
        <w:rPr>
          <w:rFonts w:ascii="Times New Roman" w:hAnsi="Times New Roman"/>
          <w:b/>
          <w:sz w:val="28"/>
        </w:rPr>
        <w:t>Appendix L: Operational Disruption Dynamics, Lead-Lag Asynchrony, and Resilience Mechanics</w:t>
      </w:r>
    </w:p>
    <w:p>
      <w:pPr>
        <w:spacing w:before="0" w:after="240" w:line="480" w:lineRule="auto"/>
        <w:ind w:left="720"/>
      </w:pPr>
      <w:r>
        <w:rPr>
          <w:rFonts w:ascii="Times New Roman" w:hAnsi="Times New Roman"/>
          <w:i/>
          <w:sz w:val="22"/>
        </w:rPr>
        <w:t>Note on Thesis Cross-References: This appendix details the behavioral mechanics of forecast failures during severe weather and the live error feedback remediation in the Dynamic Hybrid. It is referenced in Chapter V (Discussion), Section 5.1 (Spatial Architecture and Passenger Behavioral Dynamics: The Lead-Lag Asynchrony Mechanism) and Section 5.3 (Empirical Evaluation of Resilience Under Disruption: Resilience Mechanics and the Empty Checkpoint Fallacy).</w:t>
      </w:r>
    </w:p>
    <w:p>
      <w:pPr>
        <w:spacing w:before="240" w:after="120" w:line="480" w:lineRule="auto"/>
      </w:pPr>
      <w:r>
        <w:rPr>
          <w:rFonts w:ascii="Times New Roman" w:hAnsi="Times New Roman"/>
          <w:b/>
          <w:sz w:val="24"/>
        </w:rPr>
        <w:t>L.1 The Lead-Lag Asynchrony Mechanism and the Delay Disconnect</w:t>
      </w:r>
    </w:p>
    <w:p>
      <w:pPr>
        <w:spacing w:before="0" w:after="120" w:line="480" w:lineRule="auto"/>
        <w:ind w:firstLine="720"/>
      </w:pPr>
      <w:r>
        <w:rPr>
          <w:rFonts w:ascii="Times New Roman" w:hAnsi="Times New Roman"/>
          <w:sz w:val="24"/>
        </w:rPr>
        <w:t>Traditional airport planning models assume that when flights are delayed, passenger arrivals at security checkpoints shift backward by an identical duration. Empirical analysis reveals that this assumption is fundamentally flawed:</w:t>
      </w:r>
    </w:p>
    <w:p>
      <w:pPr>
        <w:spacing w:before="0" w:after="120" w:line="480" w:lineRule="auto"/>
        <w:ind w:firstLine="720"/>
      </w:pPr>
      <w:r>
        <w:rPr>
          <w:rFonts w:ascii="Times New Roman" w:hAnsi="Times New Roman"/>
          <w:sz w:val="24"/>
        </w:rPr>
        <w:t>* **Strict Asymmetry of the Security Checkpoint**: Passengers enter security checkpoints strictly prior to departure. Once passengers clear TSA screening into the sterile gate area, subsequent flight delays do not pull them back through security.</w:t>
        <w:br/>
        <w:t>* **The Morning vs. Evening Disruption Split**:</w:t>
        <w:br/>
        <w:t xml:space="preserve">  - *Morning Disruptions (05:00–10:00)*: Flight delays announced while passengers are en route or already in airport lobbies produce immediate queue surges. Passengers proceed through security regardless of delays to access gate amenities.</w:t>
        <w:br/>
        <w:t xml:space="preserve">  - *Evening Disruptions (16:00–22:00)*: Severe ground delay programs produce extensive airside gate holding. Checkpoint screening demand drops to structural minimums because passenger banks completed screening hours earlier.</w:t>
        <w:br/>
        <w:t>* **The Lead-Lag Disconnect**: Checkpoint arrival volatility is strongly coupled with flight delay dispersion (CV_{\text{delay}}: r = +0.4373, p &lt; 0.05), while raw delay minutes show zero correlation (r = -0.062, p = 0.77). Static flight delays do not translate into contemporaneous checkpoint queues.</w:t>
      </w:r>
    </w:p>
    <w:p>
      <w:pPr>
        <w:spacing w:before="240" w:after="120" w:line="480" w:lineRule="auto"/>
      </w:pPr>
      <w:r>
        <w:rPr>
          <w:rFonts w:ascii="Times New Roman" w:hAnsi="Times New Roman"/>
          <w:b/>
          <w:sz w:val="24"/>
        </w:rPr>
        <w:t>L.2 Resilience Mechanics and the Empty Checkpoint Fallacy</w:t>
      </w:r>
    </w:p>
    <w:p>
      <w:pPr>
        <w:spacing w:before="0" w:after="120" w:line="480" w:lineRule="auto"/>
        <w:ind w:firstLine="720"/>
      </w:pPr>
      <w:r>
        <w:rPr>
          <w:rFonts w:ascii="Times New Roman" w:hAnsi="Times New Roman"/>
          <w:sz w:val="24"/>
        </w:rPr>
        <w:t>During severe convective disruptions, ground delay programs (GDP), and winter storm cancellations (Tier 3 IROPS), pure machine learning models (Model 2) experience catastrophic forecast collapse:</w:t>
      </w:r>
    </w:p>
    <w:p>
      <w:pPr>
        <w:spacing w:before="0" w:after="120" w:line="480" w:lineRule="auto"/>
        <w:ind w:firstLine="720"/>
      </w:pPr>
      <w:r>
        <w:rPr>
          <w:rFonts w:ascii="Times New Roman" w:hAnsi="Times New Roman"/>
          <w:sz w:val="24"/>
        </w:rPr>
        <w:t>* **The Empty Checkpoint Fallacy**: When carriers announce extensive flight delays (e.g., departing flights pushed back 2 to 4 hours), decision trees trained on flight schedules project that screening demand should instantaneously drop to near zero. However, on the terminal floor, hundreds of ticketed passengers have already arrived, creating severe queue congestion in front of closed screening lanes. Model 2's error multiplier spikes to R_{\text{MASE}} = 2.14 (a 114\% error explosion), and its time-to-recovery extends to 5.4 hours.</w:t>
        <w:br/>
        <w:t>* **Model 3 Live Feedback Remediation**: Model 3 prevents this failure mode by coupling scheduled flight banks with real-time 1-step error innovation feedback (e_{t-1} = y_{t-1} - \hat{y}_{t-1}) from checkpoint lanes. When physical arrivals diverge from flight schedules during severe weather, the recursive feedback term immediately overrides the flight schedule regressor. As a result, Model 3 achieves Decisive Shock Resilience:</w:t>
        <w:br/>
        <w:t xml:space="preserve">  - Shock Recovery Multiplier: R_{\text{MASE}} = 1.05 (stable performance, R \approx 1.00).</w:t>
        <w:br/>
        <w:t xml:space="preserve">  - Shock Accuracy: \text{MASE}_{\text{shock}} = 0.694 (beating all models).</w:t>
        <w:br/>
        <w:t xml:space="preserve">  - Time-to-Recovery: \text{TTR} = 2.8 hours (rapid error recovery, \text{TTR} &lt; 4.0 h).</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Evaluation Dimension 2: Resilience and Shock Performance Under Severe Disruption</w:t>
        <w:br/>
      </w:r>
      <w:r>
        <w:rPr>
          <w:rFonts w:ascii="Times New Roman" w:hAnsi="Times New Roman"/>
          <w:sz w:val="21"/>
        </w:rPr>
        <w:t xml:space="preserve">  Source File: table_5_2_evaluation_dimension_2_resilience_and_shock_performance.csv</w:t>
        <w:br/>
        <w:t xml:space="preserve">  Repository Location: final-thesis/figures/ch05_discussion/table_5_2_evaluation_dimension_2_resilience_and_shock_performance.csv</w:t>
        <w:br/>
      </w:r>
      <w:r>
        <w:rPr>
          <w:rFonts w:ascii="Times New Roman" w:hAnsi="Times New Roman"/>
          <w:sz w:val="21"/>
        </w:rPr>
        <w:t xml:space="preserve">  Companion Visual / Workbook: final-thesis/results/05_robustness_resilience_generalizability/05_robustness_resilience_generalizability.xlsx</w:t>
        <w:br/>
      </w:r>
      <w:r>
        <w:rPr>
          <w:rFonts w:ascii="Times New Roman" w:hAnsi="Times New Roman"/>
          <w:i/>
          <w:sz w:val="21"/>
        </w:rPr>
        <w:t xml:space="preserve">  Description: Details MASE under nominal, routine, and shock regimes, shock error multipliers (R_MASE), and hours to recovery (TTR) across candidate models.</w:t>
      </w:r>
    </w:p>
    <w:p>
      <w:pPr>
        <w:spacing w:before="80" w:after="120" w:line="360" w:lineRule="auto"/>
        <w:ind w:left="720"/>
      </w:pPr>
      <w:r>
        <w:rPr>
          <w:rFonts w:ascii="Times New Roman" w:hAnsi="Times New Roman"/>
          <w:b/>
          <w:sz w:val="22"/>
        </w:rPr>
        <w:t>• Asset: Empirical Lead-Lag Transfer Dynamics Across Checkpoint Lead Horizons</w:t>
        <w:br/>
      </w:r>
      <w:r>
        <w:rPr>
          <w:rFonts w:ascii="Times New Roman" w:hAnsi="Times New Roman"/>
          <w:sz w:val="21"/>
        </w:rPr>
        <w:t xml:space="preserve">  Source File: table_4_9_empirical_lead_lag_transfer_dynamics.csv</w:t>
        <w:br/>
        <w:t xml:space="preserve">  Repository Location: final-thesis/figures/ch04_results/table_4_9_empirical_lead_lag_transfer_dynamics.csv</w:t>
        <w:br/>
      </w:r>
      <w:r>
        <w:rPr>
          <w:rFonts w:ascii="Times New Roman" w:hAnsi="Times New Roman"/>
          <w:sz w:val="21"/>
        </w:rPr>
        <w:t xml:space="preserve">  Companion Visual / Workbook: final-thesis/figures/ch04_results/figure_4_5_lead_lag_convolution_curves.png</w:t>
        <w:br/>
      </w:r>
      <w:r>
        <w:rPr>
          <w:rFonts w:ascii="Times New Roman" w:hAnsi="Times New Roman"/>
          <w:i/>
          <w:sz w:val="21"/>
        </w:rPr>
        <w:t xml:space="preserve">  Description: Presents regression coefficients confirming that t+1 and t+2 flight banks explain 90.0% of screening arrivals, validating the physical lead-lag mechanism.</w:t>
      </w:r>
    </w:p>
    <w:p>
      <w:pPr>
        <w:spacing w:before="360" w:after="120" w:line="480" w:lineRule="auto"/>
      </w:pPr>
      <w:r>
        <w:rPr>
          <w:rFonts w:ascii="Times New Roman" w:hAnsi="Times New Roman"/>
          <w:b/>
          <w:sz w:val="28"/>
        </w:rPr>
        <w:t>Appendix M: Dual-Track Operational Decision Playbook and Volatility-Buffered Dynamic Lane Staffing</w:t>
      </w:r>
    </w:p>
    <w:p>
      <w:pPr>
        <w:spacing w:before="0" w:after="240" w:line="480" w:lineRule="auto"/>
        <w:ind w:left="720"/>
      </w:pPr>
      <w:r>
        <w:rPr>
          <w:rFonts w:ascii="Times New Roman" w:hAnsi="Times New Roman"/>
          <w:i/>
          <w:sz w:val="22"/>
        </w:rPr>
        <w:t>Note on Thesis Cross-References: This appendix translates the empirical modeling findings into an actionable operational decision playbook, regime-switched gated inference engine, and dynamic lane staffing rules. It is referenced in Chapter V (Discussion), Section 5.5 (Implications and Recommendations for Predictive Forecasting in Airport Operations: Real-World Operational Application) and Section 5.6 (Connecting Queuing Principles to Dynamic Lane Staffing: The Staffing Safety Cushion).</w:t>
      </w:r>
    </w:p>
    <w:p>
      <w:pPr>
        <w:spacing w:before="240" w:after="120" w:line="480" w:lineRule="auto"/>
      </w:pPr>
      <w:r>
        <w:rPr>
          <w:rFonts w:ascii="Times New Roman" w:hAnsi="Times New Roman"/>
          <w:b/>
          <w:sz w:val="24"/>
        </w:rPr>
        <w:t>M.1 The Dual-Track Operational Model Selection Policy</w:t>
      </w:r>
    </w:p>
    <w:p>
      <w:pPr>
        <w:spacing w:before="0" w:after="120" w:line="480" w:lineRule="auto"/>
        <w:ind w:firstLine="720"/>
      </w:pPr>
      <w:r>
        <w:rPr>
          <w:rFonts w:ascii="Times New Roman" w:hAnsi="Times New Roman"/>
          <w:sz w:val="24"/>
        </w:rPr>
        <w:t>Because no single predictive architecture dominates across all operational dimensions (Hypothesis H_1), Airport Operations Centers (AOC) and TSA Joint Operations Centers (JOC) should deploy a **Dual-Track Operational Decision Framework**:</w:t>
      </w:r>
    </w:p>
    <w:p>
      <w:pPr>
        <w:spacing w:before="0" w:after="120" w:line="480" w:lineRule="auto"/>
        <w:ind w:firstLine="720"/>
      </w:pPr>
      <w:r>
        <w:rPr>
          <w:rFonts w:ascii="Times New Roman" w:hAnsi="Times New Roman"/>
          <w:sz w:val="24"/>
        </w:rPr>
        <w:t>* **Track A: In-Sample Operational Checkpoint Forecasting &amp; Severe Disruption Resilience**:</w:t>
        <w:br/>
        <w:t xml:space="preserve">  - *Recommended Model*: **Model 3 (Dynamic Two-Stage Hybrid Model)**.</w:t>
        <w:br/>
        <w:t xml:space="preserve">  - *Operational Deployment*: Deployed across established airport screening complexes equipped with live automated queue sensor feeds (e.g., LiDAR, computer vision, Bluetooth wait-time sensors).</w:t>
        <w:br/>
        <w:t xml:space="preserve">  - *Performance Justification*: Delivers lowest routine error (\text{RMSE} = 222.1 pax/hr, \text{MASE} = 0.662) and decisive shock resilience (R_{\text{MASE}} = 1.05, \text{TTR} = 2.8 h), completely eliminating the Empty Checkpoint Fallacy during convective ground delay programs.</w:t>
        <w:br/>
        <w:t xml:space="preserve">  - *Operational Fallback*: Under routine baseline operations (Delays &lt; 15 min, 0 cancels), **Model 2 (Supervised Machine Learning)** serves as an efficient fallback, achieving \text{MASE} = 0.700 with zero live sensor compute latency.</w:t>
      </w:r>
    </w:p>
    <w:p>
      <w:pPr>
        <w:spacing w:before="0" w:after="120" w:line="480" w:lineRule="auto"/>
        <w:ind w:firstLine="720"/>
      </w:pPr>
      <w:r>
        <w:rPr>
          <w:rFonts w:ascii="Times New Roman" w:hAnsi="Times New Roman"/>
          <w:sz w:val="24"/>
        </w:rPr>
        <w:t>* **Track B: Zero-Shot Spatial Transfer, Master Planning &amp; Facility Expansions**:</w:t>
        <w:br/>
        <w:t xml:space="preserve">  - *Recommended Model*: **Model 1 (Deterministic Flight Schedule Model)**.</w:t>
        <w:br/>
        <w:t xml:space="preserve">  - *Operational Deployment*: Deployed for long-range terminal master planning, seasonal schedule evaluation, and newly constructed airport concourses where zero live queue sensor infrastructure exists.</w:t>
        <w:br/>
        <w:t xml:space="preserve">  - *Performance Justification*: Achieves champion zero-shot spatial transferability (\text{RTR} = 1.04, transfer error shift \Delta\text{MASE} = +4.0\%, transfer penalty 4.2\%) because flight schedule convolution relies strictly on universal physical passenger show-up curves rather than overfitted local terminal geometries. Model 3 decisively fails zero-shot transfer (\text{RTR} = 1.19, \Delta\text{MASE} = +21.5\%) and must not be transferred without local retraining.</w:t>
      </w:r>
    </w:p>
    <w:p>
      <w:pPr>
        <w:spacing w:before="240" w:after="120" w:line="480" w:lineRule="auto"/>
      </w:pPr>
      <w:r>
        <w:rPr>
          <w:rFonts w:ascii="Times New Roman" w:hAnsi="Times New Roman"/>
          <w:b/>
          <w:sz w:val="24"/>
        </w:rPr>
        <w:t>M.2 Volatility-Buffered Dynamic Lane Dimensioning (The Staffing Safety Cushion)</w:t>
      </w:r>
    </w:p>
    <w:p>
      <w:pPr>
        <w:spacing w:before="0" w:after="120" w:line="480" w:lineRule="auto"/>
        <w:ind w:firstLine="720"/>
      </w:pPr>
      <w:r>
        <w:rPr>
          <w:rFonts w:ascii="Times New Roman" w:hAnsi="Times New Roman"/>
          <w:sz w:val="24"/>
        </w:rPr>
        <w:t>Under Kingman's heavy-traffic queuing formula (W_q \approx \frac{\rho}{1-\rho} \frac{C_a^2 + C_s^2}{2} \frac{1}{\mu}), opening screening lanes based solely on expected average passenger volume (\hat{\mu}_t) leads to catastrophic queue blowout during peak banks because traffic intensity approaches capacity (\rho \to 1.0).</w:t>
      </w:r>
    </w:p>
    <w:p>
      <w:pPr>
        <w:spacing w:before="0" w:after="120" w:line="480" w:lineRule="auto"/>
        <w:ind w:firstLine="720"/>
      </w:pPr>
      <w:r>
        <w:rPr>
          <w:rFonts w:ascii="Times New Roman" w:hAnsi="Times New Roman"/>
          <w:sz w:val="24"/>
        </w:rPr>
        <w:t>To operationalize throughput volatility forecasts into dynamic lane staffing, the study formalizes the **Volatility-Buffered Lane Dimensioning Rule (EQ-20)**:</w:t>
        <w:br/>
        <w:br/>
        <w:t>c(t) = \left\lceil \frac{\hat{\mu}_t + z_q \cdot \hat{\sigma}_{\text{TSA}, t}}{\mu_{\text{lane}}} \right\rceil</w:t>
        <w:br/>
        <w:br/>
        <w:t>where:</w:t>
        <w:br/>
        <w:t>* c(t) is the recommended integer number of active parallel screening lanes at hour t.</w:t>
        <w:br/>
        <w:t>* \hat{\mu}_t is the forecasted mean passenger arrival demand rate (pax/hr).</w:t>
        <w:br/>
        <w:t>* \hat{\sigma}_{\text{TSA}, t} is the forecasted arrival volatility (pax/hr dispersion).</w:t>
        <w:br/>
        <w:t>* z_q is the service safety factor corresponding to target queue clearance reliability (e.g., z_q = 1.645 for a 95\% service reliability level).</w:t>
        <w:br/>
        <w:t>* \mu_{\text{lane}} is the nominal screening throughput capacity per open lane (standard lane: \approx 180 pax/lane-hr; PreCheck lane: \approx 250 pax/lane-hr).</w:t>
      </w:r>
    </w:p>
    <w:p>
      <w:pPr>
        <w:spacing w:before="0" w:after="120" w:line="480" w:lineRule="auto"/>
        <w:ind w:firstLine="720"/>
      </w:pPr>
      <w:r>
        <w:rPr>
          <w:rFonts w:ascii="Times New Roman" w:hAnsi="Times New Roman"/>
          <w:sz w:val="24"/>
        </w:rPr>
        <w:t>By buffering lane allocations with forecasted volatility (\hat{\sigma}_{\text{TSA}}), checkpoint operations establish a dynamic *Staffing Safety Cushion*, absorbing bursty passenger arrival waves and preventing traffic intensity from breaching the critical tipping point (\rho \ge 0.85).</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Dual-Track Operational Model Selection Policy Specification</w:t>
        <w:br/>
      </w:r>
      <w:r>
        <w:rPr>
          <w:rFonts w:ascii="Times New Roman" w:hAnsi="Times New Roman"/>
          <w:sz w:val="21"/>
        </w:rPr>
        <w:t xml:space="preserve">  Source File: dual_track_model_selection_policy.csv</w:t>
        <w:br/>
        <w:t xml:space="preserve">  Repository Location: final-thesis/figures/ch05_discussion/dual_track_model_selection_policy.csv</w:t>
        <w:br/>
      </w:r>
      <w:r>
        <w:rPr>
          <w:rFonts w:ascii="Times New Roman" w:hAnsi="Times New Roman"/>
          <w:sz w:val="21"/>
        </w:rPr>
        <w:t xml:space="preserve">  Companion Visual / Workbook: final-thesis/figures/ch05_discussion/table_5_4_master_asymmetric_trade_off_matrix.csv</w:t>
        <w:br/>
      </w:r>
      <w:r>
        <w:rPr>
          <w:rFonts w:ascii="Times New Roman" w:hAnsi="Times New Roman"/>
          <w:i/>
          <w:sz w:val="21"/>
        </w:rPr>
        <w:t xml:space="preserve">  Description: Defines Track A (in-sample operations) vs Track B (spatial transfer) deployment rules, data requirements, and model recommendations.</w:t>
      </w:r>
    </w:p>
    <w:p>
      <w:pPr>
        <w:spacing w:before="80" w:after="120" w:line="360" w:lineRule="auto"/>
        <w:ind w:left="720"/>
      </w:pPr>
      <w:r>
        <w:rPr>
          <w:rFonts w:ascii="Times New Roman" w:hAnsi="Times New Roman"/>
          <w:b/>
          <w:sz w:val="22"/>
        </w:rPr>
        <w:t>• Asset: Evaluation Dimension 1: Routine Operational Accuracy (Robustness)</w:t>
        <w:br/>
      </w:r>
      <w:r>
        <w:rPr>
          <w:rFonts w:ascii="Times New Roman" w:hAnsi="Times New Roman"/>
          <w:sz w:val="21"/>
        </w:rPr>
        <w:t xml:space="preserve">  Source File: table_5_1_evaluation_dimension_1_routine_operational_accuracy.csv</w:t>
        <w:br/>
        <w:t xml:space="preserve">  Repository Location: final-thesis/figures/ch05_discussion/table_5_1_evaluation_dimension_1_routine_operational_accuracy.csv</w:t>
        <w:br/>
      </w:r>
      <w:r>
        <w:rPr>
          <w:rFonts w:ascii="Times New Roman" w:hAnsi="Times New Roman"/>
          <w:sz w:val="21"/>
        </w:rPr>
        <w:t xml:space="preserve">  Companion Visual / Workbook: final-thesis/figures/ch05_discussion/table_5_3_evaluation_dimension_3_generalizability_and_cross_airport_transfer.csv</w:t>
        <w:br/>
      </w:r>
      <w:r>
        <w:rPr>
          <w:rFonts w:ascii="Times New Roman" w:hAnsi="Times New Roman"/>
          <w:i/>
          <w:sz w:val="21"/>
        </w:rPr>
        <w:t xml:space="preserve">  Description: Tabulates RMSE, MAE, MASE, and Bias across Baseline Control, Model 1, Model 2, and Model 3 under nominal on-time baseline operations.</w:t>
      </w:r>
    </w:p>
    <w:p>
      <w:pPr>
        <w:spacing w:before="360" w:after="120" w:line="480" w:lineRule="auto"/>
      </w:pPr>
      <w:r>
        <w:rPr>
          <w:rFonts w:ascii="Times New Roman" w:hAnsi="Times New Roman"/>
          <w:b/>
          <w:sz w:val="28"/>
        </w:rPr>
        <w:t>Appendix N: Archival Data Storage Infrastructure, Directory Hierarchy, and Screenshot Catalog</w:t>
      </w:r>
    </w:p>
    <w:p>
      <w:pPr>
        <w:spacing w:before="0" w:after="240" w:line="480" w:lineRule="auto"/>
        <w:ind w:left="720"/>
      </w:pPr>
      <w:r>
        <w:rPr>
          <w:rFonts w:ascii="Times New Roman" w:hAnsi="Times New Roman"/>
          <w:i/>
          <w:sz w:val="22"/>
        </w:rPr>
        <w:t>Note on Thesis Cross-References: This appendix documents the persistent cloud storage backup manifest, repository organization, and visual evidence screenshot catalog. It is referenced in Chapter III (Methodology), Section 3.1 (Apparatus and Materials: Archival Storage and Reproducibility Environment) and Section 3.3 (Sources of Data).</w:t>
      </w:r>
    </w:p>
    <w:p>
      <w:pPr>
        <w:spacing w:before="240" w:after="120" w:line="480" w:lineRule="auto"/>
      </w:pPr>
      <w:r>
        <w:rPr>
          <w:rFonts w:ascii="Times New Roman" w:hAnsi="Times New Roman"/>
          <w:b/>
          <w:sz w:val="24"/>
        </w:rPr>
        <w:t>N.1 Archival Storage and Directory Organization</w:t>
      </w:r>
    </w:p>
    <w:p>
      <w:pPr>
        <w:spacing w:before="0" w:after="120" w:line="480" w:lineRule="auto"/>
        <w:ind w:firstLine="720"/>
      </w:pPr>
      <w:r>
        <w:rPr>
          <w:rFonts w:ascii="Times New Roman" w:hAnsi="Times New Roman"/>
          <w:sz w:val="24"/>
        </w:rPr>
        <w:t>To ensure full scientific reproducibility, auditability, and data integrity, all raw and processed aviation data feeds, analytical code, and manuscript assets are preserved in a standardized directory hierarchy synchronized between persistent cloud storage (OneDrive) and local development paths:</w:t>
      </w:r>
    </w:p>
    <w:p>
      <w:pPr>
        <w:spacing w:before="0" w:after="120" w:line="480" w:lineRule="auto"/>
        <w:ind w:firstLine="720"/>
      </w:pPr>
      <w:r>
        <w:rPr>
          <w:rFonts w:ascii="Times New Roman" w:hAnsi="Times New Roman"/>
          <w:sz w:val="24"/>
        </w:rPr>
        <w:t>* `00_Raw_Ingested_Federal_Data/`: Preserves raw upstream data feeds (TSA FOIA hourly screening logs, BTS Form 234 flight movements, BTS Form 41 T-100 domestic segments, BTS DB1B ticket coupon archives; 67,222,828 raw records; 7.12 GB staging).</w:t>
        <w:br/>
        <w:t>* `01_Staging_ETL_DuckDB/`: Houses vectorized DuckDB pipelines, Star Schema dimension tables (`dim_date`, `dim_airport`, `dim_airline`, `dim_checkpoint`), and data hygiene quarantine tables.</w:t>
        <w:br/>
        <w:t>* `02_Conformed_Star_Schema_Parquet/`: Stores final partitioned Apache Parquet datasets (42,062,039 conformed records).</w:t>
        <w:br/>
        <w:t>* `results/manuscript_tables/`: Contains conformed CSV files for all 16 empirical manuscript tables.</w:t>
        <w:br/>
        <w:t>* `results/tables/`: Houses companion analytical tables and equation registries.</w:t>
        <w:br/>
        <w:t>* `figures/`: Structured into chapter-specific subdirectories containing publication-ready visual charts, CSV datasets, and multi-tab Excel workbooks (`figures/ch01_intro/`, `figures/ch02_lit_review/`, `figures/ch03_methodology/`, `figures/ch04_results/`, `figures/ch05_discussion/`, `figures/04_Appendix_and_Reference/`).</w:t>
        <w:br/>
        <w:t>* `thesis_docs/manuscripts/`: Stores full thesis manuscripts, chapter drafts, acronym lists, and version-controlled review documents.</w:t>
      </w:r>
    </w:p>
    <w:p>
      <w:pPr>
        <w:spacing w:before="240" w:after="120" w:line="480" w:lineRule="auto"/>
      </w:pPr>
      <w:r>
        <w:rPr>
          <w:rFonts w:ascii="Times New Roman" w:hAnsi="Times New Roman"/>
          <w:b/>
          <w:sz w:val="24"/>
        </w:rPr>
        <w:t>N.2 Visual Evidence Diagrams and Screenshot Layout Catalog</w:t>
      </w:r>
    </w:p>
    <w:p>
      <w:pPr>
        <w:spacing w:before="0" w:after="120" w:line="480" w:lineRule="auto"/>
        <w:ind w:firstLine="720"/>
      </w:pPr>
      <w:r>
        <w:rPr>
          <w:rFonts w:ascii="Times New Roman" w:hAnsi="Times New Roman"/>
          <w:sz w:val="24"/>
        </w:rPr>
        <w:t>To provide complete forensic provenance, 30 high-resolution visual evidence screenshots capturing data schemas, queuing curves, pipeline progressions, and econometric models are cataloged across four analytical subdirectories:</w:t>
      </w:r>
    </w:p>
    <w:p>
      <w:pPr>
        <w:spacing w:before="0" w:after="120" w:line="480" w:lineRule="auto"/>
        <w:ind w:firstLine="720"/>
      </w:pPr>
      <w:r>
        <w:rPr>
          <w:rFonts w:ascii="Times New Roman" w:hAnsi="Times New Roman"/>
          <w:sz w:val="24"/>
        </w:rPr>
        <w:t>1. `figures/ch01_intro/`: Data sample profile census, inclusion of top 25 network approach, models and tests comparison.</w:t>
        <w:br/>
        <w:t>2. `figures/ch02_lit_review/`: Clustering and connecting paradox, OTP flight delay volatility, OTP vs. TSA volume coupling, model walkthrough architecture, passenger stochastic arrival parameters.</w:t>
        <w:br/>
        <w:t>3. `figures/ch03_methodology/`: Four-tier filtering funnel progression, combined data threats and remediation matrix, post-pandemic demarcation justification, power of 9 airports factorial design, physical transfer lead-lag timeline, evaluation metric definitions, TSA and T-100 schema DDL architectures.</w:t>
        <w:br/>
        <w:t>4. `figures/04_Appendix_and_Reference/`: BTS DB1B table hierarchy, 9-airport data profile, database profiles, dataset breakdown, backups organization, diagrams and screenshot layout catalog, methodological assumptions matrix.</w:t>
      </w:r>
    </w:p>
    <w:p>
      <w:pPr>
        <w:spacing w:before="240" w:after="120" w:line="480" w:lineRule="auto"/>
      </w:pPr>
      <w:r>
        <w:rPr>
          <w:rFonts w:ascii="Times New Roman" w:hAnsi="Times New Roman"/>
          <w:b/>
          <w:i/>
          <w:sz w:val="24"/>
        </w:rPr>
        <w:t>Referenced Tabular Datasets and Visual Evidence Assets</w:t>
      </w:r>
    </w:p>
    <w:p>
      <w:pPr>
        <w:spacing w:before="80" w:after="120" w:line="360" w:lineRule="auto"/>
        <w:ind w:left="720"/>
      </w:pPr>
      <w:r>
        <w:rPr>
          <w:rFonts w:ascii="Times New Roman" w:hAnsi="Times New Roman"/>
          <w:b/>
          <w:sz w:val="22"/>
        </w:rPr>
        <w:t>• Asset: OneDrive Archival Backup Directory Structure and Preserved Contents</w:t>
        <w:br/>
      </w:r>
      <w:r>
        <w:rPr>
          <w:rFonts w:ascii="Times New Roman" w:hAnsi="Times New Roman"/>
          <w:sz w:val="21"/>
        </w:rPr>
        <w:t xml:space="preserve">  Source File: backups_organization.csv</w:t>
        <w:br/>
        <w:t xml:space="preserve">  Repository Location: final-thesis/figures/04_Appendix_and_Reference/backups_organization.csv</w:t>
        <w:br/>
      </w:r>
      <w:r>
        <w:rPr>
          <w:rFonts w:ascii="Times New Roman" w:hAnsi="Times New Roman"/>
          <w:sz w:val="21"/>
        </w:rPr>
        <w:t xml:space="preserve">  Companion Visual / Workbook: final-thesis/figures/04_Appendix_and_Reference/Backups organization.png</w:t>
        <w:br/>
      </w:r>
      <w:r>
        <w:rPr>
          <w:rFonts w:ascii="Times New Roman" w:hAnsi="Times New Roman"/>
          <w:i/>
          <w:sz w:val="21"/>
        </w:rPr>
        <w:t xml:space="preserve">  Description: Full inventory of persistent cloud backup directories, storage hierarchy levels, and preserved datasets.</w:t>
      </w:r>
    </w:p>
    <w:p>
      <w:pPr>
        <w:spacing w:before="80" w:after="120" w:line="360" w:lineRule="auto"/>
        <w:ind w:left="720"/>
      </w:pPr>
      <w:r>
        <w:rPr>
          <w:rFonts w:ascii="Times New Roman" w:hAnsi="Times New Roman"/>
          <w:b/>
          <w:sz w:val="22"/>
        </w:rPr>
        <w:t>• Asset: Visual Evidence Diagrams and Screenshot Layout Catalog</w:t>
        <w:br/>
      </w:r>
      <w:r>
        <w:rPr>
          <w:rFonts w:ascii="Times New Roman" w:hAnsi="Times New Roman"/>
          <w:sz w:val="21"/>
        </w:rPr>
        <w:t xml:space="preserve">  Source File: diagrams_and_screenshot_layout.csv</w:t>
        <w:br/>
        <w:t xml:space="preserve">  Repository Location: final-thesis/figures/04_Appendix_and_Reference/diagrams_and_screenshot_layout.csv</w:t>
        <w:br/>
      </w:r>
      <w:r>
        <w:rPr>
          <w:rFonts w:ascii="Times New Roman" w:hAnsi="Times New Roman"/>
          <w:sz w:val="21"/>
        </w:rPr>
        <w:t xml:space="preserve">  Companion Visual / Workbook: final-thesis/figures/04_Appendix_and_Reference/Diagrams and Screenshot Layout.png</w:t>
        <w:br/>
      </w:r>
      <w:r>
        <w:rPr>
          <w:rFonts w:ascii="Times New Roman" w:hAnsi="Times New Roman"/>
          <w:i/>
          <w:sz w:val="21"/>
        </w:rPr>
        <w:t xml:space="preserve">  Description: Complete catalog of all 30 high-resolution visual evidence screenshots across the analytical subdirectories.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