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9E2FE" w14:textId="77777777" w:rsidR="003C055A" w:rsidRPr="00A84EB3" w:rsidRDefault="003C055A" w:rsidP="00A84EB3">
      <w:pPr>
        <w:spacing w:line="360" w:lineRule="auto"/>
        <w:jc w:val="center"/>
        <w:outlineLvl w:val="1"/>
        <w:rPr>
          <w:rFonts w:cs="Times New Roman"/>
          <w:color w:val="000000" w:themeColor="text1"/>
          <w:szCs w:val="24"/>
        </w:rPr>
      </w:pPr>
      <w:r w:rsidRPr="00A84EB3">
        <w:rPr>
          <w:rFonts w:cs="Times New Roman"/>
          <w:color w:val="000000" w:themeColor="text1"/>
          <w:szCs w:val="24"/>
        </w:rPr>
        <w:t>Results Draft</w:t>
      </w:r>
    </w:p>
    <w:p w14:paraId="3005D9B4" w14:textId="77777777" w:rsidR="003C055A" w:rsidRPr="00A84EB3" w:rsidRDefault="003C055A" w:rsidP="00A84EB3">
      <w:pPr>
        <w:spacing w:line="360" w:lineRule="auto"/>
        <w:outlineLvl w:val="1"/>
        <w:rPr>
          <w:rFonts w:cs="Times New Roman"/>
          <w:b/>
          <w:bCs/>
          <w:color w:val="000000" w:themeColor="text1"/>
          <w:szCs w:val="24"/>
        </w:rPr>
      </w:pPr>
      <w:r w:rsidRPr="00A84EB3">
        <w:rPr>
          <w:rFonts w:cs="Times New Roman"/>
          <w:b/>
          <w:bCs/>
          <w:color w:val="000000" w:themeColor="text1"/>
          <w:szCs w:val="24"/>
        </w:rPr>
        <w:t>4.1 Primary Findings</w:t>
      </w:r>
    </w:p>
    <w:p w14:paraId="6B7DA767" w14:textId="77777777" w:rsidR="003C055A" w:rsidRPr="00A84EB3" w:rsidRDefault="003C055A" w:rsidP="00A84EB3">
      <w:pPr>
        <w:spacing w:line="360" w:lineRule="auto"/>
        <w:ind w:firstLine="720"/>
        <w:outlineLvl w:val="1"/>
        <w:rPr>
          <w:rFonts w:cs="Times New Roman"/>
          <w:color w:val="000000" w:themeColor="text1"/>
          <w:szCs w:val="24"/>
        </w:rPr>
      </w:pPr>
      <w:r w:rsidRPr="00A84EB3">
        <w:rPr>
          <w:rFonts w:cs="Times New Roman"/>
          <w:color w:val="000000" w:themeColor="text1"/>
          <w:szCs w:val="24"/>
        </w:rPr>
        <w:t xml:space="preserve">This section establishes the empirical baseline of the entire research warehouse immediately following raw data ingestion, automated cleaning, surrogate key transformation, and relational joining. </w:t>
      </w:r>
    </w:p>
    <w:p w14:paraId="4E8C1287" w14:textId="77777777" w:rsidR="003C055A" w:rsidRPr="00A84EB3" w:rsidRDefault="003C055A" w:rsidP="00A84EB3">
      <w:pPr>
        <w:pStyle w:val="ListParagraph"/>
        <w:numPr>
          <w:ilvl w:val="0"/>
          <w:numId w:val="14"/>
        </w:numPr>
        <w:spacing w:line="360" w:lineRule="auto"/>
        <w:outlineLvl w:val="1"/>
        <w:rPr>
          <w:rFonts w:cs="Times New Roman"/>
          <w:color w:val="000000" w:themeColor="text1"/>
          <w:szCs w:val="24"/>
        </w:rPr>
      </w:pPr>
      <w:r w:rsidRPr="00A84EB3">
        <w:rPr>
          <w:rFonts w:cs="Times New Roman"/>
          <w:color w:val="000000" w:themeColor="text1"/>
          <w:szCs w:val="24"/>
        </w:rPr>
        <w:t xml:space="preserve">Documents every post-ETL data point across the complete, nationwide commercial aviation network (covering 25 candidate commercial airfields and 955 individual physical checkpoint lanes over the continuous 7-year period from January 1, </w:t>
      </w:r>
      <w:proofErr w:type="gramStart"/>
      <w:r w:rsidRPr="00A84EB3">
        <w:rPr>
          <w:rFonts w:cs="Times New Roman"/>
          <w:color w:val="000000" w:themeColor="text1"/>
          <w:szCs w:val="24"/>
        </w:rPr>
        <w:t>2019</w:t>
      </w:r>
      <w:proofErr w:type="gramEnd"/>
      <w:r w:rsidRPr="00A84EB3">
        <w:rPr>
          <w:rFonts w:cs="Times New Roman"/>
          <w:color w:val="000000" w:themeColor="text1"/>
          <w:szCs w:val="24"/>
        </w:rPr>
        <w:t xml:space="preserve"> to December 31, 2025).</w:t>
      </w:r>
    </w:p>
    <w:p w14:paraId="6EAFA579" w14:textId="77777777" w:rsidR="003C055A" w:rsidRPr="00A84EB3" w:rsidRDefault="003C055A" w:rsidP="00A84EB3">
      <w:pPr>
        <w:pStyle w:val="ListParagraph"/>
        <w:numPr>
          <w:ilvl w:val="0"/>
          <w:numId w:val="14"/>
        </w:numPr>
        <w:spacing w:line="360" w:lineRule="auto"/>
        <w:outlineLvl w:val="1"/>
        <w:rPr>
          <w:rFonts w:cs="Times New Roman"/>
          <w:color w:val="000000" w:themeColor="text1"/>
          <w:szCs w:val="24"/>
        </w:rPr>
      </w:pPr>
      <w:r w:rsidRPr="00A84EB3">
        <w:rPr>
          <w:rFonts w:cs="Times New Roman"/>
          <w:color w:val="000000" w:themeColor="text1"/>
          <w:szCs w:val="24"/>
        </w:rPr>
        <w:t>Total Post-ETL Cleaned Warehouse Volume: 42,062,039 conformed records synthesized from 67,222,828 raw upstream government records.</w:t>
      </w:r>
    </w:p>
    <w:p w14:paraId="13508886" w14:textId="1B9E5045" w:rsidR="00A01DAF" w:rsidRPr="00A84EB3" w:rsidRDefault="00A01DAF" w:rsidP="00A84EB3">
      <w:pPr>
        <w:spacing w:line="360" w:lineRule="auto"/>
        <w:ind w:firstLine="360"/>
        <w:outlineLvl w:val="1"/>
        <w:rPr>
          <w:rFonts w:cs="Times New Roman"/>
          <w:color w:val="000000" w:themeColor="text1"/>
          <w:szCs w:val="24"/>
        </w:rPr>
      </w:pPr>
      <w:r w:rsidRPr="00A84EB3">
        <w:rPr>
          <w:rFonts w:cs="Times New Roman"/>
          <w:color w:val="000000" w:themeColor="text1"/>
          <w:szCs w:val="24"/>
        </w:rPr>
        <w:t xml:space="preserve">To construct an empirically rigorous and leak-free modeling architecture for airport passenger security screening demand, this study synthesized multi-source operational data covering the continuous seven-year period from January 1, </w:t>
      </w:r>
      <w:proofErr w:type="gramStart"/>
      <w:r w:rsidRPr="00A84EB3">
        <w:rPr>
          <w:rFonts w:cs="Times New Roman"/>
          <w:color w:val="000000" w:themeColor="text1"/>
          <w:szCs w:val="24"/>
        </w:rPr>
        <w:t>2019</w:t>
      </w:r>
      <w:proofErr w:type="gramEnd"/>
      <w:r w:rsidRPr="00A84EB3">
        <w:rPr>
          <w:rFonts w:cs="Times New Roman"/>
          <w:color w:val="000000" w:themeColor="text1"/>
          <w:szCs w:val="24"/>
        </w:rPr>
        <w:t xml:space="preserve"> to December 31, 2025. The initial upstream repository encompassed 67.22 million raw fact records across TSA checkpoint logs, Bureau of Transportation Statistics (BTS) On-Time Performance (OTP), BTS Form 41 Schedule T-100 Segment data, and BTS DB1B/DB1C ticket coupon surveys.</w:t>
      </w:r>
    </w:p>
    <w:p w14:paraId="636C0A64" w14:textId="13922645" w:rsidR="003C055A" w:rsidRPr="00A84EB3" w:rsidRDefault="00A01DAF" w:rsidP="00A84EB3">
      <w:pPr>
        <w:spacing w:line="360" w:lineRule="auto"/>
        <w:ind w:firstLine="360"/>
        <w:outlineLvl w:val="1"/>
        <w:rPr>
          <w:rFonts w:cs="Times New Roman"/>
          <w:color w:val="000000" w:themeColor="text1"/>
          <w:szCs w:val="24"/>
        </w:rPr>
      </w:pPr>
      <w:r w:rsidRPr="00A84EB3">
        <w:rPr>
          <w:rFonts w:cs="Times New Roman"/>
          <w:color w:val="000000" w:themeColor="text1"/>
          <w:szCs w:val="24"/>
        </w:rPr>
        <w:t>Following conformed extraction, cleansing, and relational joining across standardized dimension keys, the nationwide post-ETL analytical warehouse contains 42,062,039 cleaned records across all 25 candidate commercial airfields. Table 4.1 details the post-ETL data foundation census across the four integrated feeds prior to applying downstream experimental filters.</w:t>
      </w:r>
    </w:p>
    <w:p w14:paraId="6AE54A54" w14:textId="2F5CBAAB" w:rsidR="006C0E0F" w:rsidRPr="00A84EB3" w:rsidRDefault="006C0E0F" w:rsidP="00A84EB3">
      <w:pPr>
        <w:spacing w:line="360" w:lineRule="auto"/>
        <w:ind w:firstLine="360"/>
        <w:outlineLvl w:val="1"/>
        <w:rPr>
          <w:rFonts w:cs="Times New Roman"/>
          <w:color w:val="000000" w:themeColor="text1"/>
          <w:szCs w:val="24"/>
        </w:rPr>
      </w:pPr>
      <w:r w:rsidRPr="00A84EB3">
        <w:rPr>
          <w:rFonts w:cs="Times New Roman"/>
          <w:color w:val="000000" w:themeColor="text1"/>
          <w:szCs w:val="24"/>
        </w:rPr>
        <w:t>4.1.2 Spatial Resolution and Metadata Remediation</w:t>
      </w:r>
    </w:p>
    <w:p w14:paraId="221482AC" w14:textId="2B51506C" w:rsidR="006C0E0F" w:rsidRPr="00A84EB3" w:rsidRDefault="006C0E0F" w:rsidP="00A84EB3">
      <w:pPr>
        <w:spacing w:line="360" w:lineRule="auto"/>
        <w:ind w:firstLine="360"/>
        <w:outlineLvl w:val="1"/>
        <w:rPr>
          <w:rFonts w:cs="Times New Roman"/>
          <w:color w:val="000000" w:themeColor="text1"/>
          <w:szCs w:val="24"/>
        </w:rPr>
      </w:pPr>
      <w:r w:rsidRPr="00A84EB3">
        <w:rPr>
          <w:rFonts w:cs="Times New Roman"/>
          <w:color w:val="000000" w:themeColor="text1"/>
          <w:szCs w:val="24"/>
        </w:rPr>
        <w:t>Upstream TSA FOIA records exhibited 35,809 records with missing or malformed airport identifiers. Rather than silently dropping or naively imputing these rows, an automated checkpoint fingerprinting algorithm successfully recovered 7,489 records by matching historical checkpoint naming signatures (</w:t>
      </w:r>
      <w:proofErr w:type="spellStart"/>
      <w:r w:rsidRPr="00A84EB3">
        <w:rPr>
          <w:rFonts w:cs="Times New Roman"/>
          <w:color w:val="000000" w:themeColor="text1"/>
          <w:szCs w:val="24"/>
        </w:rPr>
        <w:t>dim_checkpoint</w:t>
      </w:r>
      <w:proofErr w:type="spellEnd"/>
      <w:r w:rsidRPr="00A84EB3">
        <w:rPr>
          <w:rFonts w:cs="Times New Roman"/>
          <w:color w:val="000000" w:themeColor="text1"/>
          <w:szCs w:val="24"/>
        </w:rPr>
        <w:t>). The remaining 22,190 unresolvable records were mapped to a conformed surrogate key (</w:t>
      </w:r>
      <w:proofErr w:type="spellStart"/>
      <w:r w:rsidRPr="00A84EB3">
        <w:rPr>
          <w:rFonts w:cs="Times New Roman"/>
          <w:color w:val="000000" w:themeColor="text1"/>
          <w:szCs w:val="24"/>
        </w:rPr>
        <w:t>airportId</w:t>
      </w:r>
      <w:proofErr w:type="spellEnd"/>
      <w:r w:rsidRPr="00A84EB3">
        <w:rPr>
          <w:rFonts w:cs="Times New Roman"/>
          <w:color w:val="000000" w:themeColor="text1"/>
          <w:szCs w:val="24"/>
        </w:rPr>
        <w:t xml:space="preserve"> = 0, flagged with </w:t>
      </w:r>
      <w:proofErr w:type="spellStart"/>
      <w:r w:rsidRPr="00A84EB3">
        <w:rPr>
          <w:rFonts w:cs="Times New Roman"/>
          <w:color w:val="000000" w:themeColor="text1"/>
          <w:szCs w:val="24"/>
        </w:rPr>
        <w:t>airportMissing</w:t>
      </w:r>
      <w:proofErr w:type="spellEnd"/>
      <w:r w:rsidRPr="00A84EB3">
        <w:rPr>
          <w:rFonts w:cs="Times New Roman"/>
          <w:color w:val="000000" w:themeColor="text1"/>
          <w:szCs w:val="24"/>
        </w:rPr>
        <w:t xml:space="preserve"> = 1). In the absence of this remediation, these unmapped rows aggregate into unidentified airport records representing ~9.71 million passengers, which would severely distort national baseline models. All subsequent modeling queries strictly enforce WHERE </w:t>
      </w:r>
      <w:proofErr w:type="spellStart"/>
      <w:r w:rsidRPr="00A84EB3">
        <w:rPr>
          <w:rFonts w:cs="Times New Roman"/>
          <w:color w:val="000000" w:themeColor="text1"/>
          <w:szCs w:val="24"/>
        </w:rPr>
        <w:t>airportMissing</w:t>
      </w:r>
      <w:proofErr w:type="spellEnd"/>
      <w:r w:rsidRPr="00A84EB3">
        <w:rPr>
          <w:rFonts w:cs="Times New Roman"/>
          <w:color w:val="000000" w:themeColor="text1"/>
          <w:szCs w:val="24"/>
        </w:rPr>
        <w:t xml:space="preserve"> = 0 AND </w:t>
      </w:r>
      <w:proofErr w:type="spellStart"/>
      <w:r w:rsidRPr="00A84EB3">
        <w:rPr>
          <w:rFonts w:cs="Times New Roman"/>
          <w:color w:val="000000" w:themeColor="text1"/>
          <w:szCs w:val="24"/>
        </w:rPr>
        <w:t>airportId</w:t>
      </w:r>
      <w:proofErr w:type="spellEnd"/>
      <w:r w:rsidRPr="00A84EB3">
        <w:rPr>
          <w:rFonts w:cs="Times New Roman"/>
          <w:color w:val="000000" w:themeColor="text1"/>
          <w:szCs w:val="24"/>
        </w:rPr>
        <w:t xml:space="preserve"> &gt; 0.</w:t>
      </w:r>
    </w:p>
    <w:p w14:paraId="65971605" w14:textId="0D44533F" w:rsidR="006C0E0F" w:rsidRPr="00A84EB3" w:rsidRDefault="006C0E0F" w:rsidP="00A84EB3">
      <w:pPr>
        <w:spacing w:line="360" w:lineRule="auto"/>
        <w:ind w:firstLine="360"/>
        <w:outlineLvl w:val="1"/>
        <w:rPr>
          <w:rFonts w:cs="Times New Roman"/>
          <w:b/>
          <w:bCs/>
          <w:color w:val="000000" w:themeColor="text1"/>
          <w:szCs w:val="24"/>
        </w:rPr>
      </w:pPr>
      <w:r w:rsidRPr="00A84EB3">
        <w:rPr>
          <w:rFonts w:cs="Times New Roman"/>
          <w:b/>
          <w:bCs/>
          <w:color w:val="000000" w:themeColor="text1"/>
          <w:szCs w:val="24"/>
        </w:rPr>
        <w:lastRenderedPageBreak/>
        <w:t>4.1.2 Nighttime Checkpoint Closures versus Missing Data</w:t>
      </w:r>
    </w:p>
    <w:p w14:paraId="42D78CB3" w14:textId="6ADAC3D1" w:rsidR="003C055A" w:rsidRPr="00A84EB3" w:rsidRDefault="006C0E0F" w:rsidP="00A84EB3">
      <w:pPr>
        <w:spacing w:line="360" w:lineRule="auto"/>
        <w:ind w:firstLine="360"/>
        <w:outlineLvl w:val="1"/>
        <w:rPr>
          <w:rFonts w:cs="Times New Roman"/>
          <w:color w:val="000000" w:themeColor="text1"/>
          <w:szCs w:val="24"/>
        </w:rPr>
      </w:pPr>
      <w:r w:rsidRPr="00A84EB3">
        <w:rPr>
          <w:rFonts w:cs="Times New Roman"/>
          <w:color w:val="000000" w:themeColor="text1"/>
          <w:szCs w:val="24"/>
        </w:rPr>
        <w:t>A critical distributional property of checkpoint operations is the occurrence of zero-throughput intervals. Exactly 450,973 records (2.31% of the warehouse volume) report zero passengers. Cross-referencing these intervals against airport operational schedules confirmed that 98.6% of zero values occur during the early morning non-operational window (00:00 to 03:59 local time). Rather than applying moving-average imputation—which would introduce artificial passenger flow during scheduled overnight checkpoint closures—these intervals are preserved as true operational zeros, modeled using zero-bounded count regression (Tweedie distribution, </w:t>
      </w:r>
      <m:oMath>
        <m:r>
          <w:rPr>
            <w:rFonts w:ascii="Cambria Math" w:hAnsi="Cambria Math" w:cs="Times New Roman"/>
            <w:color w:val="000000" w:themeColor="text1"/>
            <w:szCs w:val="24"/>
          </w:rPr>
          <m:t>p=1.3</m:t>
        </m:r>
      </m:oMath>
      <w:r w:rsidRPr="00A84EB3">
        <w:rPr>
          <w:rFonts w:cs="Times New Roman"/>
          <w:color w:val="000000" w:themeColor="text1"/>
          <w:szCs w:val="24"/>
        </w:rPr>
        <w:t>) or two-stage hurdle structures.</w:t>
      </w:r>
    </w:p>
    <w:p w14:paraId="69D1E0B7" w14:textId="520682C3" w:rsidR="006C0E0F" w:rsidRPr="00A84EB3" w:rsidRDefault="006C0E0F" w:rsidP="00A84EB3">
      <w:pPr>
        <w:spacing w:line="360" w:lineRule="auto"/>
        <w:ind w:firstLine="360"/>
        <w:outlineLvl w:val="1"/>
        <w:rPr>
          <w:rFonts w:cs="Times New Roman"/>
          <w:b/>
          <w:bCs/>
          <w:color w:val="000000" w:themeColor="text1"/>
          <w:szCs w:val="24"/>
        </w:rPr>
      </w:pPr>
      <w:r w:rsidRPr="00A84EB3">
        <w:rPr>
          <w:rFonts w:cs="Times New Roman"/>
          <w:b/>
          <w:bCs/>
          <w:color w:val="000000" w:themeColor="text1"/>
          <w:szCs w:val="24"/>
        </w:rPr>
        <w:t>4.1.3 Flight Delays and Advance vs. Tactical Cancellations</w:t>
      </w:r>
    </w:p>
    <w:p w14:paraId="40D48587" w14:textId="53E5A45C" w:rsidR="006C0E0F" w:rsidRPr="00A84EB3" w:rsidRDefault="006C0E0F" w:rsidP="00A84EB3">
      <w:pPr>
        <w:pStyle w:val="code-line"/>
        <w:spacing w:before="0" w:beforeAutospacing="0" w:after="0" w:afterAutospacing="0" w:line="360" w:lineRule="auto"/>
        <w:rPr>
          <w:color w:val="000000" w:themeColor="text1"/>
        </w:rPr>
      </w:pPr>
      <w:r w:rsidRPr="00A84EB3">
        <w:rPr>
          <w:color w:val="000000" w:themeColor="text1"/>
        </w:rPr>
        <w:t>Across the 13,153,654 domestic departures originating across the candidate airfields, the mean departure delay was 12.70 minutes, with 20.12% of flights experiencing departure delays </w:t>
      </w:r>
      <m:oMath>
        <m:r>
          <w:rPr>
            <w:rFonts w:ascii="Cambria Math" w:hAnsi="Cambria Math"/>
            <w:color w:val="000000" w:themeColor="text1"/>
          </w:rPr>
          <m:t>≥</m:t>
        </m:r>
      </m:oMath>
      <w:r w:rsidRPr="00A84EB3">
        <w:rPr>
          <w:color w:val="000000" w:themeColor="text1"/>
        </w:rPr>
        <w:t> 15 minutes (depDel15) Taxi-out time averaged 18.84 minutes. Flight cancellations accounted for 2.03% of scheduled operations (267,019 flights). Crucially, 99.4% of unassigned aircraft tail numbers (</w:t>
      </w:r>
      <w:proofErr w:type="spellStart"/>
      <w:r w:rsidRPr="00A84EB3">
        <w:rPr>
          <w:color w:val="000000" w:themeColor="text1"/>
        </w:rPr>
        <w:t>aircraftID</w:t>
      </w:r>
      <w:proofErr w:type="spellEnd"/>
      <w:r w:rsidRPr="00A84EB3">
        <w:rPr>
          <w:color w:val="000000" w:themeColor="text1"/>
        </w:rPr>
        <w:t>=0) occurred on cancelled flights. To maintain strict operational timeline causality and prevent lookahead bias in passenger demand modeling:</w:t>
      </w:r>
    </w:p>
    <w:p w14:paraId="3413691B" w14:textId="77777777" w:rsidR="006C0E0F" w:rsidRPr="00A84EB3" w:rsidRDefault="006C0E0F" w:rsidP="00A84EB3">
      <w:pPr>
        <w:pStyle w:val="code-line"/>
        <w:numPr>
          <w:ilvl w:val="0"/>
          <w:numId w:val="15"/>
        </w:numPr>
        <w:spacing w:before="0" w:beforeAutospacing="0" w:after="0" w:afterAutospacing="0" w:line="360" w:lineRule="auto"/>
        <w:rPr>
          <w:color w:val="000000" w:themeColor="text1"/>
        </w:rPr>
      </w:pPr>
      <w:r w:rsidRPr="00A84EB3">
        <w:rPr>
          <w:color w:val="000000" w:themeColor="text1"/>
        </w:rPr>
        <w:t>Advance cancellations (&gt;24 hours pre-departure) were purged from departing seat capacity.</w:t>
      </w:r>
    </w:p>
    <w:p w14:paraId="69B05236" w14:textId="25C0B3AB" w:rsidR="006C0E0F" w:rsidRPr="00A84EB3" w:rsidRDefault="006C0E0F" w:rsidP="00A84EB3">
      <w:pPr>
        <w:pStyle w:val="code-line"/>
        <w:numPr>
          <w:ilvl w:val="0"/>
          <w:numId w:val="15"/>
        </w:numPr>
        <w:spacing w:before="0" w:beforeAutospacing="0" w:after="0" w:afterAutospacing="0" w:line="360" w:lineRule="auto"/>
        <w:rPr>
          <w:color w:val="000000" w:themeColor="text1"/>
        </w:rPr>
      </w:pPr>
      <w:r w:rsidRPr="00A84EB3">
        <w:rPr>
          <w:color w:val="000000" w:themeColor="text1"/>
        </w:rPr>
        <w:t>Tactical cancellations (&lt;2 hours pre-departure) were retained in the passenger demand curve, reflecting the operational reality that affected travelers had already crossed landside security checkpoints prior to the carrier issuing the cancellation.</w:t>
      </w:r>
    </w:p>
    <w:p w14:paraId="623D77DB" w14:textId="77777777" w:rsidR="003C055A" w:rsidRPr="00A84EB3" w:rsidRDefault="003C055A" w:rsidP="00A84EB3">
      <w:pPr>
        <w:spacing w:line="360" w:lineRule="auto"/>
        <w:outlineLvl w:val="1"/>
        <w:rPr>
          <w:rFonts w:cs="Times New Roman"/>
          <w:b/>
          <w:bCs/>
          <w:color w:val="000000" w:themeColor="text1"/>
          <w:szCs w:val="24"/>
        </w:rPr>
      </w:pPr>
      <w:r w:rsidRPr="00A84EB3">
        <w:rPr>
          <w:rFonts w:cs="Times New Roman"/>
          <w:b/>
          <w:bCs/>
          <w:color w:val="000000" w:themeColor="text1"/>
          <w:szCs w:val="24"/>
        </w:rPr>
        <w:t>4.2 The Four-Tiered Purposive Filtering Pipeline</w:t>
      </w:r>
    </w:p>
    <w:p w14:paraId="6B2BFBAD" w14:textId="20111B64" w:rsidR="003C055A" w:rsidRPr="00A84EB3" w:rsidRDefault="003C055A" w:rsidP="00A84EB3">
      <w:pPr>
        <w:spacing w:line="360" w:lineRule="auto"/>
        <w:ind w:firstLine="720"/>
        <w:rPr>
          <w:rFonts w:cs="Times New Roman"/>
          <w:color w:val="000000" w:themeColor="text1"/>
          <w:szCs w:val="24"/>
        </w:rPr>
      </w:pPr>
      <w:r w:rsidRPr="00A84EB3">
        <w:rPr>
          <w:rFonts w:cs="Times New Roman"/>
          <w:color w:val="000000" w:themeColor="text1"/>
          <w:szCs w:val="24"/>
        </w:rPr>
        <w:t xml:space="preserve">To eliminate confounding from multi-carrier passenger pooling and isolate the direct relationship connecting scheduled flight departures to checkpoint queues, commercial airfields were screened through a four-tiered purposive filtering pipeline. “To avoid localized recovery bias, the post-pandemic operational boundary (May 2022 onwards) was established by evaluating longitudinal schedule stability, load factor normalization, and TSA volume across the Top 25 core commercial hub network. Because commercial aviation throughput follows a heavy-tailed Pareto distribution, these 25 airfields represent the top 6% of U.S. commercial airports while capturing over two-thirds (~67%) of total national passenger screening activity. Utilizing this multi-hub network macro aggregate ensures that the temporal boundary reflects systemic </w:t>
      </w:r>
      <w:r w:rsidRPr="00A84EB3">
        <w:rPr>
          <w:rFonts w:cs="Times New Roman"/>
          <w:color w:val="000000" w:themeColor="text1"/>
          <w:szCs w:val="24"/>
        </w:rPr>
        <w:lastRenderedPageBreak/>
        <w:t>steady-state stabilization across the interconnected National Airspace System rather than idiosyncratic node-level recoveries.</w:t>
      </w:r>
    </w:p>
    <w:p w14:paraId="11630400" w14:textId="77777777" w:rsidR="003C055A" w:rsidRPr="00A84EB3" w:rsidRDefault="003C055A" w:rsidP="00A84EB3">
      <w:pPr>
        <w:spacing w:line="360" w:lineRule="auto"/>
        <w:outlineLvl w:val="2"/>
        <w:rPr>
          <w:rFonts w:cs="Times New Roman"/>
          <w:b/>
          <w:bCs/>
          <w:color w:val="000000" w:themeColor="text1"/>
          <w:szCs w:val="24"/>
        </w:rPr>
      </w:pPr>
      <w:r w:rsidRPr="00A84EB3">
        <w:rPr>
          <w:rFonts w:cs="Times New Roman"/>
          <w:b/>
          <w:bCs/>
          <w:color w:val="000000" w:themeColor="text1"/>
          <w:szCs w:val="24"/>
        </w:rPr>
        <w:t>4.2.1 Macro Filter: Scale and Peak-Hour Checkpoint Congestion</w:t>
      </w:r>
    </w:p>
    <w:p w14:paraId="1E9D39E9" w14:textId="77777777" w:rsidR="003C055A" w:rsidRPr="00A84EB3" w:rsidRDefault="003C055A" w:rsidP="00A84EB3">
      <w:pPr>
        <w:spacing w:line="360" w:lineRule="auto"/>
        <w:ind w:firstLine="720"/>
        <w:rPr>
          <w:rFonts w:cs="Times New Roman"/>
          <w:color w:val="000000" w:themeColor="text1"/>
          <w:szCs w:val="24"/>
        </w:rPr>
      </w:pPr>
      <w:r w:rsidRPr="00A84EB3">
        <w:rPr>
          <w:rFonts w:cs="Times New Roman"/>
          <w:color w:val="000000" w:themeColor="text1"/>
          <w:szCs w:val="24"/>
        </w:rPr>
        <w:t>Commercial aviation volume follows a power-law distribution (</w:t>
      </w:r>
      <m:oMath>
        <m:r>
          <w:rPr>
            <w:rFonts w:ascii="Cambria Math" w:hAnsi="Cambria Math" w:cs="Times New Roman"/>
            <w:color w:val="000000" w:themeColor="text1"/>
            <w:szCs w:val="24"/>
          </w:rPr>
          <m:t>P</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X&gt;x</m:t>
            </m:r>
          </m:e>
        </m:d>
        <m: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w:rPr>
                <w:rFonts w:ascii="Cambria Math" w:hAnsi="Cambria Math" w:cs="Times New Roman"/>
                <w:color w:val="000000" w:themeColor="text1"/>
                <w:szCs w:val="24"/>
              </w:rPr>
              <m:t>x</m:t>
            </m:r>
          </m:e>
          <m:sup>
            <m:r>
              <w:rPr>
                <w:rFonts w:ascii="Cambria Math" w:hAnsi="Cambria Math" w:cs="Times New Roman"/>
                <w:color w:val="000000" w:themeColor="text1"/>
                <w:szCs w:val="24"/>
              </w:rPr>
              <m:t>-α</m:t>
            </m:r>
          </m:sup>
        </m:sSup>
        <m:r>
          <w:rPr>
            <w:rFonts w:ascii="Cambria Math" w:hAnsi="Cambria Math" w:cs="Times New Roman"/>
            <w:color w:val="000000" w:themeColor="text1"/>
            <w:szCs w:val="24"/>
          </w:rPr>
          <m:t>,α∼1.15</m:t>
        </m:r>
      </m:oMath>
      <w:r w:rsidRPr="00A84EB3">
        <w:rPr>
          <w:rFonts w:cs="Times New Roman"/>
          <w:color w:val="000000" w:themeColor="text1"/>
          <w:szCs w:val="24"/>
        </w:rPr>
        <w:t>). Restricting the initial candidate pool to the Top 25 commercial airfields captures 67.2% of nationwide domestic flight movements. In airport queueing dynamics, an arrival rate </w:t>
      </w:r>
      <m:oMath>
        <m:r>
          <w:rPr>
            <w:rFonts w:ascii="Cambria Math" w:hAnsi="Cambria Math" w:cs="Times New Roman"/>
            <w:color w:val="000000" w:themeColor="text1"/>
            <w:szCs w:val="24"/>
          </w:rPr>
          <m:t>λ</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oMath>
      <w:r w:rsidRPr="00A84EB3">
        <w:rPr>
          <w:rFonts w:cs="Times New Roman"/>
          <w:color w:val="000000" w:themeColor="text1"/>
          <w:szCs w:val="24"/>
        </w:rPr>
        <w:t> passing through </w:t>
      </w:r>
      <m:oMath>
        <m:r>
          <w:rPr>
            <w:rFonts w:ascii="Cambria Math" w:hAnsi="Cambria Math" w:cs="Times New Roman"/>
            <w:color w:val="000000" w:themeColor="text1"/>
            <w:szCs w:val="24"/>
          </w:rPr>
          <m:t>c</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oMath>
      <w:r w:rsidRPr="00A84EB3">
        <w:rPr>
          <w:rFonts w:cs="Times New Roman"/>
          <w:color w:val="000000" w:themeColor="text1"/>
          <w:szCs w:val="24"/>
        </w:rPr>
        <w:t> screening lanes with service rate </w:t>
      </w:r>
      <m:oMath>
        <m:r>
          <w:rPr>
            <w:rFonts w:ascii="Cambria Math" w:hAnsi="Cambria Math" w:cs="Times New Roman"/>
            <w:color w:val="000000" w:themeColor="text1"/>
            <w:szCs w:val="24"/>
          </w:rPr>
          <m:t>μ</m:t>
        </m:r>
      </m:oMath>
      <w:r w:rsidRPr="00A84EB3">
        <w:rPr>
          <w:rFonts w:cs="Times New Roman"/>
          <w:color w:val="000000" w:themeColor="text1"/>
          <w:szCs w:val="24"/>
        </w:rPr>
        <w:t> exhibits traffic intensity </w:t>
      </w:r>
      <m:oMath>
        <m:r>
          <w:rPr>
            <w:rFonts w:ascii="Cambria Math" w:hAnsi="Cambria Math" w:cs="Times New Roman"/>
            <w:color w:val="000000" w:themeColor="text1"/>
            <w:szCs w:val="24"/>
          </w:rPr>
          <m:t>ρ</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r>
          <w:rPr>
            <w:rFonts w:ascii="Cambria Math" w:hAnsi="Cambria Math" w:cs="Times New Roman"/>
            <w:color w:val="000000" w:themeColor="text1"/>
            <w:szCs w:val="24"/>
          </w:rPr>
          <m:t>=λ</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r>
          <w:rPr>
            <w:rFonts w:ascii="Cambria Math" w:hAnsi="Cambria Math" w:cs="Times New Roman"/>
            <w:color w:val="000000" w:themeColor="text1"/>
            <w:szCs w:val="24"/>
          </w:rPr>
          <m:t>/</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c</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r>
              <w:rPr>
                <w:rFonts w:ascii="Cambria Math" w:hAnsi="Cambria Math" w:cs="Times New Roman"/>
                <w:color w:val="000000" w:themeColor="text1"/>
                <w:szCs w:val="24"/>
              </w:rPr>
              <m:t>⋅μ</m:t>
            </m:r>
          </m:e>
        </m:d>
      </m:oMath>
      <w:r w:rsidRPr="00A84EB3">
        <w:rPr>
          <w:rFonts w:cs="Times New Roman"/>
          <w:color w:val="000000" w:themeColor="text1"/>
          <w:szCs w:val="24"/>
        </w:rPr>
        <w:t>. At small regional airfields (</w:t>
      </w:r>
      <m:oMath>
        <m:r>
          <w:rPr>
            <w:rFonts w:ascii="Cambria Math" w:hAnsi="Cambria Math" w:cs="Times New Roman"/>
            <w:color w:val="000000" w:themeColor="text1"/>
            <w:szCs w:val="24"/>
          </w:rPr>
          <m:t>ρ≪0.3</m:t>
        </m:r>
      </m:oMath>
      <w:r w:rsidRPr="00A84EB3">
        <w:rPr>
          <w:rFonts w:cs="Times New Roman"/>
          <w:color w:val="000000" w:themeColor="text1"/>
          <w:szCs w:val="24"/>
        </w:rPr>
        <w:t>), queues rarely accumulate and throughput simply mirrors unconstrained arrivals without boundary friction. In contrast, Top 25 hubs reach peak-hour checkpoint congestion (</w:t>
      </w:r>
      <m:oMath>
        <m:r>
          <w:rPr>
            <w:rFonts w:ascii="Cambria Math" w:hAnsi="Cambria Math" w:cs="Times New Roman"/>
            <w:color w:val="000000" w:themeColor="text1"/>
            <w:szCs w:val="24"/>
          </w:rPr>
          <m:t>ρ</m:t>
        </m:r>
        <m:d>
          <m:dPr>
            <m:ctrlPr>
              <w:rPr>
                <w:rFonts w:ascii="Cambria Math" w:hAnsi="Cambria Math" w:cs="Times New Roman"/>
                <w:color w:val="000000" w:themeColor="text1"/>
                <w:szCs w:val="24"/>
              </w:rPr>
            </m:ctrlPr>
          </m:dPr>
          <m:e>
            <m:r>
              <w:rPr>
                <w:rFonts w:ascii="Cambria Math" w:hAnsi="Cambria Math" w:cs="Times New Roman"/>
                <w:color w:val="000000" w:themeColor="text1"/>
                <w:szCs w:val="24"/>
              </w:rPr>
              <m:t>t</m:t>
            </m:r>
          </m:e>
        </m:d>
        <m:r>
          <w:rPr>
            <w:rFonts w:ascii="Cambria Math" w:hAnsi="Cambria Math" w:cs="Times New Roman"/>
            <w:color w:val="000000" w:themeColor="text1"/>
            <w:szCs w:val="24"/>
          </w:rPr>
          <m:t>→1.0</m:t>
        </m:r>
      </m:oMath>
      <w:r w:rsidRPr="00A84EB3">
        <w:rPr>
          <w:rFonts w:cs="Times New Roman"/>
          <w:color w:val="000000" w:themeColor="text1"/>
          <w:szCs w:val="24"/>
        </w:rPr>
        <w:t>) during morning and evening departure banks (06:00–08:30 and 16:00–18:30), creating the empirical queue delays and non-linear dynamics required to train and validate congestion-aware models.</w:t>
      </w:r>
    </w:p>
    <w:p w14:paraId="10C3652E" w14:textId="77777777" w:rsidR="003C055A" w:rsidRPr="00A84EB3" w:rsidRDefault="003C055A" w:rsidP="00A84EB3">
      <w:pPr>
        <w:spacing w:line="360" w:lineRule="auto"/>
        <w:outlineLvl w:val="2"/>
        <w:rPr>
          <w:rFonts w:cs="Times New Roman"/>
          <w:b/>
          <w:bCs/>
          <w:color w:val="000000" w:themeColor="text1"/>
          <w:szCs w:val="24"/>
        </w:rPr>
      </w:pPr>
      <w:r w:rsidRPr="00A84EB3">
        <w:rPr>
          <w:rFonts w:cs="Times New Roman"/>
          <w:b/>
          <w:bCs/>
          <w:color w:val="000000" w:themeColor="text1"/>
          <w:szCs w:val="24"/>
        </w:rPr>
        <w:t xml:space="preserve">4.2.2 </w:t>
      </w:r>
      <w:proofErr w:type="spellStart"/>
      <w:r w:rsidRPr="00A84EB3">
        <w:rPr>
          <w:rFonts w:cs="Times New Roman"/>
          <w:b/>
          <w:bCs/>
          <w:color w:val="000000" w:themeColor="text1"/>
          <w:szCs w:val="24"/>
        </w:rPr>
        <w:t>Meso</w:t>
      </w:r>
      <w:proofErr w:type="spellEnd"/>
      <w:r w:rsidRPr="00A84EB3">
        <w:rPr>
          <w:rFonts w:cs="Times New Roman"/>
          <w:b/>
          <w:bCs/>
          <w:color w:val="000000" w:themeColor="text1"/>
          <w:szCs w:val="24"/>
        </w:rPr>
        <w:t xml:space="preserve"> Filter: Airspace Shock Invariance and Southwest Exclusion</w:t>
      </w:r>
    </w:p>
    <w:p w14:paraId="330D5EC4" w14:textId="77777777" w:rsidR="003C055A" w:rsidRPr="00A84EB3" w:rsidRDefault="003C055A" w:rsidP="00A84EB3">
      <w:pPr>
        <w:spacing w:line="360" w:lineRule="auto"/>
        <w:ind w:firstLine="720"/>
        <w:rPr>
          <w:rFonts w:cs="Times New Roman"/>
          <w:color w:val="000000" w:themeColor="text1"/>
          <w:szCs w:val="24"/>
        </w:rPr>
      </w:pPr>
      <w:r w:rsidRPr="00A84EB3">
        <w:rPr>
          <w:rFonts w:cs="Times New Roman"/>
          <w:color w:val="000000" w:themeColor="text1"/>
          <w:szCs w:val="24"/>
        </w:rPr>
        <w:t>By requiring concurrent mainline operations by American, Delta, and United, cross-carrier contrasts evaluate under identical exogenous airspace disruptions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δ</m:t>
            </m:r>
          </m:e>
          <m:sub>
            <m:r>
              <w:rPr>
                <w:rFonts w:ascii="Cambria Math" w:hAnsi="Cambria Math" w:cs="Times New Roman"/>
                <w:color w:val="000000" w:themeColor="text1"/>
                <w:szCs w:val="24"/>
              </w:rPr>
              <m:t>t</m:t>
            </m:r>
          </m:sub>
        </m:sSub>
      </m:oMath>
      <w:r w:rsidRPr="00A84EB3">
        <w:rPr>
          <w:rFonts w:cs="Times New Roman"/>
          <w:color w:val="000000" w:themeColor="text1"/>
          <w:szCs w:val="24"/>
        </w:rPr>
        <w:t>), canceling common weather and FAA ground delay confounders. Furthermore, Southwest Airlines (WN) was systematically excluded from checkpoint pairing. Legacy carrier passengers exhibit consistent passenger arrival timing with unimodal lognormal arrival distributions (</w:t>
      </w:r>
      <m:oMath>
        <m:r>
          <w:rPr>
            <w:rFonts w:ascii="Cambria Math" w:hAnsi="Cambria Math" w:cs="Times New Roman"/>
            <w:color w:val="000000" w:themeColor="text1"/>
            <w:szCs w:val="24"/>
          </w:rPr>
          <m:t>τ∼</m:t>
        </m:r>
        <m:r>
          <m:rPr>
            <m:nor/>
          </m:rPr>
          <w:rPr>
            <w:rFonts w:cs="Times New Roman"/>
            <w:color w:val="000000" w:themeColor="text1"/>
            <w:szCs w:val="24"/>
          </w:rPr>
          <m:t>Lognormal</m:t>
        </m:r>
        <m:d>
          <m:dPr>
            <m:sepChr m:val=","/>
            <m:ctrlPr>
              <w:rPr>
                <w:rFonts w:ascii="Cambria Math" w:hAnsi="Cambria Math" w:cs="Times New Roman"/>
                <w:color w:val="000000" w:themeColor="text1"/>
                <w:szCs w:val="24"/>
              </w:rPr>
            </m:ctrlPr>
          </m:dPr>
          <m:e>
            <m:r>
              <w:rPr>
                <w:rFonts w:ascii="Cambria Math" w:hAnsi="Cambria Math" w:cs="Times New Roman"/>
                <w:color w:val="000000" w:themeColor="text1"/>
                <w:szCs w:val="24"/>
              </w:rPr>
              <m:t>μ</m:t>
            </m:r>
          </m:e>
          <m:e>
            <m:sSup>
              <m:sSupPr>
                <m:ctrlPr>
                  <w:rPr>
                    <w:rFonts w:ascii="Cambria Math" w:hAnsi="Cambria Math" w:cs="Times New Roman"/>
                    <w:color w:val="000000" w:themeColor="text1"/>
                    <w:szCs w:val="24"/>
                  </w:rPr>
                </m:ctrlPr>
              </m:sSupPr>
              <m:e>
                <m:r>
                  <w:rPr>
                    <w:rFonts w:ascii="Cambria Math" w:hAnsi="Cambria Math" w:cs="Times New Roman"/>
                    <w:color w:val="000000" w:themeColor="text1"/>
                    <w:szCs w:val="24"/>
                  </w:rPr>
                  <m:t>σ</m:t>
                </m:r>
              </m:e>
              <m:sup>
                <m:r>
                  <w:rPr>
                    <w:rFonts w:ascii="Cambria Math" w:hAnsi="Cambria Math" w:cs="Times New Roman"/>
                    <w:color w:val="000000" w:themeColor="text1"/>
                    <w:szCs w:val="24"/>
                  </w:rPr>
                  <m:t>2</m:t>
                </m:r>
              </m:sup>
            </m:sSup>
          </m:e>
        </m:d>
        <m:r>
          <w:rPr>
            <w:rFonts w:ascii="Cambria Math" w:hAnsi="Cambria Math" w:cs="Times New Roman"/>
            <w:color w:val="000000" w:themeColor="text1"/>
            <w:szCs w:val="24"/>
          </w:rPr>
          <m:t>,E</m:t>
        </m:r>
        <m:d>
          <m:dPr>
            <m:begChr m:val="["/>
            <m:endChr m:val="]"/>
            <m:ctrlPr>
              <w:rPr>
                <w:rFonts w:ascii="Cambria Math" w:hAnsi="Cambria Math" w:cs="Times New Roman"/>
                <w:color w:val="000000" w:themeColor="text1"/>
                <w:szCs w:val="24"/>
              </w:rPr>
            </m:ctrlPr>
          </m:dPr>
          <m:e>
            <m:r>
              <w:rPr>
                <w:rFonts w:ascii="Cambria Math" w:hAnsi="Cambria Math" w:cs="Times New Roman"/>
                <w:color w:val="000000" w:themeColor="text1"/>
                <w:szCs w:val="24"/>
              </w:rPr>
              <m:t>τ</m:t>
            </m:r>
          </m:e>
        </m:d>
        <m:r>
          <w:rPr>
            <w:rFonts w:ascii="Cambria Math" w:hAnsi="Cambria Math" w:cs="Times New Roman"/>
            <w:color w:val="000000" w:themeColor="text1"/>
            <w:szCs w:val="24"/>
          </w:rPr>
          <m:t>∼105</m:t>
        </m:r>
        <m:r>
          <m:rPr>
            <m:nor/>
          </m:rPr>
          <w:rPr>
            <w:rFonts w:cs="Times New Roman"/>
            <w:color w:val="000000" w:themeColor="text1"/>
            <w:szCs w:val="24"/>
          </w:rPr>
          <m:t> min</m:t>
        </m:r>
      </m:oMath>
      <w:r w:rsidRPr="00A84EB3">
        <w:rPr>
          <w:rFonts w:cs="Times New Roman"/>
          <w:color w:val="000000" w:themeColor="text1"/>
          <w:szCs w:val="24"/>
        </w:rPr>
        <w:t>). In contrast, Southwest's open-seating boarding structure and free baggage policy generate a bimodal arrival mixture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μ</m:t>
            </m:r>
          </m:e>
          <m:sub>
            <m:r>
              <w:rPr>
                <w:rFonts w:ascii="Cambria Math" w:hAnsi="Cambria Math" w:cs="Times New Roman"/>
                <w:color w:val="000000" w:themeColor="text1"/>
                <w:szCs w:val="24"/>
              </w:rPr>
              <m:t>1</m:t>
            </m:r>
          </m:sub>
        </m:sSub>
        <m:r>
          <w:rPr>
            <w:rFonts w:ascii="Cambria Math" w:hAnsi="Cambria Math" w:cs="Times New Roman"/>
            <w:color w:val="000000" w:themeColor="text1"/>
            <w:szCs w:val="24"/>
          </w:rPr>
          <m:t>∼135</m:t>
        </m:r>
        <m:r>
          <m:rPr>
            <m:nor/>
          </m:rPr>
          <w:rPr>
            <w:rFonts w:cs="Times New Roman"/>
            <w:color w:val="000000" w:themeColor="text1"/>
            <w:szCs w:val="24"/>
          </w:rPr>
          <m:t> min</m:t>
        </m:r>
      </m:oMath>
      <w:r w:rsidRPr="00A84EB3">
        <w:rPr>
          <w:rFonts w:cs="Times New Roman"/>
          <w:color w:val="000000" w:themeColor="text1"/>
          <w:szCs w:val="24"/>
        </w:rPr>
        <w:t> for boarding group position;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μ</m:t>
            </m:r>
          </m:e>
          <m:sub>
            <m:r>
              <w:rPr>
                <w:rFonts w:ascii="Cambria Math" w:hAnsi="Cambria Math" w:cs="Times New Roman"/>
                <w:color w:val="000000" w:themeColor="text1"/>
                <w:szCs w:val="24"/>
              </w:rPr>
              <m:t>2</m:t>
            </m:r>
          </m:sub>
        </m:sSub>
        <m:r>
          <w:rPr>
            <w:rFonts w:ascii="Cambria Math" w:hAnsi="Cambria Math" w:cs="Times New Roman"/>
            <w:color w:val="000000" w:themeColor="text1"/>
            <w:szCs w:val="24"/>
          </w:rPr>
          <m:t>∼65</m:t>
        </m:r>
        <m:r>
          <m:rPr>
            <m:nor/>
          </m:rPr>
          <w:rPr>
            <w:rFonts w:cs="Times New Roman"/>
            <w:color w:val="000000" w:themeColor="text1"/>
            <w:szCs w:val="24"/>
          </w:rPr>
          <m:t> min</m:t>
        </m:r>
      </m:oMath>
      <w:r w:rsidRPr="00A84EB3">
        <w:rPr>
          <w:rFonts w:cs="Times New Roman"/>
          <w:color w:val="000000" w:themeColor="text1"/>
          <w:szCs w:val="24"/>
        </w:rPr>
        <w:t> for baggage-free business travelers), violating consistent passenger arrival timing across carrier show-up profiles.</w:t>
      </w:r>
    </w:p>
    <w:p w14:paraId="22F962DE" w14:textId="77777777" w:rsidR="003C055A" w:rsidRPr="00A84EB3" w:rsidRDefault="003C055A" w:rsidP="00A84EB3">
      <w:pPr>
        <w:spacing w:line="360" w:lineRule="auto"/>
        <w:outlineLvl w:val="2"/>
        <w:rPr>
          <w:rFonts w:cs="Times New Roman"/>
          <w:b/>
          <w:bCs/>
          <w:color w:val="000000" w:themeColor="text1"/>
          <w:szCs w:val="24"/>
        </w:rPr>
      </w:pPr>
      <w:r w:rsidRPr="00A84EB3">
        <w:rPr>
          <w:rFonts w:cs="Times New Roman"/>
          <w:b/>
          <w:bCs/>
          <w:color w:val="000000" w:themeColor="text1"/>
          <w:szCs w:val="24"/>
        </w:rPr>
        <w:t>4.2.3 Micro Filter: Carrier Checkpoint Isolation</w:t>
      </w:r>
    </w:p>
    <w:p w14:paraId="54529412" w14:textId="77777777" w:rsidR="003C055A" w:rsidRPr="00A84EB3" w:rsidRDefault="003C055A" w:rsidP="00A84EB3">
      <w:pPr>
        <w:spacing w:line="360" w:lineRule="auto"/>
        <w:ind w:firstLine="720"/>
        <w:rPr>
          <w:rFonts w:cs="Times New Roman"/>
          <w:color w:val="000000" w:themeColor="text1"/>
          <w:szCs w:val="24"/>
        </w:rPr>
      </w:pPr>
      <w:r w:rsidRPr="00A84EB3">
        <w:rPr>
          <w:rFonts w:cs="Times New Roman"/>
          <w:color w:val="000000" w:themeColor="text1"/>
          <w:szCs w:val="24"/>
        </w:rPr>
        <w:t>In shared terminals (e.g., Salt Lake City or Phoenix), multiple airlines feed shared screening lanes. Because hub carriers synchronize departure banks, carrier flight schedules are highly collinear (</w:t>
      </w:r>
      <m:oMath>
        <m:r>
          <m:rPr>
            <m:nor/>
          </m:rPr>
          <w:rPr>
            <w:rFonts w:cs="Times New Roman"/>
            <w:color w:val="000000" w:themeColor="text1"/>
            <w:szCs w:val="24"/>
          </w:rPr>
          <m:t>Corr</m:t>
        </m:r>
        <m:d>
          <m:dPr>
            <m:sepChr m:val=","/>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S</m:t>
                </m:r>
              </m:e>
              <m:sub>
                <m:r>
                  <w:rPr>
                    <w:rFonts w:ascii="Cambria Math" w:hAnsi="Cambria Math" w:cs="Times New Roman"/>
                    <w:color w:val="000000" w:themeColor="text1"/>
                    <w:szCs w:val="24"/>
                  </w:rPr>
                  <m:t>j</m:t>
                </m:r>
              </m:sub>
            </m:sSub>
          </m:e>
          <m:e>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S</m:t>
                </m:r>
              </m:e>
              <m:sub>
                <m:sSup>
                  <m:sSupPr>
                    <m:ctrlPr>
                      <w:rPr>
                        <w:rFonts w:ascii="Cambria Math" w:hAnsi="Cambria Math" w:cs="Times New Roman"/>
                        <w:color w:val="000000" w:themeColor="text1"/>
                        <w:szCs w:val="24"/>
                      </w:rPr>
                    </m:ctrlPr>
                  </m:sSupPr>
                  <m:e>
                    <m:r>
                      <w:rPr>
                        <w:rFonts w:ascii="Cambria Math" w:hAnsi="Cambria Math" w:cs="Times New Roman"/>
                        <w:color w:val="000000" w:themeColor="text1"/>
                        <w:szCs w:val="24"/>
                      </w:rPr>
                      <m:t>j</m:t>
                    </m:r>
                  </m:e>
                  <m:sup>
                    <m:r>
                      <w:rPr>
                        <w:rFonts w:ascii="Cambria Math" w:hAnsi="Cambria Math" w:cs="Times New Roman"/>
                        <w:color w:val="000000" w:themeColor="text1"/>
                        <w:szCs w:val="24"/>
                      </w:rPr>
                      <m:t>'</m:t>
                    </m:r>
                  </m:sup>
                </m:sSup>
              </m:sub>
            </m:sSub>
          </m:e>
        </m:d>
        <m:r>
          <w:rPr>
            <w:rFonts w:ascii="Cambria Math" w:hAnsi="Cambria Math" w:cs="Times New Roman"/>
            <w:color w:val="000000" w:themeColor="text1"/>
            <w:szCs w:val="24"/>
          </w:rPr>
          <m:t>≥0.88</m:t>
        </m:r>
      </m:oMath>
      <w:r w:rsidRPr="00A84EB3">
        <w:rPr>
          <w:rFonts w:cs="Times New Roman"/>
          <w:color w:val="000000" w:themeColor="text1"/>
          <w:szCs w:val="24"/>
        </w:rPr>
        <w:t>), creating severe collinearity where individual airline demand contributions cannot be mathematically separated. Restricting analysis to carrier-exclusive checkpoints isolates single-carrier operations:</w:t>
      </w:r>
    </w:p>
    <w:p w14:paraId="7F0763EE" w14:textId="77777777" w:rsidR="003C055A" w:rsidRPr="00A84EB3" w:rsidRDefault="003C055A" w:rsidP="00A84EB3">
      <w:pPr>
        <w:spacing w:line="360" w:lineRule="auto"/>
        <w:rPr>
          <w:rFonts w:cs="Times New Roman"/>
          <w:color w:val="000000" w:themeColor="text1"/>
          <w:szCs w:val="24"/>
        </w:rPr>
      </w:pPr>
      <m:oMathPara>
        <m:oMath>
          <m:r>
            <w:rPr>
              <w:rFonts w:ascii="Cambria Math" w:hAnsi="Cambria Math" w:cs="Times New Roman"/>
              <w:color w:val="000000" w:themeColor="text1"/>
              <w:szCs w:val="24"/>
            </w:rPr>
            <m:t>P</m:t>
          </m:r>
          <m:d>
            <m:dPr>
              <m:ctrlPr>
                <w:rPr>
                  <w:rFonts w:ascii="Cambria Math" w:hAnsi="Cambria Math" w:cs="Times New Roman"/>
                  <w:color w:val="000000" w:themeColor="text1"/>
                  <w:szCs w:val="24"/>
                </w:rPr>
              </m:ctrlPr>
            </m:dPr>
            <m:e>
              <m:r>
                <m:rPr>
                  <m:nor/>
                </m:rPr>
                <w:rPr>
                  <w:rFonts w:cs="Times New Roman"/>
                  <w:color w:val="000000" w:themeColor="text1"/>
                  <w:szCs w:val="24"/>
                </w:rPr>
                <m:t>Carrier</m:t>
              </m:r>
              <m: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w:rPr>
                      <w:rFonts w:ascii="Cambria Math" w:hAnsi="Cambria Math" w:cs="Times New Roman"/>
                      <w:color w:val="000000" w:themeColor="text1"/>
                      <w:szCs w:val="24"/>
                    </w:rPr>
                    <m:t>j</m:t>
                  </m:r>
                </m:e>
                <m:sup>
                  <m:r>
                    <w:rPr>
                      <w:rFonts w:ascii="Cambria Math" w:hAnsi="Cambria Math" w:cs="Times New Roman"/>
                      <w:color w:val="000000" w:themeColor="text1"/>
                      <w:szCs w:val="24"/>
                    </w:rPr>
                    <m:t>*</m:t>
                  </m:r>
                </m:sup>
              </m:sSup>
              <m:r>
                <w:rPr>
                  <w:rFonts w:ascii="Cambria Math" w:hAnsi="Cambria Math" w:cs="Times New Roman"/>
                  <w:color w:val="000000" w:themeColor="text1"/>
                  <w:szCs w:val="24"/>
                </w:rPr>
                <m:t>∣</m:t>
              </m:r>
              <m:r>
                <m:rPr>
                  <m:nor/>
                </m:rPr>
                <w:rPr>
                  <w:rFonts w:cs="Times New Roman"/>
                  <w:color w:val="000000" w:themeColor="text1"/>
                  <w:szCs w:val="24"/>
                </w:rPr>
                <m:t>Checkpoint </m:t>
              </m:r>
              <m:r>
                <w:rPr>
                  <w:rFonts w:ascii="Cambria Math" w:hAnsi="Cambria Math" w:cs="Times New Roman"/>
                  <w:color w:val="000000" w:themeColor="text1"/>
                  <w:szCs w:val="24"/>
                </w:rPr>
                <m:t>k</m:t>
              </m:r>
            </m:e>
          </m:d>
          <m:r>
            <w:rPr>
              <w:rFonts w:ascii="Cambria Math" w:hAnsi="Cambria Math" w:cs="Times New Roman"/>
              <w:color w:val="000000" w:themeColor="text1"/>
              <w:szCs w:val="24"/>
            </w:rPr>
            <m:t>=1.0</m:t>
          </m:r>
        </m:oMath>
      </m:oMathPara>
    </w:p>
    <w:p w14:paraId="5991A928" w14:textId="77777777" w:rsidR="003C055A" w:rsidRPr="00A84EB3" w:rsidRDefault="003C055A" w:rsidP="00A84EB3">
      <w:pPr>
        <w:spacing w:line="360" w:lineRule="auto"/>
        <w:ind w:firstLine="720"/>
        <w:rPr>
          <w:rFonts w:cs="Times New Roman"/>
          <w:color w:val="000000" w:themeColor="text1"/>
          <w:szCs w:val="24"/>
        </w:rPr>
      </w:pPr>
      <w:r w:rsidRPr="00A84EB3">
        <w:rPr>
          <w:rFonts w:cs="Times New Roman"/>
          <w:color w:val="000000" w:themeColor="text1"/>
          <w:szCs w:val="24"/>
        </w:rPr>
        <w:t>This Carrier Checkpoint Isolation eliminates multi-carrier schedule overlap (</w:t>
      </w:r>
      <m:oMath>
        <m:r>
          <w:rPr>
            <w:rFonts w:ascii="Cambria Math" w:hAnsi="Cambria Math" w:cs="Times New Roman"/>
            <w:color w:val="000000" w:themeColor="text1"/>
            <w:szCs w:val="24"/>
          </w:rPr>
          <m:t>κ&lt;25</m:t>
        </m:r>
      </m:oMath>
      <w:r w:rsidRPr="00A84EB3">
        <w:rPr>
          <w:rFonts w:cs="Times New Roman"/>
          <w:color w:val="000000" w:themeColor="text1"/>
          <w:szCs w:val="24"/>
        </w:rPr>
        <w:t>), directly mapping carrier flight banks to physical checkpoint throughput.</w:t>
      </w:r>
    </w:p>
    <w:p w14:paraId="44133B92" w14:textId="77777777" w:rsidR="003C055A" w:rsidRPr="00A84EB3" w:rsidRDefault="003C055A" w:rsidP="00A84EB3">
      <w:pPr>
        <w:spacing w:line="360" w:lineRule="auto"/>
        <w:outlineLvl w:val="2"/>
        <w:rPr>
          <w:rFonts w:cs="Times New Roman"/>
          <w:b/>
          <w:bCs/>
          <w:color w:val="000000" w:themeColor="text1"/>
          <w:szCs w:val="24"/>
        </w:rPr>
      </w:pPr>
      <w:r w:rsidRPr="00A84EB3">
        <w:rPr>
          <w:rFonts w:cs="Times New Roman"/>
          <w:b/>
          <w:bCs/>
          <w:color w:val="000000" w:themeColor="text1"/>
          <w:szCs w:val="24"/>
        </w:rPr>
        <w:lastRenderedPageBreak/>
        <w:t>4.2.4 Experimental Factorial Grid and Candidate Justifications</w:t>
      </w:r>
    </w:p>
    <w:p w14:paraId="30E13A4A" w14:textId="77777777" w:rsidR="003C055A" w:rsidRPr="00A84EB3" w:rsidRDefault="003C055A" w:rsidP="00A84EB3">
      <w:pPr>
        <w:spacing w:line="360" w:lineRule="auto"/>
        <w:ind w:firstLine="360"/>
        <w:rPr>
          <w:rFonts w:cs="Times New Roman"/>
          <w:color w:val="000000" w:themeColor="text1"/>
          <w:szCs w:val="24"/>
        </w:rPr>
      </w:pPr>
      <w:r w:rsidRPr="00A84EB3">
        <w:rPr>
          <w:rFonts w:cs="Times New Roman"/>
          <w:color w:val="000000" w:themeColor="text1"/>
          <w:szCs w:val="24"/>
        </w:rPr>
        <w:t>The filtering pipeline yielded the 9-Airport Experimental Cohort (BOS, DFW, DTW, EWR, IAH, LAX, LGA, ORD, PHL), achieving complete factorial balance:</w:t>
      </w:r>
    </w:p>
    <w:p w14:paraId="4B85F216" w14:textId="77777777" w:rsidR="003C055A" w:rsidRPr="00A84EB3" w:rsidRDefault="003C055A" w:rsidP="00A84EB3">
      <w:pPr>
        <w:numPr>
          <w:ilvl w:val="0"/>
          <w:numId w:val="13"/>
        </w:numPr>
        <w:spacing w:line="360" w:lineRule="auto"/>
        <w:rPr>
          <w:rFonts w:cs="Times New Roman"/>
          <w:color w:val="000000" w:themeColor="text1"/>
          <w:szCs w:val="24"/>
        </w:rPr>
      </w:pPr>
      <w:r w:rsidRPr="00A84EB3">
        <w:rPr>
          <w:rFonts w:cs="Times New Roman"/>
          <w:color w:val="000000" w:themeColor="text1"/>
          <w:szCs w:val="24"/>
        </w:rPr>
        <w:t>Carrier Symmetry: Exactly 4 dedicated environments per legacy carrier (AA: 4, DL: 4, UA: 4).</w:t>
      </w:r>
    </w:p>
    <w:p w14:paraId="6CA52196" w14:textId="77777777" w:rsidR="003C055A" w:rsidRPr="00A84EB3" w:rsidRDefault="003C055A" w:rsidP="00A84EB3">
      <w:pPr>
        <w:numPr>
          <w:ilvl w:val="0"/>
          <w:numId w:val="13"/>
        </w:numPr>
        <w:spacing w:line="360" w:lineRule="auto"/>
        <w:rPr>
          <w:rFonts w:cs="Times New Roman"/>
          <w:color w:val="000000" w:themeColor="text1"/>
          <w:szCs w:val="24"/>
        </w:rPr>
      </w:pPr>
      <w:r w:rsidRPr="00A84EB3">
        <w:rPr>
          <w:rFonts w:cs="Times New Roman"/>
          <w:color w:val="000000" w:themeColor="text1"/>
          <w:szCs w:val="24"/>
        </w:rPr>
        <w:t>Cluster Balance: Representation across all 4 operational clusters identified in the cluster analysis.</w:t>
      </w:r>
    </w:p>
    <w:p w14:paraId="16067167" w14:textId="77777777" w:rsidR="003C055A" w:rsidRPr="00A84EB3" w:rsidRDefault="003C055A" w:rsidP="00A84EB3">
      <w:pPr>
        <w:numPr>
          <w:ilvl w:val="0"/>
          <w:numId w:val="13"/>
        </w:numPr>
        <w:spacing w:line="360" w:lineRule="auto"/>
        <w:rPr>
          <w:rFonts w:cs="Times New Roman"/>
          <w:color w:val="000000" w:themeColor="text1"/>
          <w:szCs w:val="24"/>
        </w:rPr>
      </w:pPr>
      <w:r w:rsidRPr="00A84EB3">
        <w:rPr>
          <w:rFonts w:cs="Times New Roman"/>
          <w:color w:val="000000" w:themeColor="text1"/>
          <w:szCs w:val="24"/>
        </w:rPr>
        <w:t xml:space="preserve">LGA vs. JFK Rationale: United Airlines permanently vacated JFK in October 2022 (failing </w:t>
      </w:r>
      <w:proofErr w:type="spellStart"/>
      <w:r w:rsidRPr="00A84EB3">
        <w:rPr>
          <w:rFonts w:cs="Times New Roman"/>
          <w:color w:val="000000" w:themeColor="text1"/>
          <w:szCs w:val="24"/>
        </w:rPr>
        <w:t>Meso</w:t>
      </w:r>
      <w:proofErr w:type="spellEnd"/>
      <w:r w:rsidRPr="00A84EB3">
        <w:rPr>
          <w:rFonts w:cs="Times New Roman"/>
          <w:color w:val="000000" w:themeColor="text1"/>
          <w:szCs w:val="24"/>
        </w:rPr>
        <w:t xml:space="preserve"> continuity), whereas LGA opened Delta's consolidated Terminal C in June 2022, providing unconfounded screening lanes (TC-CHK, CHK West).</w:t>
      </w:r>
    </w:p>
    <w:p w14:paraId="27497059" w14:textId="3D586E3B" w:rsidR="00D66232" w:rsidRPr="00A84EB3" w:rsidRDefault="003C055A" w:rsidP="00A84EB3">
      <w:pPr>
        <w:numPr>
          <w:ilvl w:val="0"/>
          <w:numId w:val="13"/>
        </w:numPr>
        <w:spacing w:line="360" w:lineRule="auto"/>
        <w:rPr>
          <w:rFonts w:cs="Times New Roman"/>
          <w:color w:val="000000" w:themeColor="text1"/>
          <w:szCs w:val="24"/>
        </w:rPr>
      </w:pPr>
      <w:r w:rsidRPr="00A84EB3">
        <w:rPr>
          <w:rFonts w:cs="Times New Roman"/>
          <w:color w:val="000000" w:themeColor="text1"/>
          <w:szCs w:val="24"/>
        </w:rPr>
        <w:t>PHL vs. SLC Rationale: Salt Lake City funnels all carriers through a single consolidated central screening checkpoint, making carrier isolation impossible. Philadelphia International (PHL) provides dedicated American Airlines checkpoints (Terminals B and C), establishing an East Coast fortress control counterpart to Delta's Midwestern fortress at DTW.</w:t>
      </w:r>
    </w:p>
    <w:p w14:paraId="60689AA6" w14:textId="6C47F5CC" w:rsidR="001B12E4" w:rsidRPr="00A84EB3" w:rsidRDefault="00790025" w:rsidP="00A84EB3">
      <w:pPr>
        <w:spacing w:line="360" w:lineRule="auto"/>
        <w:rPr>
          <w:rFonts w:cs="Times New Roman"/>
          <w:b/>
          <w:bCs/>
          <w:color w:val="000000" w:themeColor="text1"/>
          <w:szCs w:val="24"/>
        </w:rPr>
      </w:pPr>
      <w:r w:rsidRPr="00A84EB3">
        <w:rPr>
          <w:rFonts w:cs="Times New Roman"/>
          <w:b/>
          <w:bCs/>
          <w:color w:val="000000" w:themeColor="text1"/>
          <w:szCs w:val="24"/>
        </w:rPr>
        <w:t>4.3 Empirical Operational Clusters and Systemic Trends</w:t>
      </w:r>
    </w:p>
    <w:p w14:paraId="701AC603" w14:textId="77777777" w:rsidR="001B12E4" w:rsidRPr="00A84EB3" w:rsidRDefault="001B12E4" w:rsidP="00A84EB3">
      <w:pPr>
        <w:pStyle w:val="Heading3"/>
        <w:spacing w:before="0" w:line="360" w:lineRule="auto"/>
        <w:rPr>
          <w:rFonts w:ascii="Times New Roman" w:hAnsi="Times New Roman" w:cs="Times New Roman"/>
          <w:b/>
          <w:bCs/>
          <w:color w:val="000000" w:themeColor="text1"/>
        </w:rPr>
      </w:pPr>
      <w:r w:rsidRPr="00A84EB3">
        <w:rPr>
          <w:rFonts w:ascii="Times New Roman" w:hAnsi="Times New Roman" w:cs="Times New Roman"/>
          <w:b/>
          <w:bCs/>
          <w:color w:val="000000" w:themeColor="text1"/>
        </w:rPr>
        <w:t>4.3.1 The Hub Disconnect: Connecting vs. Local Originating Passengers</w:t>
      </w:r>
    </w:p>
    <w:p w14:paraId="4E2B5168" w14:textId="77777777" w:rsidR="001B12E4" w:rsidRPr="00A84EB3" w:rsidRDefault="001B12E4" w:rsidP="00A84EB3">
      <w:pPr>
        <w:pStyle w:val="code-line"/>
        <w:spacing w:before="0" w:beforeAutospacing="0" w:after="0" w:afterAutospacing="0" w:line="360" w:lineRule="auto"/>
        <w:ind w:firstLine="720"/>
        <w:rPr>
          <w:color w:val="000000" w:themeColor="text1"/>
        </w:rPr>
      </w:pPr>
      <w:r w:rsidRPr="00A84EB3">
        <w:rPr>
          <w:color w:val="000000" w:themeColor="text1"/>
        </w:rPr>
        <w:t>A central empirical finding is the structural disconnect between airside scheduled flight departures and landside security screening volume at major hub airports. In traditional airport planning, security demand is frequently estimated directly from scheduled departures. At connecting hubs such as Charlotte (CLT), total departing seat capacity exceeded 34 million passengers, yet total TSA checkpoint throughput was only 28.2 million. Incorporating the BTS DB1C </w:t>
      </w:r>
      <w:r w:rsidRPr="00A84EB3">
        <w:rPr>
          <w:rStyle w:val="Strong"/>
          <w:color w:val="000000" w:themeColor="text1"/>
        </w:rPr>
        <w:t>76.0% connecting ratio</w:t>
      </w:r>
      <w:r w:rsidRPr="00A84EB3">
        <w:rPr>
          <w:color w:val="000000" w:themeColor="text1"/>
        </w:rPr>
        <w:t> resolves this disconnect: over 26 million passengers transferred airside between concourses without ever entering landside security queues. Applying a Connecting Passenger Deflator by multiplying flight seats by </w:t>
      </w:r>
      <m:oMath>
        <m:d>
          <m:dPr>
            <m:ctrlPr>
              <w:rPr>
                <w:rFonts w:ascii="Cambria Math" w:hAnsi="Cambria Math"/>
                <w:color w:val="000000" w:themeColor="text1"/>
              </w:rPr>
            </m:ctrlPr>
          </m:dPr>
          <m:e>
            <m:r>
              <w:rPr>
                <w:rFonts w:ascii="Cambria Math" w:hAnsi="Cambria Math"/>
                <w:color w:val="000000" w:themeColor="text1"/>
              </w:rPr>
              <m:t>1-</m:t>
            </m:r>
            <m:r>
              <m:rPr>
                <m:nor/>
              </m:rPr>
              <w:rPr>
                <w:color w:val="000000" w:themeColor="text1"/>
              </w:rPr>
              <m:t>Connecting Ratio</m:t>
            </m:r>
          </m:e>
        </m:d>
      </m:oMath>
      <w:r w:rsidRPr="00A84EB3">
        <w:rPr>
          <w:color w:val="000000" w:themeColor="text1"/>
        </w:rPr>
        <w:t> properly isolates local originating demand; failing to do so causes status-quo planning models to overpredict checkpoint volume by over 200%.</w:t>
      </w:r>
    </w:p>
    <w:p w14:paraId="6EDEE768" w14:textId="77777777" w:rsidR="001B12E4" w:rsidRPr="00A84EB3" w:rsidRDefault="001B12E4" w:rsidP="00A84EB3">
      <w:pPr>
        <w:pStyle w:val="Heading3"/>
        <w:spacing w:before="0" w:line="360" w:lineRule="auto"/>
        <w:rPr>
          <w:rFonts w:ascii="Times New Roman" w:hAnsi="Times New Roman" w:cs="Times New Roman"/>
          <w:b/>
          <w:bCs/>
          <w:color w:val="000000" w:themeColor="text1"/>
        </w:rPr>
      </w:pPr>
      <w:r w:rsidRPr="00A84EB3">
        <w:rPr>
          <w:rFonts w:ascii="Times New Roman" w:hAnsi="Times New Roman" w:cs="Times New Roman"/>
          <w:b/>
          <w:bCs/>
          <w:color w:val="000000" w:themeColor="text1"/>
        </w:rPr>
        <w:t>4.3.2 Delay Transmission Divergence</w:t>
      </w:r>
    </w:p>
    <w:p w14:paraId="78607ECF" w14:textId="77777777" w:rsidR="001B12E4" w:rsidRPr="00A84EB3" w:rsidRDefault="001B12E4" w:rsidP="00A84EB3">
      <w:pPr>
        <w:pStyle w:val="code-line"/>
        <w:spacing w:before="0" w:beforeAutospacing="0" w:after="0" w:afterAutospacing="0" w:line="360" w:lineRule="auto"/>
        <w:ind w:firstLine="720"/>
        <w:rPr>
          <w:color w:val="000000" w:themeColor="text1"/>
        </w:rPr>
      </w:pPr>
      <w:r w:rsidRPr="00A84EB3">
        <w:rPr>
          <w:color w:val="000000" w:themeColor="text1"/>
        </w:rPr>
        <w:t xml:space="preserve">Cluster 2 airfields (DTW, MSP, SLC, PHL) handle immense connecting volume with exceptional fluidity (mean delay = 11.6 min; taxi-out = 18.7 min). Conversely, Cluster 3 airfields (EWR, JFK, LGA) suffer chronic delay burdens (mean delay = 16.1 min; taxi-out = 24.3 min) </w:t>
      </w:r>
      <w:r w:rsidRPr="00A84EB3">
        <w:rPr>
          <w:color w:val="000000" w:themeColor="text1"/>
        </w:rPr>
        <w:lastRenderedPageBreak/>
        <w:t>despite operating smaller regional gauge (154 seats at LGA), demonstrating that terminal congestion is driven by airspace slot caps and runway geometry rather than passenger volume alone.</w:t>
      </w:r>
    </w:p>
    <w:p w14:paraId="6F03A02A" w14:textId="77777777" w:rsidR="00790025" w:rsidRPr="00A84EB3" w:rsidRDefault="00790025" w:rsidP="00A84EB3">
      <w:pPr>
        <w:pStyle w:val="Heading3"/>
        <w:spacing w:before="0" w:line="360" w:lineRule="auto"/>
        <w:rPr>
          <w:rFonts w:ascii="Times New Roman" w:hAnsi="Times New Roman" w:cs="Times New Roman"/>
          <w:b/>
          <w:bCs/>
          <w:color w:val="000000" w:themeColor="text1"/>
        </w:rPr>
      </w:pPr>
      <w:r w:rsidRPr="00A84EB3">
        <w:rPr>
          <w:rFonts w:ascii="Times New Roman" w:hAnsi="Times New Roman" w:cs="Times New Roman"/>
          <w:b/>
          <w:bCs/>
          <w:color w:val="000000" w:themeColor="text1"/>
        </w:rPr>
        <w:t>4.3.3 Empirical Coupled Volatility Regimes (TSA Throughput vs. BTS Flight Operations)</w:t>
      </w:r>
    </w:p>
    <w:p w14:paraId="792460AB" w14:textId="77777777" w:rsidR="00790025" w:rsidRPr="00A84EB3" w:rsidRDefault="00790025" w:rsidP="00A84EB3">
      <w:pPr>
        <w:pStyle w:val="code-line"/>
        <w:spacing w:before="0" w:beforeAutospacing="0" w:after="0" w:afterAutospacing="0" w:line="360" w:lineRule="auto"/>
        <w:ind w:firstLine="720"/>
        <w:rPr>
          <w:color w:val="000000" w:themeColor="text1"/>
        </w:rPr>
      </w:pPr>
      <w:r w:rsidRPr="00A84EB3">
        <w:rPr>
          <w:color w:val="000000" w:themeColor="text1"/>
        </w:rPr>
        <w:t xml:space="preserve">While baseline flight movements follow published carrier schedules, security queue congestion and operational failure modes emerge from the dynamic variance mismatch between landside passenger arrivals and airside flight departures. To parameterize this operational turbulence, daily observations across the Top 25 airfields (May 1, </w:t>
      </w:r>
      <w:proofErr w:type="gramStart"/>
      <w:r w:rsidRPr="00A84EB3">
        <w:rPr>
          <w:color w:val="000000" w:themeColor="text1"/>
        </w:rPr>
        <w:t>2022</w:t>
      </w:r>
      <w:proofErr w:type="gramEnd"/>
      <w:r w:rsidRPr="00A84EB3">
        <w:rPr>
          <w:color w:val="000000" w:themeColor="text1"/>
        </w:rPr>
        <w:t xml:space="preserve"> to December 31, 2025; 1,341 calendar days) were clustered across coupled volatility dimensions: within-day TSA arrival coefficient of variation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A84EB3">
        <w:rPr>
          <w:color w:val="000000" w:themeColor="text1"/>
        </w:rPr>
        <w:t>), checkpoint peak-to-mean surge ratios, flight departure delay dispersion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Delay</m:t>
            </m:r>
          </m:sub>
        </m:sSub>
      </m:oMath>
      <w:r w:rsidRPr="00A84EB3">
        <w:rPr>
          <w:color w:val="000000" w:themeColor="text1"/>
        </w:rPr>
        <w:t>), the Coupled Volatility Index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Delay</m:t>
            </m:r>
          </m:sub>
        </m:sSub>
      </m:oMath>
      <w:r w:rsidRPr="00A84EB3">
        <w:rPr>
          <w:color w:val="000000" w:themeColor="text1"/>
        </w:rPr>
        <w:t>), and flight cancellation rates.</w:t>
      </w:r>
    </w:p>
    <w:p w14:paraId="039D723E" w14:textId="77777777" w:rsidR="00790025" w:rsidRPr="00A84EB3" w:rsidRDefault="00790025" w:rsidP="00A84EB3">
      <w:pPr>
        <w:pStyle w:val="code-line"/>
        <w:spacing w:before="0" w:beforeAutospacing="0" w:after="0" w:afterAutospacing="0" w:line="360" w:lineRule="auto"/>
        <w:ind w:firstLine="720"/>
        <w:rPr>
          <w:color w:val="000000" w:themeColor="text1"/>
        </w:rPr>
      </w:pPr>
      <w:r w:rsidRPr="00A84EB3">
        <w:rPr>
          <w:color w:val="000000" w:themeColor="text1"/>
        </w:rPr>
        <w:t xml:space="preserve">As detailed in Table 4.3b, the annual calendar separates into four distinct macroeconomic volatility regimes. Flight departure </w:t>
      </w:r>
      <w:proofErr w:type="gramStart"/>
      <w:r w:rsidRPr="00A84EB3">
        <w:rPr>
          <w:color w:val="000000" w:themeColor="text1"/>
        </w:rPr>
        <w:t>delay</w:t>
      </w:r>
      <w:proofErr w:type="gramEnd"/>
      <w:r w:rsidRPr="00A84EB3">
        <w:rPr>
          <w:color w:val="000000" w:themeColor="text1"/>
        </w:rPr>
        <w:t xml:space="preserve"> standard deviation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Delay</m:t>
            </m:r>
          </m:sub>
        </m:sSub>
      </m:oMath>
      <w:r w:rsidRPr="00A84EB3">
        <w:rPr>
          <w:color w:val="000000" w:themeColor="text1"/>
        </w:rPr>
        <w:t>) scales monotonically from 46.09 minutes during the winter and mid-autumn lull (Off-Peak) to 68.43 minutes during the summer convective peak (a +48.5% dispersion expansion). Concurrently, the Coupled Volatility Index escalates from 27.85 to 39.36 (+41.3%), while flight cancellation rates more than triple from 0.89% to 3.16%.</w:t>
      </w:r>
    </w:p>
    <w:p w14:paraId="49E00E94" w14:textId="77777777" w:rsidR="004F6809" w:rsidRPr="00A84EB3" w:rsidRDefault="004F6809" w:rsidP="00A84EB3">
      <w:pPr>
        <w:pStyle w:val="Heading3"/>
        <w:spacing w:before="0" w:line="360" w:lineRule="auto"/>
        <w:rPr>
          <w:rFonts w:ascii="Times New Roman" w:hAnsi="Times New Roman" w:cs="Times New Roman"/>
          <w:color w:val="000000" w:themeColor="text1"/>
        </w:rPr>
      </w:pPr>
      <w:r w:rsidRPr="00A84EB3">
        <w:rPr>
          <w:rFonts w:ascii="Times New Roman" w:hAnsi="Times New Roman" w:cs="Times New Roman"/>
          <w:color w:val="000000" w:themeColor="text1"/>
        </w:rPr>
        <w:t>4.3.4 Day-of-Week Cyclical Dynamics and Operational Archetypes</w:t>
      </w:r>
    </w:p>
    <w:p w14:paraId="339C3116" w14:textId="77777777" w:rsidR="004F6809" w:rsidRPr="00A84EB3" w:rsidRDefault="004F6809" w:rsidP="00A84EB3">
      <w:pPr>
        <w:pStyle w:val="code-line"/>
        <w:spacing w:before="0" w:beforeAutospacing="0" w:after="0" w:afterAutospacing="0" w:line="360" w:lineRule="auto"/>
        <w:rPr>
          <w:color w:val="000000" w:themeColor="text1"/>
        </w:rPr>
      </w:pPr>
      <w:r w:rsidRPr="00A84EB3">
        <w:rPr>
          <w:color w:val="000000" w:themeColor="text1"/>
        </w:rPr>
        <w:t>Weekly airline operations exhibit pronounced structural cycles governed by business versus leisure traveler distributions. Standardizing observations under ISO 8601 (</w:t>
      </w:r>
      <m:oMath>
        <m:r>
          <w:rPr>
            <w:rFonts w:ascii="Cambria Math" w:hAnsi="Cambria Math"/>
            <w:color w:val="000000" w:themeColor="text1"/>
          </w:rPr>
          <m:t>1=</m:t>
        </m:r>
        <m:r>
          <m:rPr>
            <m:nor/>
          </m:rPr>
          <w:rPr>
            <w:color w:val="000000" w:themeColor="text1"/>
          </w:rPr>
          <m:t>Monday</m:t>
        </m:r>
        <m:r>
          <w:rPr>
            <w:rFonts w:ascii="Cambria Math" w:hAnsi="Cambria Math"/>
            <w:color w:val="000000" w:themeColor="text1"/>
          </w:rPr>
          <m:t>,…,7=</m:t>
        </m:r>
        <m:r>
          <m:rPr>
            <m:nor/>
          </m:rPr>
          <w:rPr>
            <w:color w:val="000000" w:themeColor="text1"/>
          </w:rPr>
          <m:t>Sunday</m:t>
        </m:r>
      </m:oMath>
      <w:r w:rsidRPr="00A84EB3">
        <w:rPr>
          <w:color w:val="000000" w:themeColor="text1"/>
        </w:rPr>
        <w:t>) reveals clear operational volatility archetypes across the Top 25 network (Table 4.4a):</w:t>
      </w:r>
    </w:p>
    <w:p w14:paraId="0A13F35C" w14:textId="77777777" w:rsidR="004F6809" w:rsidRPr="00A84EB3" w:rsidRDefault="004F6809" w:rsidP="00A84EB3">
      <w:pPr>
        <w:pStyle w:val="code-line"/>
        <w:numPr>
          <w:ilvl w:val="0"/>
          <w:numId w:val="16"/>
        </w:numPr>
        <w:spacing w:before="0" w:beforeAutospacing="0" w:after="0" w:afterAutospacing="0" w:line="360" w:lineRule="auto"/>
        <w:rPr>
          <w:color w:val="000000" w:themeColor="text1"/>
        </w:rPr>
      </w:pPr>
      <w:r w:rsidRPr="00A84EB3">
        <w:rPr>
          <w:rStyle w:val="Strong"/>
          <w:color w:val="000000" w:themeColor="text1"/>
        </w:rPr>
        <w:t>Midweek Operational Baseline (Tuesday &amp; Wednesday)</w:t>
      </w:r>
      <w:r w:rsidRPr="00A84EB3">
        <w:rPr>
          <w:color w:val="000000" w:themeColor="text1"/>
        </w:rPr>
        <w:t>: Tuesday and Wednesday represent the most stable operational periods of the week, characterized by the lowest departure delay dispersion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Delay</m:t>
            </m:r>
          </m:sub>
        </m:sSub>
        <m:r>
          <w:rPr>
            <w:rFonts w:ascii="Cambria Math" w:hAnsi="Cambria Math"/>
            <w:color w:val="000000" w:themeColor="text1"/>
          </w:rPr>
          <m:t>=50.09</m:t>
        </m:r>
        <m:r>
          <m:rPr>
            <m:nor/>
          </m:rPr>
          <w:rPr>
            <w:color w:val="000000" w:themeColor="text1"/>
          </w:rPr>
          <m:t> min</m:t>
        </m:r>
      </m:oMath>
      <w:r w:rsidRPr="00A84EB3">
        <w:rPr>
          <w:color w:val="000000" w:themeColor="text1"/>
        </w:rPr>
        <w:t> and </w:t>
      </w:r>
      <m:oMath>
        <m:r>
          <w:rPr>
            <w:rFonts w:ascii="Cambria Math" w:hAnsi="Cambria Math"/>
            <w:color w:val="000000" w:themeColor="text1"/>
          </w:rPr>
          <m:t>49.27</m:t>
        </m:r>
        <m:r>
          <m:rPr>
            <m:nor/>
          </m:rPr>
          <w:rPr>
            <w:color w:val="000000" w:themeColor="text1"/>
          </w:rPr>
          <m:t> min</m:t>
        </m:r>
      </m:oMath>
      <w:r w:rsidRPr="00A84EB3">
        <w:rPr>
          <w:color w:val="000000" w:themeColor="text1"/>
        </w:rPr>
        <w:t>), the lowest share of delayed flights (</w:t>
      </w:r>
      <m:oMath>
        <m:r>
          <w:rPr>
            <w:rFonts w:ascii="Cambria Math" w:hAnsi="Cambria Math"/>
            <w:color w:val="000000" w:themeColor="text1"/>
          </w:rPr>
          <m:t>≈19.4%</m:t>
        </m:r>
        <m:r>
          <m:rPr>
            <m:nor/>
          </m:rPr>
          <w:rPr>
            <w:color w:val="000000" w:themeColor="text1"/>
          </w:rPr>
          <m:t>–</m:t>
        </m:r>
        <m:r>
          <w:rPr>
            <w:rFonts w:ascii="Cambria Math" w:hAnsi="Cambria Math"/>
            <w:color w:val="000000" w:themeColor="text1"/>
          </w:rPr>
          <m:t>20.1%</m:t>
        </m:r>
      </m:oMath>
      <w:r w:rsidRPr="00A84EB3">
        <w:rPr>
          <w:color w:val="000000" w:themeColor="text1"/>
        </w:rPr>
        <w:t>), and the lowest Coupled Volatility Indices (</w:t>
      </w:r>
      <m:oMath>
        <m:r>
          <w:rPr>
            <w:rFonts w:ascii="Cambria Math" w:hAnsi="Cambria Math"/>
            <w:color w:val="000000" w:themeColor="text1"/>
          </w:rPr>
          <m:t>29.99</m:t>
        </m:r>
      </m:oMath>
      <w:r w:rsidRPr="00A84EB3">
        <w:rPr>
          <w:color w:val="000000" w:themeColor="text1"/>
        </w:rPr>
        <w:t> and </w:t>
      </w:r>
      <m:oMath>
        <m:r>
          <w:rPr>
            <w:rFonts w:ascii="Cambria Math" w:hAnsi="Cambria Math"/>
            <w:color w:val="000000" w:themeColor="text1"/>
          </w:rPr>
          <m:t>29.13</m:t>
        </m:r>
      </m:oMath>
      <w:r w:rsidRPr="00A84EB3">
        <w:rPr>
          <w:color w:val="000000" w:themeColor="text1"/>
        </w:rPr>
        <w:t>).</w:t>
      </w:r>
    </w:p>
    <w:p w14:paraId="3A6BC625" w14:textId="77777777" w:rsidR="004F6809" w:rsidRPr="00A84EB3" w:rsidRDefault="004F6809" w:rsidP="00A84EB3">
      <w:pPr>
        <w:pStyle w:val="code-line"/>
        <w:numPr>
          <w:ilvl w:val="0"/>
          <w:numId w:val="16"/>
        </w:numPr>
        <w:spacing w:before="0" w:beforeAutospacing="0" w:after="0" w:afterAutospacing="0" w:line="360" w:lineRule="auto"/>
        <w:rPr>
          <w:color w:val="000000" w:themeColor="text1"/>
        </w:rPr>
      </w:pPr>
      <w:r w:rsidRPr="00A84EB3">
        <w:rPr>
          <w:rStyle w:val="Strong"/>
          <w:color w:val="000000" w:themeColor="text1"/>
        </w:rPr>
        <w:t>Outbound Business Surge (Monday)</w:t>
      </w:r>
      <w:r w:rsidRPr="00A84EB3">
        <w:rPr>
          <w:color w:val="000000" w:themeColor="text1"/>
        </w:rPr>
        <w:t>: Mondays experience the highest within-day TSA arrival volatility across the entire week (</w:t>
      </w:r>
      <m:oMath>
        <m:r>
          <w:rPr>
            <w:rFonts w:ascii="Cambria Math" w:hAnsi="Cambria Math"/>
            <w:color w:val="000000" w:themeColor="text1"/>
          </w:rPr>
          <m:t>CV=0.604</m:t>
        </m:r>
      </m:oMath>
      <w:r w:rsidRPr="00A84EB3">
        <w:rPr>
          <w:color w:val="000000" w:themeColor="text1"/>
        </w:rPr>
        <w:t>, Coupled Volatility Index = </w:t>
      </w:r>
      <m:oMath>
        <m:r>
          <w:rPr>
            <w:rFonts w:ascii="Cambria Math" w:hAnsi="Cambria Math"/>
            <w:color w:val="000000" w:themeColor="text1"/>
          </w:rPr>
          <m:t>34.00</m:t>
        </m:r>
      </m:oMath>
      <w:r w:rsidRPr="00A84EB3">
        <w:rPr>
          <w:color w:val="000000" w:themeColor="text1"/>
        </w:rPr>
        <w:t>), driven by concentrated early-morning business traveler screening banks.</w:t>
      </w:r>
    </w:p>
    <w:p w14:paraId="539D5C59" w14:textId="77777777" w:rsidR="004F6809" w:rsidRPr="00A84EB3" w:rsidRDefault="004F6809" w:rsidP="00A84EB3">
      <w:pPr>
        <w:pStyle w:val="code-line"/>
        <w:numPr>
          <w:ilvl w:val="0"/>
          <w:numId w:val="16"/>
        </w:numPr>
        <w:spacing w:before="0" w:beforeAutospacing="0" w:after="0" w:afterAutospacing="0" w:line="360" w:lineRule="auto"/>
        <w:rPr>
          <w:color w:val="000000" w:themeColor="text1"/>
        </w:rPr>
      </w:pPr>
      <w:r w:rsidRPr="00A84EB3">
        <w:rPr>
          <w:rStyle w:val="Strong"/>
          <w:color w:val="000000" w:themeColor="text1"/>
        </w:rPr>
        <w:lastRenderedPageBreak/>
        <w:t>Leisure Return Delay Propagation (Sunday)</w:t>
      </w:r>
      <w:r w:rsidRPr="00A84EB3">
        <w:rPr>
          <w:color w:val="000000" w:themeColor="text1"/>
        </w:rPr>
        <w:t>: Sundays exhibit the most severe network-wide delay cascades, generating the highest mean departure delay (</w:t>
      </w:r>
      <m:oMath>
        <m:r>
          <w:rPr>
            <w:rFonts w:ascii="Cambria Math" w:hAnsi="Cambria Math"/>
            <w:color w:val="000000" w:themeColor="text1"/>
          </w:rPr>
          <m:t>17.78</m:t>
        </m:r>
        <m:r>
          <m:rPr>
            <m:nor/>
          </m:rPr>
          <w:rPr>
            <w:color w:val="000000" w:themeColor="text1"/>
          </w:rPr>
          <m:t> min</m:t>
        </m:r>
      </m:oMath>
      <w:r w:rsidRPr="00A84EB3">
        <w:rPr>
          <w:color w:val="000000" w:themeColor="text1"/>
        </w:rPr>
        <w:t>), the highest delay dispersion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Delay</m:t>
            </m:r>
          </m:sub>
        </m:sSub>
        <m:r>
          <w:rPr>
            <w:rFonts w:ascii="Cambria Math" w:hAnsi="Cambria Math"/>
            <w:color w:val="000000" w:themeColor="text1"/>
          </w:rPr>
          <m:t>=58.07</m:t>
        </m:r>
        <m:r>
          <m:rPr>
            <m:nor/>
          </m:rPr>
          <w:rPr>
            <w:color w:val="000000" w:themeColor="text1"/>
          </w:rPr>
          <m:t> min</m:t>
        </m:r>
      </m:oMath>
      <w:r w:rsidRPr="00A84EB3">
        <w:rPr>
          <w:color w:val="000000" w:themeColor="text1"/>
        </w:rPr>
        <w:t>), and the highest rate of flights delayed </w:t>
      </w:r>
      <m:oMath>
        <m:r>
          <w:rPr>
            <w:rFonts w:ascii="Cambria Math" w:hAnsi="Cambria Math"/>
            <w:color w:val="000000" w:themeColor="text1"/>
          </w:rPr>
          <m:t>≥15</m:t>
        </m:r>
      </m:oMath>
      <w:r w:rsidRPr="00A84EB3">
        <w:rPr>
          <w:color w:val="000000" w:themeColor="text1"/>
        </w:rPr>
        <w:t> minutes (</w:t>
      </w:r>
      <m:oMath>
        <m:r>
          <w:rPr>
            <w:rFonts w:ascii="Cambria Math" w:hAnsi="Cambria Math"/>
            <w:color w:val="000000" w:themeColor="text1"/>
          </w:rPr>
          <m:t>25.60%</m:t>
        </m:r>
      </m:oMath>
      <w:r w:rsidRPr="00A84EB3">
        <w:rPr>
          <w:color w:val="000000" w:themeColor="text1"/>
        </w:rPr>
        <w:t>).</w:t>
      </w:r>
    </w:p>
    <w:p w14:paraId="412E37A7" w14:textId="77777777" w:rsidR="006A4C0C" w:rsidRPr="00A84EB3" w:rsidRDefault="006A4C0C" w:rsidP="00A84EB3">
      <w:pPr>
        <w:pStyle w:val="Heading3"/>
        <w:spacing w:before="0" w:line="360" w:lineRule="auto"/>
        <w:rPr>
          <w:rFonts w:ascii="Times New Roman" w:hAnsi="Times New Roman" w:cs="Times New Roman"/>
          <w:color w:val="000000" w:themeColor="text1"/>
        </w:rPr>
      </w:pPr>
      <w:r w:rsidRPr="00A84EB3">
        <w:rPr>
          <w:rFonts w:ascii="Times New Roman" w:hAnsi="Times New Roman" w:cs="Times New Roman"/>
          <w:color w:val="000000" w:themeColor="text1"/>
        </w:rPr>
        <w:t>4.3.5 Diurnal Operational Turbulence &amp; Non-Consecutive Dual Peaks</w:t>
      </w:r>
    </w:p>
    <w:p w14:paraId="2519CD46" w14:textId="77777777" w:rsidR="006A4C0C" w:rsidRPr="00A84EB3" w:rsidRDefault="006A4C0C" w:rsidP="00A84EB3">
      <w:pPr>
        <w:pStyle w:val="code-line"/>
        <w:spacing w:before="0" w:beforeAutospacing="0" w:after="0" w:afterAutospacing="0" w:line="360" w:lineRule="auto"/>
        <w:rPr>
          <w:color w:val="000000" w:themeColor="text1"/>
        </w:rPr>
      </w:pPr>
      <w:r w:rsidRPr="00A84EB3">
        <w:rPr>
          <w:color w:val="000000" w:themeColor="text1"/>
        </w:rPr>
        <w:t>Rather than enforcing arbitrary, consecutive time blocks, the 24 hours of each day were clustered into exactly three regimes based on the empirical Operational Turbulence Shock Index (</w:t>
      </w:r>
      <m:oMath>
        <m:r>
          <w:rPr>
            <w:rFonts w:ascii="Cambria Math" w:hAnsi="Cambria Math"/>
            <w:color w:val="000000" w:themeColor="text1"/>
          </w:rPr>
          <m:t>T</m:t>
        </m:r>
        <m:d>
          <m:dPr>
            <m:ctrlPr>
              <w:rPr>
                <w:rFonts w:ascii="Cambria Math" w:hAnsi="Cambria Math"/>
                <w:color w:val="000000" w:themeColor="text1"/>
              </w:rPr>
            </m:ctrlPr>
          </m:dPr>
          <m:e>
            <m:r>
              <w:rPr>
                <w:rFonts w:ascii="Cambria Math" w:hAnsi="Cambria Math"/>
                <w:color w:val="000000" w:themeColor="text1"/>
              </w:rPr>
              <m:t>h</m:t>
            </m:r>
          </m:e>
        </m:d>
      </m:oMath>
      <w:r w:rsidRPr="00A84EB3">
        <w:rPr>
          <w:color w:val="000000" w:themeColor="text1"/>
        </w:rPr>
        <w:t>), which captures the maximum of passenger screening surge volatility and flight departure delay dispersion:</w:t>
      </w:r>
    </w:p>
    <w:p w14:paraId="69E4B478" w14:textId="77777777" w:rsidR="006A4C0C" w:rsidRPr="00A84EB3" w:rsidRDefault="006A4C0C" w:rsidP="00A84EB3">
      <w:pPr>
        <w:pStyle w:val="code-line"/>
        <w:numPr>
          <w:ilvl w:val="0"/>
          <w:numId w:val="17"/>
        </w:numPr>
        <w:spacing w:before="0" w:beforeAutospacing="0" w:after="0" w:afterAutospacing="0" w:line="360" w:lineRule="auto"/>
        <w:rPr>
          <w:color w:val="000000" w:themeColor="text1"/>
        </w:rPr>
      </w:pPr>
      <w:r w:rsidRPr="00A84EB3">
        <w:rPr>
          <w:rStyle w:val="HTMLCode"/>
          <w:rFonts w:ascii="Times New Roman" w:hAnsi="Times New Roman" w:cs="Times New Roman"/>
          <w:b/>
          <w:bCs/>
          <w:color w:val="000000" w:themeColor="text1"/>
          <w:sz w:val="24"/>
          <w:szCs w:val="24"/>
          <w:shd w:val="clear" w:color="auto" w:fill="262626"/>
        </w:rPr>
        <w:t>1_OFF_PEAK</w:t>
      </w:r>
      <w:r w:rsidRPr="00A84EB3">
        <w:rPr>
          <w:rStyle w:val="Strong"/>
          <w:color w:val="000000" w:themeColor="text1"/>
        </w:rPr>
        <w:t> (Overnight &amp; Curfew Valley)</w:t>
      </w:r>
      <w:r w:rsidRPr="00A84EB3">
        <w:rPr>
          <w:color w:val="000000" w:themeColor="text1"/>
        </w:rPr>
        <w:t>: Typically covering 00:00 to 03:00 (3–4 hours/day), where commercial departures are sparse and checkpoint demand is quiescent.</w:t>
      </w:r>
    </w:p>
    <w:p w14:paraId="05EC48B9" w14:textId="77777777" w:rsidR="006A4C0C" w:rsidRPr="00A84EB3" w:rsidRDefault="006A4C0C" w:rsidP="00A84EB3">
      <w:pPr>
        <w:pStyle w:val="code-line"/>
        <w:numPr>
          <w:ilvl w:val="0"/>
          <w:numId w:val="17"/>
        </w:numPr>
        <w:spacing w:before="0" w:beforeAutospacing="0" w:after="0" w:afterAutospacing="0" w:line="360" w:lineRule="auto"/>
        <w:rPr>
          <w:color w:val="000000" w:themeColor="text1"/>
        </w:rPr>
      </w:pPr>
      <w:r w:rsidRPr="00A84EB3">
        <w:rPr>
          <w:rStyle w:val="HTMLCode"/>
          <w:rFonts w:ascii="Times New Roman" w:hAnsi="Times New Roman" w:cs="Times New Roman"/>
          <w:b/>
          <w:bCs/>
          <w:color w:val="000000" w:themeColor="text1"/>
          <w:sz w:val="24"/>
          <w:szCs w:val="24"/>
          <w:shd w:val="clear" w:color="auto" w:fill="262626"/>
        </w:rPr>
        <w:t>2_MID_PEAK</w:t>
      </w:r>
      <w:r w:rsidRPr="00A84EB3">
        <w:rPr>
          <w:rStyle w:val="Strong"/>
          <w:color w:val="000000" w:themeColor="text1"/>
        </w:rPr>
        <w:t> (Midday Plateau &amp; Transition)</w:t>
      </w:r>
      <w:r w:rsidRPr="00A84EB3">
        <w:rPr>
          <w:color w:val="000000" w:themeColor="text1"/>
        </w:rPr>
        <w:t>: Covering 08:00 to 13:00/16:00 (4–12 hours/day), characterized by steady passenger screening flow and balanced aircraft turnaround buffers.</w:t>
      </w:r>
    </w:p>
    <w:p w14:paraId="54AE8E9D" w14:textId="77777777" w:rsidR="006A4C0C" w:rsidRPr="00A84EB3" w:rsidRDefault="006A4C0C" w:rsidP="00A84EB3">
      <w:pPr>
        <w:pStyle w:val="code-line"/>
        <w:numPr>
          <w:ilvl w:val="0"/>
          <w:numId w:val="17"/>
        </w:numPr>
        <w:spacing w:before="0" w:beforeAutospacing="0" w:after="0" w:afterAutospacing="0" w:line="360" w:lineRule="auto"/>
        <w:rPr>
          <w:color w:val="000000" w:themeColor="text1"/>
        </w:rPr>
      </w:pPr>
      <w:r w:rsidRPr="00A84EB3">
        <w:rPr>
          <w:rStyle w:val="HTMLCode"/>
          <w:rFonts w:ascii="Times New Roman" w:hAnsi="Times New Roman" w:cs="Times New Roman"/>
          <w:b/>
          <w:bCs/>
          <w:color w:val="000000" w:themeColor="text1"/>
          <w:sz w:val="24"/>
          <w:szCs w:val="24"/>
          <w:shd w:val="clear" w:color="auto" w:fill="262626"/>
        </w:rPr>
        <w:t>3_PEAK</w:t>
      </w:r>
      <w:r w:rsidRPr="00A84EB3">
        <w:rPr>
          <w:rStyle w:val="Strong"/>
          <w:color w:val="000000" w:themeColor="text1"/>
        </w:rPr>
        <w:t> (High Queuing Turbulence / Dual Peaks)</w:t>
      </w:r>
      <w:r w:rsidRPr="00A84EB3">
        <w:rPr>
          <w:color w:val="000000" w:themeColor="text1"/>
        </w:rPr>
        <w:t>: Uniquely groups non-consecutive turbulence periods into a single operational regime:</w:t>
      </w:r>
    </w:p>
    <w:p w14:paraId="47A1F9B9" w14:textId="77777777" w:rsidR="006A4C0C" w:rsidRPr="00A84EB3" w:rsidRDefault="006A4C0C" w:rsidP="00A84EB3">
      <w:pPr>
        <w:pStyle w:val="code-line"/>
        <w:numPr>
          <w:ilvl w:val="1"/>
          <w:numId w:val="17"/>
        </w:numPr>
        <w:spacing w:before="0" w:beforeAutospacing="0" w:after="0" w:afterAutospacing="0" w:line="360" w:lineRule="auto"/>
        <w:rPr>
          <w:color w:val="000000" w:themeColor="text1"/>
        </w:rPr>
      </w:pPr>
      <w:r w:rsidRPr="00A84EB3">
        <w:rPr>
          <w:rStyle w:val="Strong"/>
          <w:color w:val="000000" w:themeColor="text1"/>
        </w:rPr>
        <w:t>Morning Bank Surge (05:00–08:00)</w:t>
      </w:r>
      <w:r w:rsidRPr="00A84EB3">
        <w:rPr>
          <w:color w:val="000000" w:themeColor="text1"/>
        </w:rPr>
        <w:t>: Driven by extreme passenger arrival variance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m:t>
            </m:r>
          </m:sub>
        </m:sSub>
        <m:r>
          <w:rPr>
            <w:rFonts w:ascii="Cambria Math" w:hAnsi="Cambria Math"/>
            <w:color w:val="000000" w:themeColor="text1"/>
          </w:rPr>
          <m:t>&gt;11,380</m:t>
        </m:r>
      </m:oMath>
      <w:r w:rsidRPr="00A84EB3">
        <w:rPr>
          <w:color w:val="000000" w:themeColor="text1"/>
        </w:rPr>
        <w:t> pax/hr).</w:t>
      </w:r>
    </w:p>
    <w:p w14:paraId="2BF5FC22" w14:textId="77777777" w:rsidR="006A4C0C" w:rsidRPr="00A84EB3" w:rsidRDefault="006A4C0C" w:rsidP="00A84EB3">
      <w:pPr>
        <w:pStyle w:val="code-line"/>
        <w:numPr>
          <w:ilvl w:val="1"/>
          <w:numId w:val="17"/>
        </w:numPr>
        <w:spacing w:before="0" w:beforeAutospacing="0" w:after="0" w:afterAutospacing="0" w:line="360" w:lineRule="auto"/>
        <w:rPr>
          <w:color w:val="000000" w:themeColor="text1"/>
        </w:rPr>
      </w:pPr>
      <w:r w:rsidRPr="00A84EB3">
        <w:rPr>
          <w:rStyle w:val="Strong"/>
          <w:color w:val="000000" w:themeColor="text1"/>
        </w:rPr>
        <w:t>Evening Delay Cascade (14:00/17:00–22:00)</w:t>
      </w:r>
      <w:r w:rsidRPr="00A84EB3">
        <w:rPr>
          <w:color w:val="000000" w:themeColor="text1"/>
        </w:rPr>
        <w:t>: Driven by upstream flight delay propagation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Delay</m:t>
            </m:r>
          </m:sub>
        </m:sSub>
        <m:r>
          <w:rPr>
            <w:rFonts w:ascii="Cambria Math" w:hAnsi="Cambria Math"/>
            <w:color w:val="000000" w:themeColor="text1"/>
          </w:rPr>
          <m:t>&gt;63.4</m:t>
        </m:r>
      </m:oMath>
      <w:r w:rsidRPr="00A84EB3">
        <w:rPr>
          <w:color w:val="000000" w:themeColor="text1"/>
        </w:rPr>
        <w:t> min).</w:t>
      </w:r>
    </w:p>
    <w:p w14:paraId="4AA4DE50" w14:textId="77777777" w:rsidR="006A4C0C" w:rsidRPr="00A84EB3" w:rsidRDefault="006A4C0C" w:rsidP="00A84EB3">
      <w:pPr>
        <w:spacing w:line="360" w:lineRule="auto"/>
        <w:rPr>
          <w:rFonts w:cs="Times New Roman"/>
          <w:color w:val="000000" w:themeColor="text1"/>
          <w:szCs w:val="24"/>
        </w:rPr>
      </w:pPr>
      <w:r w:rsidRPr="00A84EB3">
        <w:rPr>
          <w:rFonts w:cs="Times New Roman"/>
          <w:color w:val="000000" w:themeColor="text1"/>
          <w:szCs w:val="24"/>
        </w:rPr>
        <w:t>Structural break tests confirmed </w:t>
      </w:r>
      <w:r w:rsidRPr="00A84EB3">
        <w:rPr>
          <w:rFonts w:cs="Times New Roman"/>
          <w:b/>
          <w:bCs/>
          <w:color w:val="000000" w:themeColor="text1"/>
          <w:szCs w:val="24"/>
        </w:rPr>
        <w:t xml:space="preserve">May 1, </w:t>
      </w:r>
      <w:proofErr w:type="gramStart"/>
      <w:r w:rsidRPr="00A84EB3">
        <w:rPr>
          <w:rFonts w:cs="Times New Roman"/>
          <w:b/>
          <w:bCs/>
          <w:color w:val="000000" w:themeColor="text1"/>
          <w:szCs w:val="24"/>
        </w:rPr>
        <w:t>2022</w:t>
      </w:r>
      <w:proofErr w:type="gramEnd"/>
      <w:r w:rsidRPr="00A84EB3">
        <w:rPr>
          <w:rFonts w:cs="Times New Roman"/>
          <w:color w:val="000000" w:themeColor="text1"/>
          <w:szCs w:val="24"/>
        </w:rPr>
        <w:t> as the optimal demarcation point for model development:</w:t>
      </w:r>
    </w:p>
    <w:p w14:paraId="31F17DF4" w14:textId="77777777" w:rsidR="006A4C0C" w:rsidRPr="00A84EB3" w:rsidRDefault="006A4C0C" w:rsidP="00A84EB3">
      <w:pPr>
        <w:numPr>
          <w:ilvl w:val="0"/>
          <w:numId w:val="18"/>
        </w:numPr>
        <w:spacing w:line="360" w:lineRule="auto"/>
        <w:rPr>
          <w:rFonts w:cs="Times New Roman"/>
          <w:color w:val="000000" w:themeColor="text1"/>
          <w:szCs w:val="24"/>
        </w:rPr>
      </w:pPr>
      <w:r w:rsidRPr="00A84EB3">
        <w:rPr>
          <w:rFonts w:cs="Times New Roman"/>
          <w:b/>
          <w:bCs/>
          <w:color w:val="000000" w:themeColor="text1"/>
          <w:szCs w:val="24"/>
        </w:rPr>
        <w:t>Mask Mandate Repeal</w:t>
      </w:r>
      <w:r w:rsidRPr="00A84EB3">
        <w:rPr>
          <w:rFonts w:cs="Times New Roman"/>
          <w:color w:val="000000" w:themeColor="text1"/>
          <w:szCs w:val="24"/>
        </w:rPr>
        <w:t>: The nationwide lifting of federal transit mask requirements in late April 2022 restored passenger boarding behaviors to equilibrium.</w:t>
      </w:r>
    </w:p>
    <w:p w14:paraId="1879B9C8" w14:textId="77777777" w:rsidR="006A4C0C" w:rsidRPr="00A84EB3" w:rsidRDefault="006A4C0C" w:rsidP="00A84EB3">
      <w:pPr>
        <w:numPr>
          <w:ilvl w:val="0"/>
          <w:numId w:val="18"/>
        </w:numPr>
        <w:spacing w:line="360" w:lineRule="auto"/>
        <w:rPr>
          <w:rFonts w:cs="Times New Roman"/>
          <w:color w:val="000000" w:themeColor="text1"/>
          <w:szCs w:val="24"/>
        </w:rPr>
      </w:pPr>
      <w:r w:rsidRPr="00A84EB3">
        <w:rPr>
          <w:rFonts w:cs="Times New Roman"/>
          <w:b/>
          <w:bCs/>
          <w:color w:val="000000" w:themeColor="text1"/>
          <w:szCs w:val="24"/>
        </w:rPr>
        <w:t>Coupling Rebound</w:t>
      </w:r>
      <w:r w:rsidRPr="00A84EB3">
        <w:rPr>
          <w:rFonts w:cs="Times New Roman"/>
          <w:color w:val="000000" w:themeColor="text1"/>
          <w:szCs w:val="24"/>
        </w:rPr>
        <w:t>: Demand-to-schedule correlation (</w:t>
      </w:r>
      <m:oMath>
        <m:sSup>
          <m:sSupPr>
            <m:ctrlPr>
              <w:rPr>
                <w:rFonts w:ascii="Cambria Math" w:hAnsi="Cambria Math" w:cs="Times New Roman"/>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2</m:t>
            </m:r>
          </m:sup>
        </m:sSup>
      </m:oMath>
      <w:r w:rsidRPr="00A84EB3">
        <w:rPr>
          <w:rFonts w:cs="Times New Roman"/>
          <w:color w:val="000000" w:themeColor="text1"/>
          <w:szCs w:val="24"/>
        </w:rPr>
        <w:t>), which dropped to 0.579 during COVID, rebounded to 0.672 post-May 2022.</w:t>
      </w:r>
    </w:p>
    <w:p w14:paraId="10D8F3B8" w14:textId="77777777" w:rsidR="006A4C0C" w:rsidRPr="00A84EB3" w:rsidRDefault="006A4C0C" w:rsidP="00A84EB3">
      <w:pPr>
        <w:numPr>
          <w:ilvl w:val="0"/>
          <w:numId w:val="18"/>
        </w:numPr>
        <w:spacing w:line="360" w:lineRule="auto"/>
        <w:rPr>
          <w:rFonts w:cs="Times New Roman"/>
          <w:color w:val="000000" w:themeColor="text1"/>
          <w:szCs w:val="24"/>
        </w:rPr>
      </w:pPr>
      <w:r w:rsidRPr="00A84EB3">
        <w:rPr>
          <w:rFonts w:cs="Times New Roman"/>
          <w:b/>
          <w:bCs/>
          <w:color w:val="000000" w:themeColor="text1"/>
          <w:szCs w:val="24"/>
        </w:rPr>
        <w:t>Partitioning Design</w:t>
      </w:r>
      <w:r w:rsidRPr="00A84EB3">
        <w:rPr>
          <w:rFonts w:cs="Times New Roman"/>
          <w:color w:val="000000" w:themeColor="text1"/>
          <w:szCs w:val="24"/>
        </w:rPr>
        <w:t>:</w:t>
      </w:r>
    </w:p>
    <w:p w14:paraId="6E0A86F3" w14:textId="77777777" w:rsidR="006A4C0C" w:rsidRPr="00A84EB3" w:rsidRDefault="006A4C0C" w:rsidP="00A84EB3">
      <w:pPr>
        <w:numPr>
          <w:ilvl w:val="1"/>
          <w:numId w:val="18"/>
        </w:numPr>
        <w:spacing w:line="360" w:lineRule="auto"/>
        <w:rPr>
          <w:rFonts w:cs="Times New Roman"/>
          <w:color w:val="000000" w:themeColor="text1"/>
          <w:szCs w:val="24"/>
        </w:rPr>
      </w:pPr>
      <w:r w:rsidRPr="00A84EB3">
        <w:rPr>
          <w:rFonts w:cs="Times New Roman"/>
          <w:i/>
          <w:iCs/>
          <w:color w:val="000000" w:themeColor="text1"/>
          <w:szCs w:val="24"/>
        </w:rPr>
        <w:t>Training Window</w:t>
      </w:r>
      <w:r w:rsidRPr="00A84EB3">
        <w:rPr>
          <w:rFonts w:cs="Times New Roman"/>
          <w:color w:val="000000" w:themeColor="text1"/>
          <w:szCs w:val="24"/>
        </w:rPr>
        <w:t>: May 1, 2022 – December 31, 2023 (20 months; 122,847 hourly observations across the 9-airport filtered complex cohort; 404,324 multi-facility observations across the candidate network).</w:t>
      </w:r>
    </w:p>
    <w:p w14:paraId="24E7FF75" w14:textId="77777777" w:rsidR="006A4C0C" w:rsidRPr="00A84EB3" w:rsidRDefault="006A4C0C" w:rsidP="00A84EB3">
      <w:pPr>
        <w:numPr>
          <w:ilvl w:val="1"/>
          <w:numId w:val="18"/>
        </w:numPr>
        <w:spacing w:line="360" w:lineRule="auto"/>
        <w:rPr>
          <w:rFonts w:cs="Times New Roman"/>
          <w:color w:val="000000" w:themeColor="text1"/>
          <w:szCs w:val="24"/>
        </w:rPr>
      </w:pPr>
      <w:r w:rsidRPr="00A84EB3">
        <w:rPr>
          <w:rFonts w:cs="Times New Roman"/>
          <w:i/>
          <w:iCs/>
          <w:color w:val="000000" w:themeColor="text1"/>
          <w:szCs w:val="24"/>
        </w:rPr>
        <w:lastRenderedPageBreak/>
        <w:t>Validation Window</w:t>
      </w:r>
      <w:r w:rsidRPr="00A84EB3">
        <w:rPr>
          <w:rFonts w:cs="Times New Roman"/>
          <w:color w:val="000000" w:themeColor="text1"/>
          <w:szCs w:val="24"/>
        </w:rPr>
        <w:t>: January 1, 2024 – December 31, 2024 (12 months; full Q1–Q4 seasonal cycle for model calibration and parameter selection; 72,723 hourly observations).</w:t>
      </w:r>
    </w:p>
    <w:p w14:paraId="733FE39F" w14:textId="77777777" w:rsidR="006A4C0C" w:rsidRPr="00A84EB3" w:rsidRDefault="006A4C0C" w:rsidP="00A84EB3">
      <w:pPr>
        <w:numPr>
          <w:ilvl w:val="1"/>
          <w:numId w:val="18"/>
        </w:numPr>
        <w:spacing w:line="360" w:lineRule="auto"/>
        <w:rPr>
          <w:rFonts w:cs="Times New Roman"/>
          <w:color w:val="000000" w:themeColor="text1"/>
          <w:szCs w:val="24"/>
        </w:rPr>
      </w:pPr>
      <w:r w:rsidRPr="00A84EB3">
        <w:rPr>
          <w:rFonts w:cs="Times New Roman"/>
          <w:i/>
          <w:iCs/>
          <w:color w:val="000000" w:themeColor="text1"/>
          <w:szCs w:val="24"/>
        </w:rPr>
        <w:t>Holdout Test Window</w:t>
      </w:r>
      <w:r w:rsidRPr="00A84EB3">
        <w:rPr>
          <w:rFonts w:cs="Times New Roman"/>
          <w:color w:val="000000" w:themeColor="text1"/>
          <w:szCs w:val="24"/>
        </w:rPr>
        <w:t>: January 1, 2025 – December 31, 2025 (12 months; full Q1–Q4 seasonal cycle reserved strictly for final out-of-time evaluation; 72,053 hourly observations).</w:t>
      </w:r>
    </w:p>
    <w:p w14:paraId="73EC942B" w14:textId="7D15AF01" w:rsidR="006A4C0C" w:rsidRPr="00A84EB3" w:rsidRDefault="006A4C0C" w:rsidP="00A84EB3">
      <w:pPr>
        <w:numPr>
          <w:ilvl w:val="1"/>
          <w:numId w:val="18"/>
        </w:numPr>
        <w:spacing w:line="360" w:lineRule="auto"/>
        <w:rPr>
          <w:rFonts w:cs="Times New Roman"/>
          <w:color w:val="000000" w:themeColor="text1"/>
          <w:szCs w:val="24"/>
        </w:rPr>
      </w:pPr>
      <w:r w:rsidRPr="00A84EB3">
        <w:rPr>
          <w:rFonts w:cs="Times New Roman"/>
          <w:i/>
          <w:iCs/>
          <w:color w:val="000000" w:themeColor="text1"/>
          <w:szCs w:val="24"/>
        </w:rPr>
        <w:t>Operational Separation Buffer</w:t>
      </w:r>
      <w:r w:rsidRPr="00A84EB3">
        <w:rPr>
          <w:rFonts w:cs="Times New Roman"/>
          <w:color w:val="000000" w:themeColor="text1"/>
          <w:szCs w:val="24"/>
        </w:rPr>
        <w:t>: A 7-day buffer between evaluation periods ensures that multi-day delay cascades and weather recovery periods do not distort test accuracy.</w:t>
      </w:r>
    </w:p>
    <w:p w14:paraId="69D3A1A4" w14:textId="77777777" w:rsidR="006A4C0C" w:rsidRPr="00A84EB3" w:rsidRDefault="006A4C0C" w:rsidP="00A84EB3">
      <w:pPr>
        <w:pStyle w:val="Heading2"/>
        <w:spacing w:before="0" w:after="0" w:line="360" w:lineRule="auto"/>
        <w:rPr>
          <w:rFonts w:ascii="Times New Roman" w:hAnsi="Times New Roman" w:cs="Times New Roman"/>
          <w:color w:val="000000" w:themeColor="text1"/>
          <w:sz w:val="24"/>
          <w:szCs w:val="24"/>
        </w:rPr>
      </w:pPr>
      <w:r w:rsidRPr="00A84EB3">
        <w:rPr>
          <w:rFonts w:ascii="Times New Roman" w:hAnsi="Times New Roman" w:cs="Times New Roman"/>
          <w:color w:val="000000" w:themeColor="text1"/>
          <w:sz w:val="24"/>
          <w:szCs w:val="24"/>
        </w:rPr>
        <w:t>4.5 Econometric Validation of Carrier Checkpoint Isolation</w:t>
      </w:r>
    </w:p>
    <w:p w14:paraId="76ED0DA1" w14:textId="77777777" w:rsidR="006A4C0C" w:rsidRPr="00A84EB3" w:rsidRDefault="006A4C0C" w:rsidP="00A84EB3">
      <w:pPr>
        <w:pStyle w:val="code-line"/>
        <w:spacing w:before="0" w:beforeAutospacing="0" w:after="0" w:afterAutospacing="0" w:line="360" w:lineRule="auto"/>
        <w:rPr>
          <w:color w:val="000000" w:themeColor="text1"/>
        </w:rPr>
      </w:pPr>
      <w:r w:rsidRPr="00A84EB3">
        <w:rPr>
          <w:color w:val="000000" w:themeColor="text1"/>
        </w:rPr>
        <w:t>To empirically validate the methodological requirement of restricting analysis to carrier-exclusive checkpoints, three formal econometric tests were conducted.</w:t>
      </w:r>
    </w:p>
    <w:p w14:paraId="465FE11B" w14:textId="30B7B2D1" w:rsidR="006A4C0C" w:rsidRPr="00A84EB3" w:rsidRDefault="00983DE5" w:rsidP="00A84EB3">
      <w:pPr>
        <w:pStyle w:val="code-line"/>
        <w:spacing w:before="0" w:beforeAutospacing="0" w:after="0" w:afterAutospacing="0" w:line="360" w:lineRule="auto"/>
        <w:rPr>
          <w:color w:val="000000" w:themeColor="text1"/>
        </w:rPr>
      </w:pPr>
      <w:r w:rsidRPr="00A84EB3">
        <w:rPr>
          <w:color w:val="000000" w:themeColor="text1"/>
        </w:rPr>
        <w:t>Furthermore, predicting dedicated terminal checkpoint throughput using carrier-filtered flights achieved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=0.708</m:t>
        </m:r>
      </m:oMath>
      <w:r w:rsidRPr="00A84EB3">
        <w:rPr>
          <w:color w:val="000000" w:themeColor="text1"/>
        </w:rPr>
        <w:t> to </w:t>
      </w:r>
      <m:oMath>
        <m:r>
          <w:rPr>
            <w:rFonts w:ascii="Cambria Math" w:hAnsi="Cambria Math"/>
            <w:color w:val="000000" w:themeColor="text1"/>
          </w:rPr>
          <m:t>0.774</m:t>
        </m:r>
      </m:oMath>
      <w:r w:rsidRPr="00A84EB3">
        <w:rPr>
          <w:color w:val="000000" w:themeColor="text1"/>
        </w:rPr>
        <w:t>, whereas predicting using total pooled airport departures collapsed explanatory power to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&lt;0.420</m:t>
        </m:r>
      </m:oMath>
      <w:r w:rsidRPr="00A84EB3">
        <w:rPr>
          <w:color w:val="000000" w:themeColor="text1"/>
        </w:rPr>
        <w:t> (</w:t>
      </w:r>
      <m:oMath>
        <m:r>
          <w:rPr>
            <w:rFonts w:ascii="Cambria Math" w:hAnsi="Cambria Math"/>
            <w:color w:val="000000" w:themeColor="text1"/>
          </w:rPr>
          <m:t>F</m:t>
        </m:r>
      </m:oMath>
      <w:r w:rsidRPr="00A84EB3">
        <w:rPr>
          <w:color w:val="000000" w:themeColor="text1"/>
        </w:rPr>
        <w:t>-statistic test for parameter exclusion: </w:t>
      </w:r>
      <m:oMath>
        <m:r>
          <w:rPr>
            <w:rFonts w:ascii="Cambria Math" w:hAnsi="Cambria Math"/>
            <w:color w:val="000000" w:themeColor="text1"/>
          </w:rPr>
          <m:t>p&lt;0.0001</m:t>
        </m:r>
      </m:oMath>
      <w:r w:rsidRPr="00A84EB3">
        <w:rPr>
          <w:color w:val="000000" w:themeColor="text1"/>
        </w:rPr>
        <w:t>). A two-sample statistical distribution test of forecasting residuals between physically separate terminal buildings (BOS, DTW, LGA, ORD, EWR) and walkway-connected terminals (LAX, DFW, IAH, PHL) revealed no significant divergence (</w:t>
      </w:r>
      <m:oMath>
        <m:r>
          <w:rPr>
            <w:rFonts w:ascii="Cambria Math" w:hAnsi="Cambria Math"/>
            <w:color w:val="000000" w:themeColor="text1"/>
          </w:rPr>
          <m:t>D=0.032,p=0.28</m:t>
        </m:r>
      </m:oMath>
      <w:r w:rsidRPr="00A84EB3">
        <w:rPr>
          <w:color w:val="000000" w:themeColor="text1"/>
        </w:rPr>
        <w:t>), confirming that post-security terminal cross-over in connected layouts is statistically negligible (</w:t>
      </w:r>
      <m:oMath>
        <m:sSub>
          <m:sSubPr>
            <m:ctrlPr>
              <w:rPr>
                <w:rFonts w:ascii="Cambria Math" w:hAnsi="Cambria Math"/>
                <w:color w:val="000000" w:themeColor="text1"/>
              </w:rPr>
            </m:ctrlPr>
          </m:sSubPr>
          <m:e>
            <m:r>
              <w:rPr>
                <w:rFonts w:ascii="Cambria Math" w:hAnsi="Cambria Math"/>
                <w:color w:val="000000" w:themeColor="text1"/>
              </w:rPr>
              <m:t>ϵ</m:t>
            </m:r>
          </m:e>
          <m:sub>
            <m:r>
              <w:rPr>
                <w:rFonts w:ascii="Cambria Math" w:hAnsi="Cambria Math"/>
                <w:color w:val="000000" w:themeColor="text1"/>
              </w:rPr>
              <m:t>k</m:t>
            </m:r>
          </m:sub>
        </m:sSub>
        <m:r>
          <w:rPr>
            <w:rFonts w:ascii="Cambria Math" w:hAnsi="Cambria Math"/>
            <w:color w:val="000000" w:themeColor="text1"/>
          </w:rPr>
          <m:t>&lt;0.05</m:t>
        </m:r>
      </m:oMath>
      <w:r w:rsidRPr="00A84EB3">
        <w:rPr>
          <w:color w:val="000000" w:themeColor="text1"/>
        </w:rPr>
        <w:t>).</w:t>
      </w:r>
    </w:p>
    <w:p w14:paraId="446AA5C7" w14:textId="77777777" w:rsidR="00983DE5" w:rsidRPr="00A84EB3" w:rsidRDefault="00983DE5" w:rsidP="00A84EB3">
      <w:pPr>
        <w:pStyle w:val="Heading2"/>
        <w:spacing w:before="0" w:after="0" w:line="360" w:lineRule="auto"/>
        <w:rPr>
          <w:rFonts w:ascii="Times New Roman" w:hAnsi="Times New Roman" w:cs="Times New Roman"/>
          <w:color w:val="000000" w:themeColor="text1"/>
          <w:sz w:val="24"/>
          <w:szCs w:val="24"/>
        </w:rPr>
      </w:pPr>
      <w:r w:rsidRPr="00A84EB3">
        <w:rPr>
          <w:rFonts w:ascii="Times New Roman" w:hAnsi="Times New Roman" w:cs="Times New Roman"/>
          <w:color w:val="000000" w:themeColor="text1"/>
          <w:sz w:val="24"/>
          <w:szCs w:val="24"/>
        </w:rPr>
        <w:t>4.6 Feature Engineering and Passenger Show-Up Curve Estimation</w:t>
      </w:r>
    </w:p>
    <w:p w14:paraId="4A668D8C" w14:textId="77777777" w:rsidR="00983DE5" w:rsidRPr="00A84EB3" w:rsidRDefault="00983DE5" w:rsidP="00A84EB3">
      <w:pPr>
        <w:pStyle w:val="code-line"/>
        <w:spacing w:before="0" w:beforeAutospacing="0" w:after="0" w:afterAutospacing="0" w:line="360" w:lineRule="auto"/>
        <w:rPr>
          <w:color w:val="000000" w:themeColor="text1"/>
        </w:rPr>
      </w:pPr>
      <w:r w:rsidRPr="00A84EB3">
        <w:rPr>
          <w:color w:val="000000" w:themeColor="text1"/>
        </w:rPr>
        <w:t>Analysis of lead-lag dynamics between scheduled flight departure times and landside checkpoint throughput demonstrated severe temporal asynchrony:</w:t>
      </w:r>
    </w:p>
    <w:p w14:paraId="7B90474C" w14:textId="5CE05ABE" w:rsidR="00983DE5" w:rsidRPr="00A84EB3" w:rsidRDefault="00983DE5" w:rsidP="00A84EB3">
      <w:pPr>
        <w:pStyle w:val="code-line"/>
        <w:spacing w:before="0" w:beforeAutospacing="0" w:after="0" w:afterAutospacing="0" w:line="360" w:lineRule="auto"/>
        <w:rPr>
          <w:color w:val="000000" w:themeColor="text1"/>
        </w:rPr>
      </w:pPr>
      <w:r w:rsidRPr="00A84EB3">
        <w:rPr>
          <w:color w:val="000000" w:themeColor="text1"/>
        </w:rPr>
        <w:t>Contemporaneous scheduled flights explain less than 20% of checkpoint throughput variance. Explanatory power peaks at Lead </w:t>
      </w:r>
      <m:oMath>
        <m:r>
          <w:rPr>
            <w:rFonts w:ascii="Cambria Math" w:hAnsi="Cambria Math"/>
            <w:color w:val="000000" w:themeColor="text1"/>
          </w:rPr>
          <m:t>t+2</m:t>
        </m:r>
      </m:oMath>
      <w:r w:rsidRPr="00A84EB3">
        <w:rPr>
          <w:color w:val="000000" w:themeColor="text1"/>
        </w:rPr>
        <w:t>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=0.4054</m:t>
        </m:r>
      </m:oMath>
      <w:r w:rsidRPr="00A84EB3">
        <w:rPr>
          <w:color w:val="000000" w:themeColor="text1"/>
        </w:rPr>
        <w:t>), corresponding precisely to the 90–</w:t>
      </w:r>
      <w:proofErr w:type="gramStart"/>
      <w:r w:rsidRPr="00A84EB3">
        <w:rPr>
          <w:color w:val="000000" w:themeColor="text1"/>
        </w:rPr>
        <w:t>120 minute</w:t>
      </w:r>
      <w:proofErr w:type="gramEnd"/>
      <w:r w:rsidRPr="00A84EB3">
        <w:rPr>
          <w:color w:val="000000" w:themeColor="text1"/>
        </w:rPr>
        <w:t xml:space="preserve"> modal passenger show-up window established in airport passenger terminal planning standards (such as </w:t>
      </w:r>
      <w:r w:rsidRPr="00A84EB3">
        <w:rPr>
          <w:rStyle w:val="Strong"/>
          <w:color w:val="000000" w:themeColor="text1"/>
        </w:rPr>
        <w:t>ACRP Report 40: Airport Passenger Terminal Planning and Design</w:t>
      </w:r>
      <w:r w:rsidRPr="00A84EB3">
        <w:rPr>
          <w:color w:val="000000" w:themeColor="text1"/>
        </w:rPr>
        <w:t>). Converting scheduled departing seats into an empirical passenger show-up curve (lead-lag arrival distribution) and interacting with monthly T-100 route load factors elevates predictive capability to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=0.4985</m:t>
        </m:r>
      </m:oMath>
      <w:r w:rsidRPr="00A84EB3">
        <w:rPr>
          <w:color w:val="000000" w:themeColor="text1"/>
        </w:rPr>
        <w:t> prior to introducing temporal cyclical encodings.</w:t>
      </w:r>
    </w:p>
    <w:p w14:paraId="30017739" w14:textId="77777777" w:rsidR="00983DE5" w:rsidRPr="00A84EB3" w:rsidRDefault="00983DE5" w:rsidP="00A84EB3">
      <w:pPr>
        <w:pStyle w:val="Heading2"/>
        <w:spacing w:before="0" w:after="0" w:line="360" w:lineRule="auto"/>
        <w:rPr>
          <w:rFonts w:ascii="Times New Roman" w:hAnsi="Times New Roman" w:cs="Times New Roman"/>
          <w:color w:val="000000" w:themeColor="text1"/>
          <w:sz w:val="24"/>
          <w:szCs w:val="24"/>
        </w:rPr>
      </w:pPr>
      <w:r w:rsidRPr="00A84EB3">
        <w:rPr>
          <w:rFonts w:ascii="Times New Roman" w:hAnsi="Times New Roman" w:cs="Times New Roman"/>
          <w:color w:val="000000" w:themeColor="text1"/>
          <w:sz w:val="24"/>
          <w:szCs w:val="24"/>
        </w:rPr>
        <w:lastRenderedPageBreak/>
        <w:t>4.7 Model Benchmark Matrix (2025 Full-Year Out-of-Time Holdout)</w:t>
      </w:r>
    </w:p>
    <w:p w14:paraId="434794D5" w14:textId="77777777" w:rsidR="00983DE5" w:rsidRPr="00A84EB3" w:rsidRDefault="00983DE5" w:rsidP="00A84EB3">
      <w:pPr>
        <w:pStyle w:val="code-line"/>
        <w:spacing w:before="0" w:beforeAutospacing="0" w:after="0" w:afterAutospacing="0" w:line="360" w:lineRule="auto"/>
        <w:rPr>
          <w:color w:val="000000" w:themeColor="text1"/>
        </w:rPr>
      </w:pPr>
      <w:r w:rsidRPr="00A84EB3">
        <w:rPr>
          <w:color w:val="000000" w:themeColor="text1"/>
        </w:rPr>
        <w:t>Models spanning the three modeling paradigms were trained on Candidate B data (May 2022 – Dec 2023; 122,847 observations), tuned on 2024 validation data (72,723 observations), and evaluated against the 72,053 hourly complex observations (8,760 continuous system hours) of the 2025 out-of-time holdout across the 9-airport cohort (representing 215,562 facility-level screening hours across the wider candidate network):</w:t>
      </w:r>
    </w:p>
    <w:p w14:paraId="2811CF59" w14:textId="77777777" w:rsidR="00A84EB3" w:rsidRPr="00A84EB3" w:rsidRDefault="00A84EB3" w:rsidP="00A84EB3">
      <w:pPr>
        <w:pStyle w:val="Heading3"/>
        <w:spacing w:before="0" w:line="360" w:lineRule="auto"/>
        <w:rPr>
          <w:rFonts w:ascii="Times New Roman" w:hAnsi="Times New Roman" w:cs="Times New Roman"/>
          <w:color w:val="000000" w:themeColor="text1"/>
        </w:rPr>
      </w:pPr>
      <w:r w:rsidRPr="00A84EB3">
        <w:rPr>
          <w:rFonts w:ascii="Times New Roman" w:hAnsi="Times New Roman" w:cs="Times New Roman"/>
          <w:color w:val="000000" w:themeColor="text1"/>
        </w:rPr>
        <w:t>4.7.1 Model Performance Stratification Across Volatility Regimes</w:t>
      </w:r>
    </w:p>
    <w:p w14:paraId="4E4C41AD" w14:textId="77777777" w:rsidR="00A84EB3" w:rsidRPr="00A84EB3" w:rsidRDefault="00A84EB3" w:rsidP="00A84EB3">
      <w:pPr>
        <w:pStyle w:val="code-line"/>
        <w:spacing w:before="0" w:beforeAutospacing="0" w:after="0" w:afterAutospacing="0" w:line="360" w:lineRule="auto"/>
        <w:rPr>
          <w:color w:val="000000" w:themeColor="text1"/>
        </w:rPr>
      </w:pPr>
      <w:r w:rsidRPr="00A84EB3">
        <w:rPr>
          <w:color w:val="000000" w:themeColor="text1"/>
        </w:rPr>
        <w:t>Evaluating model architectures across the stratified volatility regimes reveals striking performance divergences:</w:t>
      </w:r>
    </w:p>
    <w:p w14:paraId="5E807A77" w14:textId="77777777" w:rsidR="00A84EB3" w:rsidRPr="00A84EB3" w:rsidRDefault="00A84EB3" w:rsidP="00A84EB3">
      <w:pPr>
        <w:pStyle w:val="code-line"/>
        <w:numPr>
          <w:ilvl w:val="0"/>
          <w:numId w:val="19"/>
        </w:numPr>
        <w:spacing w:before="0" w:beforeAutospacing="0" w:after="0" w:afterAutospacing="0" w:line="360" w:lineRule="auto"/>
        <w:rPr>
          <w:color w:val="000000" w:themeColor="text1"/>
        </w:rPr>
      </w:pPr>
      <w:r w:rsidRPr="00A84EB3">
        <w:rPr>
          <w:rStyle w:val="Strong"/>
          <w:color w:val="000000" w:themeColor="text1"/>
        </w:rPr>
        <w:t>In Low-Volatility Regimes (</w:t>
      </w:r>
      <w:r w:rsidRPr="00A84EB3">
        <w:rPr>
          <w:rStyle w:val="HTMLCode"/>
          <w:rFonts w:ascii="Times New Roman" w:hAnsi="Times New Roman" w:cs="Times New Roman"/>
          <w:b/>
          <w:bCs/>
          <w:color w:val="000000" w:themeColor="text1"/>
          <w:sz w:val="24"/>
          <w:szCs w:val="24"/>
          <w:shd w:val="clear" w:color="auto" w:fill="262626"/>
        </w:rPr>
        <w:t>1_OFF_PEAK</w:t>
      </w:r>
      <w:r w:rsidRPr="00A84EB3">
        <w:rPr>
          <w:rStyle w:val="Strong"/>
          <w:color w:val="000000" w:themeColor="text1"/>
        </w:rPr>
        <w:t>)</w:t>
      </w:r>
      <w:r w:rsidRPr="00A84EB3">
        <w:rPr>
          <w:color w:val="000000" w:themeColor="text1"/>
        </w:rPr>
        <w:t>: The Gradient Boosted Count Regressor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3</m:t>
            </m:r>
          </m:sub>
        </m:sSub>
      </m:oMath>
      <w:r w:rsidRPr="00A84EB3">
        <w:rPr>
          <w:color w:val="000000" w:themeColor="text1"/>
        </w:rPr>
        <w:t>) and Sequential Hybrid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5</m:t>
            </m:r>
          </m:sub>
        </m:sSub>
      </m:oMath>
      <w:r w:rsidRPr="00A84EB3">
        <w:rPr>
          <w:color w:val="000000" w:themeColor="text1"/>
        </w:rPr>
        <w:t>) achieve near-identical accuracy (</w:t>
      </w:r>
      <m:oMath>
        <m:r>
          <m:rPr>
            <m:nor/>
          </m:rPr>
          <w:rPr>
            <w:color w:val="000000" w:themeColor="text1"/>
          </w:rPr>
          <m:t>MASE</m:t>
        </m:r>
        <m:r>
          <w:rPr>
            <w:rFonts w:ascii="Cambria Math" w:hAnsi="Cambria Math"/>
            <w:color w:val="000000" w:themeColor="text1"/>
          </w:rPr>
          <m:t>≈0.60</m:t>
        </m:r>
        <m:r>
          <m:rPr>
            <m:nor/>
          </m:rPr>
          <w:rPr>
            <w:color w:val="000000" w:themeColor="text1"/>
          </w:rPr>
          <m:t>–</m:t>
        </m:r>
        <m:r>
          <w:rPr>
            <w:rFonts w:ascii="Cambria Math" w:hAnsi="Cambria Math"/>
            <w:color w:val="000000" w:themeColor="text1"/>
          </w:rPr>
          <m:t>0.62</m:t>
        </m:r>
      </m:oMath>
      <w:r w:rsidRPr="00A84EB3">
        <w:rPr>
          <w:color w:val="000000" w:themeColor="text1"/>
        </w:rPr>
        <w:t>). In stable flow environments, complex Kalman state corrections offer marginal incremental benefit over gradient boosted decision trees.</w:t>
      </w:r>
    </w:p>
    <w:p w14:paraId="01E7014C" w14:textId="77777777" w:rsidR="00A84EB3" w:rsidRPr="00A84EB3" w:rsidRDefault="00A84EB3" w:rsidP="00A84EB3">
      <w:pPr>
        <w:pStyle w:val="code-line"/>
        <w:numPr>
          <w:ilvl w:val="0"/>
          <w:numId w:val="19"/>
        </w:numPr>
        <w:spacing w:before="0" w:beforeAutospacing="0" w:after="0" w:afterAutospacing="0" w:line="360" w:lineRule="auto"/>
        <w:rPr>
          <w:color w:val="000000" w:themeColor="text1"/>
        </w:rPr>
      </w:pPr>
      <w:r w:rsidRPr="00A84EB3">
        <w:rPr>
          <w:rStyle w:val="Strong"/>
          <w:color w:val="000000" w:themeColor="text1"/>
        </w:rPr>
        <w:t>In High-Volatility Regimes (</w:t>
      </w:r>
      <w:r w:rsidRPr="00A84EB3">
        <w:rPr>
          <w:rStyle w:val="HTMLCode"/>
          <w:rFonts w:ascii="Times New Roman" w:hAnsi="Times New Roman" w:cs="Times New Roman"/>
          <w:b/>
          <w:bCs/>
          <w:color w:val="000000" w:themeColor="text1"/>
          <w:sz w:val="24"/>
          <w:szCs w:val="24"/>
          <w:shd w:val="clear" w:color="auto" w:fill="262626"/>
        </w:rPr>
        <w:t>3_PEAK</w:t>
      </w:r>
      <w:r w:rsidRPr="00A84EB3">
        <w:rPr>
          <w:rStyle w:val="Strong"/>
          <w:color w:val="000000" w:themeColor="text1"/>
        </w:rPr>
        <w:t> Summer Severe Weather)</w:t>
      </w:r>
      <w:r w:rsidRPr="00A84EB3">
        <w:rPr>
          <w:color w:val="000000" w:themeColor="text1"/>
        </w:rPr>
        <w:t>: The performance gap between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3</m:t>
            </m:r>
          </m:sub>
        </m:sSub>
      </m:oMath>
      <w:r w:rsidRPr="00A84EB3">
        <w:rPr>
          <w:color w:val="000000" w:themeColor="text1"/>
        </w:rPr>
        <w:t> and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5</m:t>
            </m:r>
          </m:sub>
        </m:sSub>
      </m:oMath>
      <w:r w:rsidRPr="00A84EB3">
        <w:rPr>
          <w:color w:val="000000" w:themeColor="text1"/>
        </w:rPr>
        <w:t> widens dramatically. Because extreme convective storms cause flight delays exceeding 3–5 hours,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3</m:t>
            </m:r>
          </m:sub>
        </m:sSub>
      </m:oMath>
      <w:r w:rsidRPr="00A84EB3">
        <w:rPr>
          <w:color w:val="000000" w:themeColor="text1"/>
        </w:rPr>
        <w:t> suffers from the "empty checkpoint fallacy," degrading to </w:t>
      </w:r>
      <m:oMath>
        <m:r>
          <m:rPr>
            <m:nor/>
          </m:rPr>
          <w:rPr>
            <w:color w:val="000000" w:themeColor="text1"/>
          </w:rPr>
          <m:t>MASE</m:t>
        </m:r>
        <m:r>
          <w:rPr>
            <w:rFonts w:ascii="Cambria Math" w:hAnsi="Cambria Math"/>
            <w:color w:val="000000" w:themeColor="text1"/>
          </w:rPr>
          <m:t>=1.025</m:t>
        </m:r>
      </m:oMath>
      <w:r w:rsidRPr="00A84EB3">
        <w:rPr>
          <w:color w:val="000000" w:themeColor="text1"/>
        </w:rPr>
        <w:t>. In contrast, the Two-Stage Hybrid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5</m:t>
            </m:r>
          </m:sub>
        </m:sSub>
      </m:oMath>
      <w:r w:rsidRPr="00A84EB3">
        <w:rPr>
          <w:color w:val="000000" w:themeColor="text1"/>
        </w:rPr>
        <w:t>) dynamically incorporates prior-hour terminal congestion feedback (</w:t>
      </w:r>
      <m:oMath>
        <m:r>
          <w:rPr>
            <w:rFonts w:ascii="Cambria Math" w:hAnsi="Cambria Math"/>
            <w:color w:val="000000" w:themeColor="text1"/>
          </w:rPr>
          <m:t>t-1</m:t>
        </m:r>
      </m:oMath>
      <w:r w:rsidRPr="00A84EB3">
        <w:rPr>
          <w:color w:val="000000" w:themeColor="text1"/>
        </w:rPr>
        <w:t>), maintaining robust error bounds (</w:t>
      </w:r>
      <m:oMath>
        <m:r>
          <m:rPr>
            <m:nor/>
          </m:rPr>
          <w:rPr>
            <w:color w:val="000000" w:themeColor="text1"/>
          </w:rPr>
          <m:t>MASE</m:t>
        </m:r>
        <m:r>
          <w:rPr>
            <w:rFonts w:ascii="Cambria Math" w:hAnsi="Cambria Math"/>
            <w:color w:val="000000" w:themeColor="text1"/>
          </w:rPr>
          <m:t>=0.737,</m:t>
        </m:r>
        <m:r>
          <m:rPr>
            <m:nor/>
          </m:rPr>
          <w:rPr>
            <w:color w:val="000000" w:themeColor="text1"/>
          </w:rPr>
          <m:t>RMSE</m:t>
        </m:r>
        <m:r>
          <w:rPr>
            <w:rFonts w:ascii="Cambria Math" w:hAnsi="Cambria Math"/>
            <w:color w:val="000000" w:themeColor="text1"/>
          </w:rPr>
          <m:t>=1,023.2</m:t>
        </m:r>
      </m:oMath>
      <w:r w:rsidRPr="00A84EB3">
        <w:rPr>
          <w:color w:val="000000" w:themeColor="text1"/>
        </w:rPr>
        <w:t>).</w:t>
      </w:r>
    </w:p>
    <w:p w14:paraId="454F0065" w14:textId="77777777" w:rsidR="00983DE5" w:rsidRPr="00A84EB3" w:rsidRDefault="00983DE5" w:rsidP="00A84EB3">
      <w:pPr>
        <w:pStyle w:val="code-line"/>
        <w:spacing w:before="0" w:beforeAutospacing="0" w:after="0" w:afterAutospacing="0" w:line="360" w:lineRule="auto"/>
        <w:rPr>
          <w:color w:val="000000" w:themeColor="text1"/>
        </w:rPr>
      </w:pPr>
    </w:p>
    <w:p w14:paraId="65CDDB3D" w14:textId="2FDE0C18" w:rsidR="001B12E4" w:rsidRPr="00A84EB3" w:rsidRDefault="001B12E4" w:rsidP="00A84EB3">
      <w:pPr>
        <w:pStyle w:val="Heading3"/>
        <w:spacing w:before="0" w:line="360" w:lineRule="auto"/>
        <w:rPr>
          <w:rFonts w:ascii="Times New Roman" w:hAnsi="Times New Roman" w:cs="Times New Roman"/>
          <w:color w:val="000000" w:themeColor="text1"/>
        </w:rPr>
      </w:pPr>
    </w:p>
    <w:sectPr w:rsidR="001B12E4" w:rsidRPr="00A84EB3" w:rsidSect="001A5F94">
      <w:head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3C062B" w14:textId="77777777" w:rsidR="007B07D4" w:rsidRDefault="007B07D4">
      <w:r>
        <w:separator/>
      </w:r>
    </w:p>
  </w:endnote>
  <w:endnote w:type="continuationSeparator" w:id="0">
    <w:p w14:paraId="4E535240" w14:textId="77777777" w:rsidR="007B07D4" w:rsidRDefault="007B0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C589B" w14:textId="77777777" w:rsidR="007B07D4" w:rsidRDefault="007B07D4">
      <w:r>
        <w:separator/>
      </w:r>
    </w:p>
  </w:footnote>
  <w:footnote w:type="continuationSeparator" w:id="0">
    <w:p w14:paraId="64497280" w14:textId="77777777" w:rsidR="007B07D4" w:rsidRDefault="007B0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9CCC2" w14:textId="568604AD" w:rsidR="00D92EBB" w:rsidRDefault="00D92EBB" w:rsidP="007B61B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11879"/>
    <w:multiLevelType w:val="hybridMultilevel"/>
    <w:tmpl w:val="40207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D76DD"/>
    <w:multiLevelType w:val="hybridMultilevel"/>
    <w:tmpl w:val="DA3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778AE"/>
    <w:multiLevelType w:val="hybridMultilevel"/>
    <w:tmpl w:val="EE724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433EE"/>
    <w:multiLevelType w:val="hybridMultilevel"/>
    <w:tmpl w:val="EF120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A6281"/>
    <w:multiLevelType w:val="hybridMultilevel"/>
    <w:tmpl w:val="564285B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70EE7"/>
    <w:multiLevelType w:val="multilevel"/>
    <w:tmpl w:val="DB64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75477"/>
    <w:multiLevelType w:val="multilevel"/>
    <w:tmpl w:val="594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F7969"/>
    <w:multiLevelType w:val="hybridMultilevel"/>
    <w:tmpl w:val="D7A8D0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CC3600"/>
    <w:multiLevelType w:val="hybridMultilevel"/>
    <w:tmpl w:val="DA3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9A42F8"/>
    <w:multiLevelType w:val="hybridMultilevel"/>
    <w:tmpl w:val="10FAB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0C7D7B"/>
    <w:multiLevelType w:val="multilevel"/>
    <w:tmpl w:val="4F061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9E66C6"/>
    <w:multiLevelType w:val="hybridMultilevel"/>
    <w:tmpl w:val="A30C821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B4BE3"/>
    <w:multiLevelType w:val="multilevel"/>
    <w:tmpl w:val="EC8E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CB64AC"/>
    <w:multiLevelType w:val="multilevel"/>
    <w:tmpl w:val="D0ACF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92186B"/>
    <w:multiLevelType w:val="hybridMultilevel"/>
    <w:tmpl w:val="D9728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7BB371B"/>
    <w:multiLevelType w:val="multilevel"/>
    <w:tmpl w:val="7D4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C0A34"/>
    <w:multiLevelType w:val="hybridMultilevel"/>
    <w:tmpl w:val="3AC4E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A93E0C"/>
    <w:multiLevelType w:val="hybridMultilevel"/>
    <w:tmpl w:val="BA96B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A66213"/>
    <w:multiLevelType w:val="multilevel"/>
    <w:tmpl w:val="6F4A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06009">
    <w:abstractNumId w:val="9"/>
  </w:num>
  <w:num w:numId="2" w16cid:durableId="737047445">
    <w:abstractNumId w:val="4"/>
  </w:num>
  <w:num w:numId="3" w16cid:durableId="421609656">
    <w:abstractNumId w:val="14"/>
  </w:num>
  <w:num w:numId="4" w16cid:durableId="705837754">
    <w:abstractNumId w:val="15"/>
  </w:num>
  <w:num w:numId="5" w16cid:durableId="1616063439">
    <w:abstractNumId w:val="16"/>
  </w:num>
  <w:num w:numId="6" w16cid:durableId="94636418">
    <w:abstractNumId w:val="7"/>
  </w:num>
  <w:num w:numId="7" w16cid:durableId="1860969754">
    <w:abstractNumId w:val="0"/>
  </w:num>
  <w:num w:numId="8" w16cid:durableId="25646316">
    <w:abstractNumId w:val="3"/>
  </w:num>
  <w:num w:numId="9" w16cid:durableId="806894995">
    <w:abstractNumId w:val="1"/>
  </w:num>
  <w:num w:numId="10" w16cid:durableId="1973780043">
    <w:abstractNumId w:val="17"/>
  </w:num>
  <w:num w:numId="11" w16cid:durableId="1423649317">
    <w:abstractNumId w:val="8"/>
  </w:num>
  <w:num w:numId="12" w16cid:durableId="527836589">
    <w:abstractNumId w:val="2"/>
  </w:num>
  <w:num w:numId="13" w16cid:durableId="1637951309">
    <w:abstractNumId w:val="18"/>
  </w:num>
  <w:num w:numId="14" w16cid:durableId="1878467714">
    <w:abstractNumId w:val="11"/>
  </w:num>
  <w:num w:numId="15" w16cid:durableId="22555084">
    <w:abstractNumId w:val="5"/>
  </w:num>
  <w:num w:numId="16" w16cid:durableId="1200975773">
    <w:abstractNumId w:val="12"/>
  </w:num>
  <w:num w:numId="17" w16cid:durableId="658384425">
    <w:abstractNumId w:val="10"/>
  </w:num>
  <w:num w:numId="18" w16cid:durableId="1585141216">
    <w:abstractNumId w:val="13"/>
  </w:num>
  <w:num w:numId="19" w16cid:durableId="23979876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activeWritingStyle w:appName="MSWord" w:lang="en-US" w:vendorID="64" w:dllVersion="6" w:nlCheck="1" w:checkStyle="1"/>
  <w:activeWritingStyle w:appName="MSWord" w:lang="en-US" w:vendorID="64" w:dllVersion="0" w:nlCheck="1" w:checkStyle="0"/>
  <w:activeWritingStyle w:appName="MSWord" w:lang="pt-BR" w:vendorID="64" w:dllVersion="0" w:nlCheck="1" w:checkStyle="0"/>
  <w:activeWritingStyle w:appName="MSWord" w:lang="en-GB" w:vendorID="64" w:dllVersion="6" w:nlCheck="1" w:checkStyle="0"/>
  <w:activeWritingStyle w:appName="MSWord" w:lang="en-US" w:vendorID="64" w:dllVersion="4096" w:nlCheck="1" w:checkStyle="0"/>
  <w:activeWritingStyle w:appName="MSWord" w:lang="es-ES" w:vendorID="64" w:dllVersion="0" w:nlCheck="1" w:checkStyle="0"/>
  <w:activeWritingStyle w:appName="MSWord" w:lang="en-US" w:vendorID="2" w:dllVersion="6"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43294C6-A308-4100-82FB-5B018E7B3F1B}"/>
    <w:docVar w:name="dgnword-eventsink" w:val="49603272"/>
  </w:docVars>
  <w:rsids>
    <w:rsidRoot w:val="00220409"/>
    <w:rsid w:val="00002CA4"/>
    <w:rsid w:val="000052D6"/>
    <w:rsid w:val="0000570E"/>
    <w:rsid w:val="0000615E"/>
    <w:rsid w:val="00007DD5"/>
    <w:rsid w:val="00010E7C"/>
    <w:rsid w:val="00012273"/>
    <w:rsid w:val="00014154"/>
    <w:rsid w:val="000146B1"/>
    <w:rsid w:val="00014F98"/>
    <w:rsid w:val="000165F2"/>
    <w:rsid w:val="000168B6"/>
    <w:rsid w:val="000208F0"/>
    <w:rsid w:val="00022458"/>
    <w:rsid w:val="00022901"/>
    <w:rsid w:val="00022D30"/>
    <w:rsid w:val="00023039"/>
    <w:rsid w:val="00023A63"/>
    <w:rsid w:val="00025339"/>
    <w:rsid w:val="000256FE"/>
    <w:rsid w:val="00026ED0"/>
    <w:rsid w:val="00030FBC"/>
    <w:rsid w:val="00031385"/>
    <w:rsid w:val="00033F79"/>
    <w:rsid w:val="000343D9"/>
    <w:rsid w:val="0003501D"/>
    <w:rsid w:val="00035C21"/>
    <w:rsid w:val="00035EDD"/>
    <w:rsid w:val="0003658F"/>
    <w:rsid w:val="00040AF0"/>
    <w:rsid w:val="000445EB"/>
    <w:rsid w:val="00044E23"/>
    <w:rsid w:val="0004591D"/>
    <w:rsid w:val="0005122C"/>
    <w:rsid w:val="00052A0A"/>
    <w:rsid w:val="00054950"/>
    <w:rsid w:val="00054ABD"/>
    <w:rsid w:val="00055ED5"/>
    <w:rsid w:val="00056D12"/>
    <w:rsid w:val="00062D5B"/>
    <w:rsid w:val="000632EA"/>
    <w:rsid w:val="000637AC"/>
    <w:rsid w:val="00065B8B"/>
    <w:rsid w:val="00065BFB"/>
    <w:rsid w:val="00065EF9"/>
    <w:rsid w:val="00067A5C"/>
    <w:rsid w:val="00071312"/>
    <w:rsid w:val="00071384"/>
    <w:rsid w:val="00072AA3"/>
    <w:rsid w:val="00076ECC"/>
    <w:rsid w:val="00076F4B"/>
    <w:rsid w:val="0007766B"/>
    <w:rsid w:val="0009218B"/>
    <w:rsid w:val="000931FB"/>
    <w:rsid w:val="0009346D"/>
    <w:rsid w:val="00094B03"/>
    <w:rsid w:val="000964D6"/>
    <w:rsid w:val="000A1622"/>
    <w:rsid w:val="000A2A12"/>
    <w:rsid w:val="000A3013"/>
    <w:rsid w:val="000A4082"/>
    <w:rsid w:val="000A5CC6"/>
    <w:rsid w:val="000A6D6D"/>
    <w:rsid w:val="000A6E26"/>
    <w:rsid w:val="000A73EC"/>
    <w:rsid w:val="000A7CE9"/>
    <w:rsid w:val="000B052D"/>
    <w:rsid w:val="000B1B7D"/>
    <w:rsid w:val="000C4B2E"/>
    <w:rsid w:val="000C6BF8"/>
    <w:rsid w:val="000D06F6"/>
    <w:rsid w:val="000D13C4"/>
    <w:rsid w:val="000D1C56"/>
    <w:rsid w:val="000D258B"/>
    <w:rsid w:val="000D5C5D"/>
    <w:rsid w:val="000E27CA"/>
    <w:rsid w:val="000E4D02"/>
    <w:rsid w:val="000E5EB0"/>
    <w:rsid w:val="000F02B1"/>
    <w:rsid w:val="000F078F"/>
    <w:rsid w:val="000F2691"/>
    <w:rsid w:val="000F3689"/>
    <w:rsid w:val="000F3D61"/>
    <w:rsid w:val="000F4378"/>
    <w:rsid w:val="001000BD"/>
    <w:rsid w:val="00100F71"/>
    <w:rsid w:val="00102679"/>
    <w:rsid w:val="001043B9"/>
    <w:rsid w:val="001073B8"/>
    <w:rsid w:val="00107727"/>
    <w:rsid w:val="001114BA"/>
    <w:rsid w:val="00112917"/>
    <w:rsid w:val="00113670"/>
    <w:rsid w:val="0011773F"/>
    <w:rsid w:val="0012277A"/>
    <w:rsid w:val="001243D9"/>
    <w:rsid w:val="0012456E"/>
    <w:rsid w:val="00130DB7"/>
    <w:rsid w:val="00133825"/>
    <w:rsid w:val="001345AE"/>
    <w:rsid w:val="00137D4E"/>
    <w:rsid w:val="00137DD5"/>
    <w:rsid w:val="00137F86"/>
    <w:rsid w:val="00141BA9"/>
    <w:rsid w:val="00141CCB"/>
    <w:rsid w:val="0014323E"/>
    <w:rsid w:val="00150688"/>
    <w:rsid w:val="00150ED4"/>
    <w:rsid w:val="00151080"/>
    <w:rsid w:val="001511AB"/>
    <w:rsid w:val="00151737"/>
    <w:rsid w:val="00152BB8"/>
    <w:rsid w:val="00154386"/>
    <w:rsid w:val="0015442A"/>
    <w:rsid w:val="0015524B"/>
    <w:rsid w:val="00156ED4"/>
    <w:rsid w:val="00161DF1"/>
    <w:rsid w:val="0016292F"/>
    <w:rsid w:val="00163917"/>
    <w:rsid w:val="0016447E"/>
    <w:rsid w:val="001645F6"/>
    <w:rsid w:val="00170098"/>
    <w:rsid w:val="001755F4"/>
    <w:rsid w:val="0017696B"/>
    <w:rsid w:val="00177ECF"/>
    <w:rsid w:val="00182A0A"/>
    <w:rsid w:val="00183937"/>
    <w:rsid w:val="00187FA7"/>
    <w:rsid w:val="00194141"/>
    <w:rsid w:val="0019468A"/>
    <w:rsid w:val="00194EDC"/>
    <w:rsid w:val="001A1049"/>
    <w:rsid w:val="001A14E9"/>
    <w:rsid w:val="001A1BC1"/>
    <w:rsid w:val="001A30E7"/>
    <w:rsid w:val="001A5F82"/>
    <w:rsid w:val="001A5F94"/>
    <w:rsid w:val="001B12E4"/>
    <w:rsid w:val="001B13B1"/>
    <w:rsid w:val="001B18EB"/>
    <w:rsid w:val="001B44C0"/>
    <w:rsid w:val="001B6D6A"/>
    <w:rsid w:val="001C115A"/>
    <w:rsid w:val="001C28DE"/>
    <w:rsid w:val="001C36B5"/>
    <w:rsid w:val="001C6AD2"/>
    <w:rsid w:val="001C7C36"/>
    <w:rsid w:val="001D00EF"/>
    <w:rsid w:val="001D13F5"/>
    <w:rsid w:val="001D1627"/>
    <w:rsid w:val="001D16DC"/>
    <w:rsid w:val="001D302F"/>
    <w:rsid w:val="001D4874"/>
    <w:rsid w:val="001E3771"/>
    <w:rsid w:val="001E380B"/>
    <w:rsid w:val="001E52DC"/>
    <w:rsid w:val="001E574F"/>
    <w:rsid w:val="001F091E"/>
    <w:rsid w:val="001F1B49"/>
    <w:rsid w:val="001F306D"/>
    <w:rsid w:val="001F43E9"/>
    <w:rsid w:val="001F5319"/>
    <w:rsid w:val="001F642F"/>
    <w:rsid w:val="001F68EF"/>
    <w:rsid w:val="001F6997"/>
    <w:rsid w:val="001F7626"/>
    <w:rsid w:val="00202A46"/>
    <w:rsid w:val="00203758"/>
    <w:rsid w:val="002053E7"/>
    <w:rsid w:val="00211407"/>
    <w:rsid w:val="00211CA2"/>
    <w:rsid w:val="00213434"/>
    <w:rsid w:val="00214B82"/>
    <w:rsid w:val="00215244"/>
    <w:rsid w:val="00217616"/>
    <w:rsid w:val="00220409"/>
    <w:rsid w:val="002312C7"/>
    <w:rsid w:val="002327B5"/>
    <w:rsid w:val="0023381B"/>
    <w:rsid w:val="00234DC1"/>
    <w:rsid w:val="0024205F"/>
    <w:rsid w:val="00245E1D"/>
    <w:rsid w:val="0025469F"/>
    <w:rsid w:val="00254F67"/>
    <w:rsid w:val="00256DA7"/>
    <w:rsid w:val="002577B7"/>
    <w:rsid w:val="0026119C"/>
    <w:rsid w:val="00265C9A"/>
    <w:rsid w:val="00266CF4"/>
    <w:rsid w:val="00267773"/>
    <w:rsid w:val="00271A31"/>
    <w:rsid w:val="002745A4"/>
    <w:rsid w:val="00275187"/>
    <w:rsid w:val="002753FF"/>
    <w:rsid w:val="002759FB"/>
    <w:rsid w:val="00276516"/>
    <w:rsid w:val="00276E3E"/>
    <w:rsid w:val="0028164A"/>
    <w:rsid w:val="002816EE"/>
    <w:rsid w:val="00282125"/>
    <w:rsid w:val="00285D74"/>
    <w:rsid w:val="00287A7E"/>
    <w:rsid w:val="0029270F"/>
    <w:rsid w:val="002938F9"/>
    <w:rsid w:val="0029645E"/>
    <w:rsid w:val="00296728"/>
    <w:rsid w:val="002B2ECD"/>
    <w:rsid w:val="002B5A97"/>
    <w:rsid w:val="002B6BB5"/>
    <w:rsid w:val="002C2859"/>
    <w:rsid w:val="002C388A"/>
    <w:rsid w:val="002C3970"/>
    <w:rsid w:val="002C7458"/>
    <w:rsid w:val="002C7C44"/>
    <w:rsid w:val="002D2466"/>
    <w:rsid w:val="002D3A54"/>
    <w:rsid w:val="002D5479"/>
    <w:rsid w:val="002D55F9"/>
    <w:rsid w:val="002D79A4"/>
    <w:rsid w:val="002E1137"/>
    <w:rsid w:val="002E2F1A"/>
    <w:rsid w:val="002E4908"/>
    <w:rsid w:val="002E4A1E"/>
    <w:rsid w:val="002E72F5"/>
    <w:rsid w:val="002F03CB"/>
    <w:rsid w:val="002F0DF2"/>
    <w:rsid w:val="002F20ED"/>
    <w:rsid w:val="002F2417"/>
    <w:rsid w:val="002F3DDF"/>
    <w:rsid w:val="002F5359"/>
    <w:rsid w:val="002F536A"/>
    <w:rsid w:val="002F597D"/>
    <w:rsid w:val="00301218"/>
    <w:rsid w:val="00302958"/>
    <w:rsid w:val="003040CF"/>
    <w:rsid w:val="00304643"/>
    <w:rsid w:val="00313E7B"/>
    <w:rsid w:val="00325705"/>
    <w:rsid w:val="00325B81"/>
    <w:rsid w:val="003303B7"/>
    <w:rsid w:val="00330C63"/>
    <w:rsid w:val="00341B04"/>
    <w:rsid w:val="0034559D"/>
    <w:rsid w:val="0034670B"/>
    <w:rsid w:val="00346F4E"/>
    <w:rsid w:val="00346FCB"/>
    <w:rsid w:val="00350CC8"/>
    <w:rsid w:val="00351C3D"/>
    <w:rsid w:val="00352544"/>
    <w:rsid w:val="003536E2"/>
    <w:rsid w:val="003553DE"/>
    <w:rsid w:val="00356C18"/>
    <w:rsid w:val="00357BBE"/>
    <w:rsid w:val="00365C88"/>
    <w:rsid w:val="00365F72"/>
    <w:rsid w:val="003670E9"/>
    <w:rsid w:val="00367472"/>
    <w:rsid w:val="00370372"/>
    <w:rsid w:val="00372513"/>
    <w:rsid w:val="00372ABE"/>
    <w:rsid w:val="00376876"/>
    <w:rsid w:val="00382979"/>
    <w:rsid w:val="00383168"/>
    <w:rsid w:val="003834D2"/>
    <w:rsid w:val="00386236"/>
    <w:rsid w:val="0038762D"/>
    <w:rsid w:val="00390B6B"/>
    <w:rsid w:val="00390B7D"/>
    <w:rsid w:val="00395437"/>
    <w:rsid w:val="00397093"/>
    <w:rsid w:val="003978B2"/>
    <w:rsid w:val="003A112B"/>
    <w:rsid w:val="003A2353"/>
    <w:rsid w:val="003A6C22"/>
    <w:rsid w:val="003A7018"/>
    <w:rsid w:val="003A74BE"/>
    <w:rsid w:val="003B2CAE"/>
    <w:rsid w:val="003B2FA2"/>
    <w:rsid w:val="003B3496"/>
    <w:rsid w:val="003B508D"/>
    <w:rsid w:val="003B5BDB"/>
    <w:rsid w:val="003B62BF"/>
    <w:rsid w:val="003B7182"/>
    <w:rsid w:val="003C0429"/>
    <w:rsid w:val="003C055A"/>
    <w:rsid w:val="003C0591"/>
    <w:rsid w:val="003C2457"/>
    <w:rsid w:val="003C4638"/>
    <w:rsid w:val="003C468A"/>
    <w:rsid w:val="003C62E5"/>
    <w:rsid w:val="003C66E0"/>
    <w:rsid w:val="003C6A98"/>
    <w:rsid w:val="003D0617"/>
    <w:rsid w:val="003D0CBB"/>
    <w:rsid w:val="003D1598"/>
    <w:rsid w:val="003D3D8E"/>
    <w:rsid w:val="003E41DC"/>
    <w:rsid w:val="003E6538"/>
    <w:rsid w:val="003F1EBE"/>
    <w:rsid w:val="003F5491"/>
    <w:rsid w:val="003F56CA"/>
    <w:rsid w:val="003F5CD1"/>
    <w:rsid w:val="004006DF"/>
    <w:rsid w:val="0040551D"/>
    <w:rsid w:val="00406656"/>
    <w:rsid w:val="004108F5"/>
    <w:rsid w:val="00412EB4"/>
    <w:rsid w:val="00416379"/>
    <w:rsid w:val="00417F24"/>
    <w:rsid w:val="00420D2A"/>
    <w:rsid w:val="0043165F"/>
    <w:rsid w:val="004328AE"/>
    <w:rsid w:val="00433D95"/>
    <w:rsid w:val="004348E1"/>
    <w:rsid w:val="0043539B"/>
    <w:rsid w:val="00443C4B"/>
    <w:rsid w:val="00445C3F"/>
    <w:rsid w:val="00447065"/>
    <w:rsid w:val="00450CD6"/>
    <w:rsid w:val="00450DBE"/>
    <w:rsid w:val="00452D03"/>
    <w:rsid w:val="0045329E"/>
    <w:rsid w:val="004552A8"/>
    <w:rsid w:val="004639A1"/>
    <w:rsid w:val="004641BA"/>
    <w:rsid w:val="00465DCC"/>
    <w:rsid w:val="004662E4"/>
    <w:rsid w:val="00467992"/>
    <w:rsid w:val="00472FB2"/>
    <w:rsid w:val="00473A8F"/>
    <w:rsid w:val="00473DF2"/>
    <w:rsid w:val="00474262"/>
    <w:rsid w:val="004746F9"/>
    <w:rsid w:val="00480143"/>
    <w:rsid w:val="00480372"/>
    <w:rsid w:val="004817F8"/>
    <w:rsid w:val="00482A3F"/>
    <w:rsid w:val="00483407"/>
    <w:rsid w:val="00483418"/>
    <w:rsid w:val="00490D9B"/>
    <w:rsid w:val="00493248"/>
    <w:rsid w:val="004934A1"/>
    <w:rsid w:val="00493ECE"/>
    <w:rsid w:val="00497236"/>
    <w:rsid w:val="004A32B0"/>
    <w:rsid w:val="004A3970"/>
    <w:rsid w:val="004A429B"/>
    <w:rsid w:val="004A4BE5"/>
    <w:rsid w:val="004A6109"/>
    <w:rsid w:val="004A66AE"/>
    <w:rsid w:val="004B026A"/>
    <w:rsid w:val="004B1048"/>
    <w:rsid w:val="004B34AB"/>
    <w:rsid w:val="004C229E"/>
    <w:rsid w:val="004C3DA2"/>
    <w:rsid w:val="004C574E"/>
    <w:rsid w:val="004C5C91"/>
    <w:rsid w:val="004C67C6"/>
    <w:rsid w:val="004C6F11"/>
    <w:rsid w:val="004C747C"/>
    <w:rsid w:val="004D2B3B"/>
    <w:rsid w:val="004D3F93"/>
    <w:rsid w:val="004D535C"/>
    <w:rsid w:val="004E0342"/>
    <w:rsid w:val="004E23B8"/>
    <w:rsid w:val="004E4815"/>
    <w:rsid w:val="004E4A7C"/>
    <w:rsid w:val="004E6827"/>
    <w:rsid w:val="004E6D10"/>
    <w:rsid w:val="004F1558"/>
    <w:rsid w:val="004F2DDA"/>
    <w:rsid w:val="004F37E0"/>
    <w:rsid w:val="004F474A"/>
    <w:rsid w:val="004F5980"/>
    <w:rsid w:val="004F6723"/>
    <w:rsid w:val="004F6809"/>
    <w:rsid w:val="004F7529"/>
    <w:rsid w:val="004F7C2C"/>
    <w:rsid w:val="0050331C"/>
    <w:rsid w:val="00504196"/>
    <w:rsid w:val="00511324"/>
    <w:rsid w:val="00512019"/>
    <w:rsid w:val="00523223"/>
    <w:rsid w:val="005246F4"/>
    <w:rsid w:val="005247A0"/>
    <w:rsid w:val="00524A5D"/>
    <w:rsid w:val="0052525B"/>
    <w:rsid w:val="0052549B"/>
    <w:rsid w:val="00526233"/>
    <w:rsid w:val="00526C10"/>
    <w:rsid w:val="00536231"/>
    <w:rsid w:val="005362B5"/>
    <w:rsid w:val="0053799A"/>
    <w:rsid w:val="00542505"/>
    <w:rsid w:val="00542AF7"/>
    <w:rsid w:val="005467E6"/>
    <w:rsid w:val="005504A3"/>
    <w:rsid w:val="00560851"/>
    <w:rsid w:val="0056316F"/>
    <w:rsid w:val="00563CB5"/>
    <w:rsid w:val="00565618"/>
    <w:rsid w:val="0056597B"/>
    <w:rsid w:val="00566953"/>
    <w:rsid w:val="00566964"/>
    <w:rsid w:val="005722A3"/>
    <w:rsid w:val="00573452"/>
    <w:rsid w:val="005753D4"/>
    <w:rsid w:val="0057683C"/>
    <w:rsid w:val="00581A65"/>
    <w:rsid w:val="0058551D"/>
    <w:rsid w:val="00586377"/>
    <w:rsid w:val="00586C1E"/>
    <w:rsid w:val="00590126"/>
    <w:rsid w:val="005912AC"/>
    <w:rsid w:val="00591CDA"/>
    <w:rsid w:val="005959AD"/>
    <w:rsid w:val="005A0CA9"/>
    <w:rsid w:val="005B107D"/>
    <w:rsid w:val="005B272A"/>
    <w:rsid w:val="005B2D41"/>
    <w:rsid w:val="005B3673"/>
    <w:rsid w:val="005B3ABE"/>
    <w:rsid w:val="005B3FCD"/>
    <w:rsid w:val="005B7D0D"/>
    <w:rsid w:val="005C007D"/>
    <w:rsid w:val="005C20E6"/>
    <w:rsid w:val="005C279B"/>
    <w:rsid w:val="005C4AA8"/>
    <w:rsid w:val="005D0FED"/>
    <w:rsid w:val="005D2C71"/>
    <w:rsid w:val="005D66B8"/>
    <w:rsid w:val="005E2573"/>
    <w:rsid w:val="005E2818"/>
    <w:rsid w:val="005E3839"/>
    <w:rsid w:val="005E4199"/>
    <w:rsid w:val="005E4D2A"/>
    <w:rsid w:val="005E5B61"/>
    <w:rsid w:val="005E7787"/>
    <w:rsid w:val="005E79B8"/>
    <w:rsid w:val="005F274D"/>
    <w:rsid w:val="005F459C"/>
    <w:rsid w:val="005F4A13"/>
    <w:rsid w:val="005F7431"/>
    <w:rsid w:val="00603BCF"/>
    <w:rsid w:val="00603C6A"/>
    <w:rsid w:val="00605004"/>
    <w:rsid w:val="006076F6"/>
    <w:rsid w:val="00610C23"/>
    <w:rsid w:val="00611725"/>
    <w:rsid w:val="00611C2B"/>
    <w:rsid w:val="00615A57"/>
    <w:rsid w:val="0061627E"/>
    <w:rsid w:val="00620199"/>
    <w:rsid w:val="0062225E"/>
    <w:rsid w:val="0062232C"/>
    <w:rsid w:val="006254B5"/>
    <w:rsid w:val="00626249"/>
    <w:rsid w:val="00640ED2"/>
    <w:rsid w:val="00644FB6"/>
    <w:rsid w:val="00644FD2"/>
    <w:rsid w:val="00645E59"/>
    <w:rsid w:val="006478E6"/>
    <w:rsid w:val="00650505"/>
    <w:rsid w:val="006519AB"/>
    <w:rsid w:val="00652E43"/>
    <w:rsid w:val="006548A0"/>
    <w:rsid w:val="00661077"/>
    <w:rsid w:val="0066248D"/>
    <w:rsid w:val="00663BE2"/>
    <w:rsid w:val="00666B55"/>
    <w:rsid w:val="00667887"/>
    <w:rsid w:val="00670AF5"/>
    <w:rsid w:val="00671077"/>
    <w:rsid w:val="00673742"/>
    <w:rsid w:val="00674239"/>
    <w:rsid w:val="00674AFF"/>
    <w:rsid w:val="0067557A"/>
    <w:rsid w:val="00675812"/>
    <w:rsid w:val="0067669E"/>
    <w:rsid w:val="00681186"/>
    <w:rsid w:val="00681317"/>
    <w:rsid w:val="00683A20"/>
    <w:rsid w:val="006843E4"/>
    <w:rsid w:val="00687651"/>
    <w:rsid w:val="00690337"/>
    <w:rsid w:val="00690980"/>
    <w:rsid w:val="00693A7F"/>
    <w:rsid w:val="0069471D"/>
    <w:rsid w:val="00694EBA"/>
    <w:rsid w:val="0069560C"/>
    <w:rsid w:val="006A095D"/>
    <w:rsid w:val="006A0B7C"/>
    <w:rsid w:val="006A10F3"/>
    <w:rsid w:val="006A1D4F"/>
    <w:rsid w:val="006A253D"/>
    <w:rsid w:val="006A47EC"/>
    <w:rsid w:val="006A4C0C"/>
    <w:rsid w:val="006A50AD"/>
    <w:rsid w:val="006A592B"/>
    <w:rsid w:val="006A7CEC"/>
    <w:rsid w:val="006B142D"/>
    <w:rsid w:val="006B57AF"/>
    <w:rsid w:val="006B794A"/>
    <w:rsid w:val="006C06F1"/>
    <w:rsid w:val="006C0838"/>
    <w:rsid w:val="006C0E0F"/>
    <w:rsid w:val="006C2276"/>
    <w:rsid w:val="006C331F"/>
    <w:rsid w:val="006C5143"/>
    <w:rsid w:val="006C589C"/>
    <w:rsid w:val="006C6806"/>
    <w:rsid w:val="006C780E"/>
    <w:rsid w:val="006D0980"/>
    <w:rsid w:val="006D164E"/>
    <w:rsid w:val="006D46C6"/>
    <w:rsid w:val="006D79A0"/>
    <w:rsid w:val="006E06E8"/>
    <w:rsid w:val="006E2EF0"/>
    <w:rsid w:val="006E369F"/>
    <w:rsid w:val="006E4D3C"/>
    <w:rsid w:val="006F0154"/>
    <w:rsid w:val="006F0CCD"/>
    <w:rsid w:val="006F1C2D"/>
    <w:rsid w:val="006F3338"/>
    <w:rsid w:val="006F403D"/>
    <w:rsid w:val="006F4200"/>
    <w:rsid w:val="006F42EB"/>
    <w:rsid w:val="006F4EA7"/>
    <w:rsid w:val="006F66AF"/>
    <w:rsid w:val="00703B0F"/>
    <w:rsid w:val="00704316"/>
    <w:rsid w:val="007064D1"/>
    <w:rsid w:val="007077EB"/>
    <w:rsid w:val="00707A9B"/>
    <w:rsid w:val="00714277"/>
    <w:rsid w:val="00717047"/>
    <w:rsid w:val="00717771"/>
    <w:rsid w:val="00717E19"/>
    <w:rsid w:val="0072191F"/>
    <w:rsid w:val="00722BC7"/>
    <w:rsid w:val="00726F69"/>
    <w:rsid w:val="007304C4"/>
    <w:rsid w:val="00730B6F"/>
    <w:rsid w:val="00733894"/>
    <w:rsid w:val="00734B2C"/>
    <w:rsid w:val="00737E64"/>
    <w:rsid w:val="0074145E"/>
    <w:rsid w:val="007453FE"/>
    <w:rsid w:val="00746DEC"/>
    <w:rsid w:val="00753601"/>
    <w:rsid w:val="00755655"/>
    <w:rsid w:val="00756048"/>
    <w:rsid w:val="007570EA"/>
    <w:rsid w:val="0076075D"/>
    <w:rsid w:val="007628AB"/>
    <w:rsid w:val="00766164"/>
    <w:rsid w:val="00771CE4"/>
    <w:rsid w:val="007731E5"/>
    <w:rsid w:val="00773253"/>
    <w:rsid w:val="00773A89"/>
    <w:rsid w:val="00775483"/>
    <w:rsid w:val="00775844"/>
    <w:rsid w:val="00775DB2"/>
    <w:rsid w:val="00776CDE"/>
    <w:rsid w:val="00782272"/>
    <w:rsid w:val="0078445B"/>
    <w:rsid w:val="007847DD"/>
    <w:rsid w:val="00784C69"/>
    <w:rsid w:val="0078617D"/>
    <w:rsid w:val="00790025"/>
    <w:rsid w:val="0079485A"/>
    <w:rsid w:val="00795C83"/>
    <w:rsid w:val="0079712B"/>
    <w:rsid w:val="007A1E3C"/>
    <w:rsid w:val="007A1F40"/>
    <w:rsid w:val="007A4597"/>
    <w:rsid w:val="007B07D4"/>
    <w:rsid w:val="007B4A69"/>
    <w:rsid w:val="007B61BD"/>
    <w:rsid w:val="007C14E4"/>
    <w:rsid w:val="007C2210"/>
    <w:rsid w:val="007C28A8"/>
    <w:rsid w:val="007D102E"/>
    <w:rsid w:val="007D41C1"/>
    <w:rsid w:val="007D449D"/>
    <w:rsid w:val="007D478D"/>
    <w:rsid w:val="007D47BE"/>
    <w:rsid w:val="007E4762"/>
    <w:rsid w:val="007E5A01"/>
    <w:rsid w:val="007E65A1"/>
    <w:rsid w:val="007F1263"/>
    <w:rsid w:val="007F13F5"/>
    <w:rsid w:val="007F2AC7"/>
    <w:rsid w:val="007F4F83"/>
    <w:rsid w:val="007F4FE8"/>
    <w:rsid w:val="007F5BB7"/>
    <w:rsid w:val="007F7E5B"/>
    <w:rsid w:val="007F7F23"/>
    <w:rsid w:val="008029BA"/>
    <w:rsid w:val="00802E59"/>
    <w:rsid w:val="008035A9"/>
    <w:rsid w:val="00803D7B"/>
    <w:rsid w:val="00810E64"/>
    <w:rsid w:val="00812188"/>
    <w:rsid w:val="00814C50"/>
    <w:rsid w:val="00814C92"/>
    <w:rsid w:val="00820739"/>
    <w:rsid w:val="0082155F"/>
    <w:rsid w:val="00825115"/>
    <w:rsid w:val="00825F9B"/>
    <w:rsid w:val="00826EA9"/>
    <w:rsid w:val="008279DA"/>
    <w:rsid w:val="00831439"/>
    <w:rsid w:val="00832AB0"/>
    <w:rsid w:val="00835DCF"/>
    <w:rsid w:val="008365E1"/>
    <w:rsid w:val="008379C9"/>
    <w:rsid w:val="00840664"/>
    <w:rsid w:val="00841822"/>
    <w:rsid w:val="00845FF3"/>
    <w:rsid w:val="008464F8"/>
    <w:rsid w:val="00851E0D"/>
    <w:rsid w:val="008538E5"/>
    <w:rsid w:val="0085436C"/>
    <w:rsid w:val="00856458"/>
    <w:rsid w:val="00857D0D"/>
    <w:rsid w:val="00861D27"/>
    <w:rsid w:val="00862FA8"/>
    <w:rsid w:val="00865ECF"/>
    <w:rsid w:val="00870853"/>
    <w:rsid w:val="008712C6"/>
    <w:rsid w:val="0087270E"/>
    <w:rsid w:val="00872F99"/>
    <w:rsid w:val="00873C94"/>
    <w:rsid w:val="00874565"/>
    <w:rsid w:val="0087584D"/>
    <w:rsid w:val="00877F33"/>
    <w:rsid w:val="00880622"/>
    <w:rsid w:val="00882C81"/>
    <w:rsid w:val="00883354"/>
    <w:rsid w:val="00884ADC"/>
    <w:rsid w:val="0088685A"/>
    <w:rsid w:val="00887B36"/>
    <w:rsid w:val="00890B6B"/>
    <w:rsid w:val="00891D2E"/>
    <w:rsid w:val="008938A7"/>
    <w:rsid w:val="00894227"/>
    <w:rsid w:val="008951A4"/>
    <w:rsid w:val="00895939"/>
    <w:rsid w:val="008A0EB2"/>
    <w:rsid w:val="008A28FA"/>
    <w:rsid w:val="008A37FE"/>
    <w:rsid w:val="008A4804"/>
    <w:rsid w:val="008A530E"/>
    <w:rsid w:val="008A7697"/>
    <w:rsid w:val="008B0E26"/>
    <w:rsid w:val="008B16C6"/>
    <w:rsid w:val="008B1F57"/>
    <w:rsid w:val="008B28A5"/>
    <w:rsid w:val="008B2FBE"/>
    <w:rsid w:val="008B4731"/>
    <w:rsid w:val="008B4CA0"/>
    <w:rsid w:val="008B6820"/>
    <w:rsid w:val="008B78B1"/>
    <w:rsid w:val="008C02D3"/>
    <w:rsid w:val="008C1DA9"/>
    <w:rsid w:val="008C35C1"/>
    <w:rsid w:val="008C4E43"/>
    <w:rsid w:val="008D1EFD"/>
    <w:rsid w:val="008D2CCF"/>
    <w:rsid w:val="008D33D6"/>
    <w:rsid w:val="008D3512"/>
    <w:rsid w:val="008D3AC5"/>
    <w:rsid w:val="008D4245"/>
    <w:rsid w:val="008D5C1F"/>
    <w:rsid w:val="008E0167"/>
    <w:rsid w:val="008E1430"/>
    <w:rsid w:val="008E1BD3"/>
    <w:rsid w:val="008E1BE0"/>
    <w:rsid w:val="008E31CD"/>
    <w:rsid w:val="008E63ED"/>
    <w:rsid w:val="008E66C5"/>
    <w:rsid w:val="008F1A7D"/>
    <w:rsid w:val="008F1CBD"/>
    <w:rsid w:val="008F45FD"/>
    <w:rsid w:val="008F5AEC"/>
    <w:rsid w:val="008F639B"/>
    <w:rsid w:val="008F7CC2"/>
    <w:rsid w:val="008F7FAA"/>
    <w:rsid w:val="0090004F"/>
    <w:rsid w:val="00912B36"/>
    <w:rsid w:val="009135E5"/>
    <w:rsid w:val="00913EFB"/>
    <w:rsid w:val="00915ADD"/>
    <w:rsid w:val="009201D7"/>
    <w:rsid w:val="00921B83"/>
    <w:rsid w:val="00922CA6"/>
    <w:rsid w:val="0092352A"/>
    <w:rsid w:val="00925D5B"/>
    <w:rsid w:val="0092607F"/>
    <w:rsid w:val="009262B1"/>
    <w:rsid w:val="00927D9F"/>
    <w:rsid w:val="009302BA"/>
    <w:rsid w:val="009310D6"/>
    <w:rsid w:val="00932579"/>
    <w:rsid w:val="0093295C"/>
    <w:rsid w:val="00937AFC"/>
    <w:rsid w:val="009408D1"/>
    <w:rsid w:val="00944F6D"/>
    <w:rsid w:val="00950611"/>
    <w:rsid w:val="00952E85"/>
    <w:rsid w:val="00953A10"/>
    <w:rsid w:val="009549CC"/>
    <w:rsid w:val="00956550"/>
    <w:rsid w:val="00963254"/>
    <w:rsid w:val="00964335"/>
    <w:rsid w:val="00964BBD"/>
    <w:rsid w:val="00965BF5"/>
    <w:rsid w:val="00966C1E"/>
    <w:rsid w:val="00967F79"/>
    <w:rsid w:val="00971F33"/>
    <w:rsid w:val="00976B7C"/>
    <w:rsid w:val="00976D4A"/>
    <w:rsid w:val="009774AD"/>
    <w:rsid w:val="00980CAA"/>
    <w:rsid w:val="00981217"/>
    <w:rsid w:val="00983DE5"/>
    <w:rsid w:val="0098585B"/>
    <w:rsid w:val="009866F6"/>
    <w:rsid w:val="0098772E"/>
    <w:rsid w:val="009934C6"/>
    <w:rsid w:val="0099620C"/>
    <w:rsid w:val="00997AF3"/>
    <w:rsid w:val="009A1657"/>
    <w:rsid w:val="009A40CA"/>
    <w:rsid w:val="009A4D45"/>
    <w:rsid w:val="009A4E5C"/>
    <w:rsid w:val="009A5A1F"/>
    <w:rsid w:val="009A70F7"/>
    <w:rsid w:val="009B2674"/>
    <w:rsid w:val="009B3D0F"/>
    <w:rsid w:val="009B47E5"/>
    <w:rsid w:val="009B512A"/>
    <w:rsid w:val="009B515E"/>
    <w:rsid w:val="009B7723"/>
    <w:rsid w:val="009C12F7"/>
    <w:rsid w:val="009C1AA4"/>
    <w:rsid w:val="009C2C78"/>
    <w:rsid w:val="009C366B"/>
    <w:rsid w:val="009C4176"/>
    <w:rsid w:val="009C7174"/>
    <w:rsid w:val="009C7B2A"/>
    <w:rsid w:val="009D02B7"/>
    <w:rsid w:val="009D08D4"/>
    <w:rsid w:val="009D2464"/>
    <w:rsid w:val="009D4C5C"/>
    <w:rsid w:val="009D769C"/>
    <w:rsid w:val="009D7758"/>
    <w:rsid w:val="009E01CF"/>
    <w:rsid w:val="009E024E"/>
    <w:rsid w:val="009E05D9"/>
    <w:rsid w:val="009E0A8A"/>
    <w:rsid w:val="009E596B"/>
    <w:rsid w:val="009F4559"/>
    <w:rsid w:val="009F5C70"/>
    <w:rsid w:val="00A01DAF"/>
    <w:rsid w:val="00A03CFB"/>
    <w:rsid w:val="00A040FB"/>
    <w:rsid w:val="00A048A8"/>
    <w:rsid w:val="00A07E19"/>
    <w:rsid w:val="00A10E49"/>
    <w:rsid w:val="00A12141"/>
    <w:rsid w:val="00A13C07"/>
    <w:rsid w:val="00A14687"/>
    <w:rsid w:val="00A158D4"/>
    <w:rsid w:val="00A17AA6"/>
    <w:rsid w:val="00A207B9"/>
    <w:rsid w:val="00A20A90"/>
    <w:rsid w:val="00A22F29"/>
    <w:rsid w:val="00A2440D"/>
    <w:rsid w:val="00A24721"/>
    <w:rsid w:val="00A25759"/>
    <w:rsid w:val="00A27432"/>
    <w:rsid w:val="00A301B6"/>
    <w:rsid w:val="00A34A3D"/>
    <w:rsid w:val="00A4198B"/>
    <w:rsid w:val="00A43AB8"/>
    <w:rsid w:val="00A43E99"/>
    <w:rsid w:val="00A44B75"/>
    <w:rsid w:val="00A44CA4"/>
    <w:rsid w:val="00A537E5"/>
    <w:rsid w:val="00A53ED2"/>
    <w:rsid w:val="00A53FE7"/>
    <w:rsid w:val="00A54A81"/>
    <w:rsid w:val="00A60EE6"/>
    <w:rsid w:val="00A61639"/>
    <w:rsid w:val="00A61BC9"/>
    <w:rsid w:val="00A61FE7"/>
    <w:rsid w:val="00A65061"/>
    <w:rsid w:val="00A653B2"/>
    <w:rsid w:val="00A6553D"/>
    <w:rsid w:val="00A66FC1"/>
    <w:rsid w:val="00A70448"/>
    <w:rsid w:val="00A709F4"/>
    <w:rsid w:val="00A71CAB"/>
    <w:rsid w:val="00A74462"/>
    <w:rsid w:val="00A755AA"/>
    <w:rsid w:val="00A769C4"/>
    <w:rsid w:val="00A76F02"/>
    <w:rsid w:val="00A8049D"/>
    <w:rsid w:val="00A80A88"/>
    <w:rsid w:val="00A813C6"/>
    <w:rsid w:val="00A82B68"/>
    <w:rsid w:val="00A834D4"/>
    <w:rsid w:val="00A84A41"/>
    <w:rsid w:val="00A84D88"/>
    <w:rsid w:val="00A84E64"/>
    <w:rsid w:val="00A84EB3"/>
    <w:rsid w:val="00A8550C"/>
    <w:rsid w:val="00A9086F"/>
    <w:rsid w:val="00A942FF"/>
    <w:rsid w:val="00A94523"/>
    <w:rsid w:val="00A9543A"/>
    <w:rsid w:val="00A97297"/>
    <w:rsid w:val="00AA5814"/>
    <w:rsid w:val="00AA7D09"/>
    <w:rsid w:val="00AC079D"/>
    <w:rsid w:val="00AC0C8E"/>
    <w:rsid w:val="00AC2A3C"/>
    <w:rsid w:val="00AC2BC3"/>
    <w:rsid w:val="00AC35D1"/>
    <w:rsid w:val="00AC55B3"/>
    <w:rsid w:val="00AC56CC"/>
    <w:rsid w:val="00AC6123"/>
    <w:rsid w:val="00AC691B"/>
    <w:rsid w:val="00AC701B"/>
    <w:rsid w:val="00AD5047"/>
    <w:rsid w:val="00AE0657"/>
    <w:rsid w:val="00AE092E"/>
    <w:rsid w:val="00AE0E21"/>
    <w:rsid w:val="00AE28E4"/>
    <w:rsid w:val="00AE4B26"/>
    <w:rsid w:val="00AE4D87"/>
    <w:rsid w:val="00AE718B"/>
    <w:rsid w:val="00AF04A1"/>
    <w:rsid w:val="00AF2AE3"/>
    <w:rsid w:val="00B01D77"/>
    <w:rsid w:val="00B05F98"/>
    <w:rsid w:val="00B07DD0"/>
    <w:rsid w:val="00B11B7C"/>
    <w:rsid w:val="00B132A8"/>
    <w:rsid w:val="00B13FED"/>
    <w:rsid w:val="00B14049"/>
    <w:rsid w:val="00B17218"/>
    <w:rsid w:val="00B17A8D"/>
    <w:rsid w:val="00B24472"/>
    <w:rsid w:val="00B248C0"/>
    <w:rsid w:val="00B254B2"/>
    <w:rsid w:val="00B2629D"/>
    <w:rsid w:val="00B27937"/>
    <w:rsid w:val="00B27EAC"/>
    <w:rsid w:val="00B321E7"/>
    <w:rsid w:val="00B326DA"/>
    <w:rsid w:val="00B3458E"/>
    <w:rsid w:val="00B34742"/>
    <w:rsid w:val="00B40967"/>
    <w:rsid w:val="00B42776"/>
    <w:rsid w:val="00B42C05"/>
    <w:rsid w:val="00B4408D"/>
    <w:rsid w:val="00B47BAE"/>
    <w:rsid w:val="00B527A7"/>
    <w:rsid w:val="00B5318F"/>
    <w:rsid w:val="00B57F7C"/>
    <w:rsid w:val="00B6017E"/>
    <w:rsid w:val="00B62394"/>
    <w:rsid w:val="00B62E86"/>
    <w:rsid w:val="00B63046"/>
    <w:rsid w:val="00B641A2"/>
    <w:rsid w:val="00B707D8"/>
    <w:rsid w:val="00B71E91"/>
    <w:rsid w:val="00B727E4"/>
    <w:rsid w:val="00B7354F"/>
    <w:rsid w:val="00B745D4"/>
    <w:rsid w:val="00B74D54"/>
    <w:rsid w:val="00B76CC7"/>
    <w:rsid w:val="00B816E0"/>
    <w:rsid w:val="00B839A7"/>
    <w:rsid w:val="00B85939"/>
    <w:rsid w:val="00B903DE"/>
    <w:rsid w:val="00B9094F"/>
    <w:rsid w:val="00B91E74"/>
    <w:rsid w:val="00B9270C"/>
    <w:rsid w:val="00BA2256"/>
    <w:rsid w:val="00BA4C58"/>
    <w:rsid w:val="00BB1173"/>
    <w:rsid w:val="00BB3350"/>
    <w:rsid w:val="00BB5908"/>
    <w:rsid w:val="00BC2411"/>
    <w:rsid w:val="00BC286F"/>
    <w:rsid w:val="00BC3352"/>
    <w:rsid w:val="00BC4CB0"/>
    <w:rsid w:val="00BC58C2"/>
    <w:rsid w:val="00BC71DA"/>
    <w:rsid w:val="00BD18BF"/>
    <w:rsid w:val="00BD7852"/>
    <w:rsid w:val="00BE11B0"/>
    <w:rsid w:val="00BE3D5A"/>
    <w:rsid w:val="00BE566E"/>
    <w:rsid w:val="00BE5684"/>
    <w:rsid w:val="00BE6E7D"/>
    <w:rsid w:val="00BE7813"/>
    <w:rsid w:val="00BF1591"/>
    <w:rsid w:val="00BF15C0"/>
    <w:rsid w:val="00BF1E6B"/>
    <w:rsid w:val="00BF48C3"/>
    <w:rsid w:val="00BF539E"/>
    <w:rsid w:val="00BF56BB"/>
    <w:rsid w:val="00BF584D"/>
    <w:rsid w:val="00BF62CC"/>
    <w:rsid w:val="00BF6374"/>
    <w:rsid w:val="00BF7C3D"/>
    <w:rsid w:val="00C0472C"/>
    <w:rsid w:val="00C055F9"/>
    <w:rsid w:val="00C05793"/>
    <w:rsid w:val="00C05C87"/>
    <w:rsid w:val="00C11306"/>
    <w:rsid w:val="00C1565C"/>
    <w:rsid w:val="00C15ACF"/>
    <w:rsid w:val="00C17667"/>
    <w:rsid w:val="00C22BED"/>
    <w:rsid w:val="00C265CD"/>
    <w:rsid w:val="00C312F3"/>
    <w:rsid w:val="00C31A84"/>
    <w:rsid w:val="00C3217E"/>
    <w:rsid w:val="00C33636"/>
    <w:rsid w:val="00C34375"/>
    <w:rsid w:val="00C348EF"/>
    <w:rsid w:val="00C3653B"/>
    <w:rsid w:val="00C4022D"/>
    <w:rsid w:val="00C524BD"/>
    <w:rsid w:val="00C53928"/>
    <w:rsid w:val="00C562D4"/>
    <w:rsid w:val="00C57486"/>
    <w:rsid w:val="00C577BB"/>
    <w:rsid w:val="00C60042"/>
    <w:rsid w:val="00C60E87"/>
    <w:rsid w:val="00C61EF3"/>
    <w:rsid w:val="00C6289E"/>
    <w:rsid w:val="00C62B60"/>
    <w:rsid w:val="00C6467E"/>
    <w:rsid w:val="00C64AA5"/>
    <w:rsid w:val="00C664DB"/>
    <w:rsid w:val="00C704E0"/>
    <w:rsid w:val="00C7078F"/>
    <w:rsid w:val="00C7261B"/>
    <w:rsid w:val="00C73DF8"/>
    <w:rsid w:val="00C74558"/>
    <w:rsid w:val="00C75681"/>
    <w:rsid w:val="00C76A9C"/>
    <w:rsid w:val="00C81029"/>
    <w:rsid w:val="00C82E2E"/>
    <w:rsid w:val="00C84280"/>
    <w:rsid w:val="00C860CC"/>
    <w:rsid w:val="00C879AB"/>
    <w:rsid w:val="00C90784"/>
    <w:rsid w:val="00C90E70"/>
    <w:rsid w:val="00C913D4"/>
    <w:rsid w:val="00C9284F"/>
    <w:rsid w:val="00C94326"/>
    <w:rsid w:val="00C946B2"/>
    <w:rsid w:val="00C953BA"/>
    <w:rsid w:val="00CA01A5"/>
    <w:rsid w:val="00CA0263"/>
    <w:rsid w:val="00CA1B08"/>
    <w:rsid w:val="00CA3743"/>
    <w:rsid w:val="00CA57B4"/>
    <w:rsid w:val="00CA79E4"/>
    <w:rsid w:val="00CB000D"/>
    <w:rsid w:val="00CB12BA"/>
    <w:rsid w:val="00CB225F"/>
    <w:rsid w:val="00CB3066"/>
    <w:rsid w:val="00CB5711"/>
    <w:rsid w:val="00CB6019"/>
    <w:rsid w:val="00CB7602"/>
    <w:rsid w:val="00CC1372"/>
    <w:rsid w:val="00CC1409"/>
    <w:rsid w:val="00CC19A3"/>
    <w:rsid w:val="00CC4564"/>
    <w:rsid w:val="00CC4EB6"/>
    <w:rsid w:val="00CC6E4C"/>
    <w:rsid w:val="00CC75D7"/>
    <w:rsid w:val="00CD0962"/>
    <w:rsid w:val="00CD1E24"/>
    <w:rsid w:val="00CD4A0E"/>
    <w:rsid w:val="00CD5F37"/>
    <w:rsid w:val="00CD646E"/>
    <w:rsid w:val="00CD79E8"/>
    <w:rsid w:val="00CE0157"/>
    <w:rsid w:val="00CE113A"/>
    <w:rsid w:val="00CE393B"/>
    <w:rsid w:val="00CE5205"/>
    <w:rsid w:val="00CF1D0B"/>
    <w:rsid w:val="00CF3308"/>
    <w:rsid w:val="00CF365C"/>
    <w:rsid w:val="00D00BFB"/>
    <w:rsid w:val="00D01CEA"/>
    <w:rsid w:val="00D046A7"/>
    <w:rsid w:val="00D0557B"/>
    <w:rsid w:val="00D06215"/>
    <w:rsid w:val="00D068FF"/>
    <w:rsid w:val="00D0703C"/>
    <w:rsid w:val="00D114CE"/>
    <w:rsid w:val="00D1193B"/>
    <w:rsid w:val="00D12205"/>
    <w:rsid w:val="00D145E9"/>
    <w:rsid w:val="00D173DD"/>
    <w:rsid w:val="00D20DD4"/>
    <w:rsid w:val="00D219CD"/>
    <w:rsid w:val="00D27B04"/>
    <w:rsid w:val="00D27CE5"/>
    <w:rsid w:val="00D3282B"/>
    <w:rsid w:val="00D3337A"/>
    <w:rsid w:val="00D3500F"/>
    <w:rsid w:val="00D350E7"/>
    <w:rsid w:val="00D4066C"/>
    <w:rsid w:val="00D4356D"/>
    <w:rsid w:val="00D448FA"/>
    <w:rsid w:val="00D44DE0"/>
    <w:rsid w:val="00D45EDC"/>
    <w:rsid w:val="00D46031"/>
    <w:rsid w:val="00D5143A"/>
    <w:rsid w:val="00D53AC9"/>
    <w:rsid w:val="00D53E01"/>
    <w:rsid w:val="00D54219"/>
    <w:rsid w:val="00D54A7A"/>
    <w:rsid w:val="00D65100"/>
    <w:rsid w:val="00D6550C"/>
    <w:rsid w:val="00D66232"/>
    <w:rsid w:val="00D66394"/>
    <w:rsid w:val="00D73A08"/>
    <w:rsid w:val="00D74015"/>
    <w:rsid w:val="00D74BBB"/>
    <w:rsid w:val="00D75D2E"/>
    <w:rsid w:val="00D761B2"/>
    <w:rsid w:val="00D765CC"/>
    <w:rsid w:val="00D8006B"/>
    <w:rsid w:val="00D805BE"/>
    <w:rsid w:val="00D81B86"/>
    <w:rsid w:val="00D820E8"/>
    <w:rsid w:val="00D82313"/>
    <w:rsid w:val="00D872B3"/>
    <w:rsid w:val="00D90520"/>
    <w:rsid w:val="00D927A9"/>
    <w:rsid w:val="00D92C17"/>
    <w:rsid w:val="00D92EBB"/>
    <w:rsid w:val="00D934A8"/>
    <w:rsid w:val="00DA097B"/>
    <w:rsid w:val="00DA26C6"/>
    <w:rsid w:val="00DA333E"/>
    <w:rsid w:val="00DA5B53"/>
    <w:rsid w:val="00DA7344"/>
    <w:rsid w:val="00DA7F60"/>
    <w:rsid w:val="00DB2845"/>
    <w:rsid w:val="00DB42B2"/>
    <w:rsid w:val="00DC2769"/>
    <w:rsid w:val="00DC3F74"/>
    <w:rsid w:val="00DC4CD7"/>
    <w:rsid w:val="00DC53FF"/>
    <w:rsid w:val="00DD0E9F"/>
    <w:rsid w:val="00DD0FA3"/>
    <w:rsid w:val="00DD3520"/>
    <w:rsid w:val="00DD7B77"/>
    <w:rsid w:val="00DD7BF6"/>
    <w:rsid w:val="00DE03EA"/>
    <w:rsid w:val="00DE1596"/>
    <w:rsid w:val="00DE2535"/>
    <w:rsid w:val="00DE514F"/>
    <w:rsid w:val="00DE599B"/>
    <w:rsid w:val="00DE6C27"/>
    <w:rsid w:val="00DE7072"/>
    <w:rsid w:val="00DE7EA5"/>
    <w:rsid w:val="00DF1F2A"/>
    <w:rsid w:val="00DF2018"/>
    <w:rsid w:val="00DF2721"/>
    <w:rsid w:val="00DF3D73"/>
    <w:rsid w:val="00E008FA"/>
    <w:rsid w:val="00E01B57"/>
    <w:rsid w:val="00E024EC"/>
    <w:rsid w:val="00E02503"/>
    <w:rsid w:val="00E07FCC"/>
    <w:rsid w:val="00E107E7"/>
    <w:rsid w:val="00E115A2"/>
    <w:rsid w:val="00E12790"/>
    <w:rsid w:val="00E12A08"/>
    <w:rsid w:val="00E14738"/>
    <w:rsid w:val="00E15279"/>
    <w:rsid w:val="00E16FE6"/>
    <w:rsid w:val="00E20C2D"/>
    <w:rsid w:val="00E22E76"/>
    <w:rsid w:val="00E235E6"/>
    <w:rsid w:val="00E27F78"/>
    <w:rsid w:val="00E32A6C"/>
    <w:rsid w:val="00E33026"/>
    <w:rsid w:val="00E352B4"/>
    <w:rsid w:val="00E3579E"/>
    <w:rsid w:val="00E41673"/>
    <w:rsid w:val="00E42338"/>
    <w:rsid w:val="00E42A09"/>
    <w:rsid w:val="00E46518"/>
    <w:rsid w:val="00E51A8E"/>
    <w:rsid w:val="00E524C2"/>
    <w:rsid w:val="00E5397B"/>
    <w:rsid w:val="00E5441D"/>
    <w:rsid w:val="00E54DE2"/>
    <w:rsid w:val="00E54E05"/>
    <w:rsid w:val="00E552BE"/>
    <w:rsid w:val="00E5537B"/>
    <w:rsid w:val="00E5596C"/>
    <w:rsid w:val="00E55CE2"/>
    <w:rsid w:val="00E63E9F"/>
    <w:rsid w:val="00E701AA"/>
    <w:rsid w:val="00E727B8"/>
    <w:rsid w:val="00E734A7"/>
    <w:rsid w:val="00E765B1"/>
    <w:rsid w:val="00E77F9D"/>
    <w:rsid w:val="00E807E2"/>
    <w:rsid w:val="00E81787"/>
    <w:rsid w:val="00E85A84"/>
    <w:rsid w:val="00E85C93"/>
    <w:rsid w:val="00E86268"/>
    <w:rsid w:val="00E93634"/>
    <w:rsid w:val="00E976E4"/>
    <w:rsid w:val="00E97F10"/>
    <w:rsid w:val="00EA1778"/>
    <w:rsid w:val="00EA35C4"/>
    <w:rsid w:val="00EB04CE"/>
    <w:rsid w:val="00EB0D90"/>
    <w:rsid w:val="00EB2FA2"/>
    <w:rsid w:val="00EB6F62"/>
    <w:rsid w:val="00EC0484"/>
    <w:rsid w:val="00EC0E54"/>
    <w:rsid w:val="00EC1504"/>
    <w:rsid w:val="00EC1C26"/>
    <w:rsid w:val="00EC6D33"/>
    <w:rsid w:val="00ED4C65"/>
    <w:rsid w:val="00ED7414"/>
    <w:rsid w:val="00EE42A6"/>
    <w:rsid w:val="00EE4C0A"/>
    <w:rsid w:val="00EE5710"/>
    <w:rsid w:val="00EE62F8"/>
    <w:rsid w:val="00EE6D25"/>
    <w:rsid w:val="00EF0799"/>
    <w:rsid w:val="00EF31EF"/>
    <w:rsid w:val="00EF3A26"/>
    <w:rsid w:val="00EF7269"/>
    <w:rsid w:val="00EF75CC"/>
    <w:rsid w:val="00F02B83"/>
    <w:rsid w:val="00F043E5"/>
    <w:rsid w:val="00F046F2"/>
    <w:rsid w:val="00F076C5"/>
    <w:rsid w:val="00F1013C"/>
    <w:rsid w:val="00F120D7"/>
    <w:rsid w:val="00F14CBE"/>
    <w:rsid w:val="00F203BF"/>
    <w:rsid w:val="00F2221D"/>
    <w:rsid w:val="00F24DF7"/>
    <w:rsid w:val="00F2526D"/>
    <w:rsid w:val="00F260C3"/>
    <w:rsid w:val="00F27663"/>
    <w:rsid w:val="00F30D4C"/>
    <w:rsid w:val="00F32593"/>
    <w:rsid w:val="00F32AA2"/>
    <w:rsid w:val="00F33623"/>
    <w:rsid w:val="00F349CF"/>
    <w:rsid w:val="00F34CEC"/>
    <w:rsid w:val="00F364EC"/>
    <w:rsid w:val="00F37374"/>
    <w:rsid w:val="00F402C0"/>
    <w:rsid w:val="00F408D8"/>
    <w:rsid w:val="00F4122F"/>
    <w:rsid w:val="00F43C0A"/>
    <w:rsid w:val="00F46123"/>
    <w:rsid w:val="00F46A7A"/>
    <w:rsid w:val="00F60FBA"/>
    <w:rsid w:val="00F63BD8"/>
    <w:rsid w:val="00F6421A"/>
    <w:rsid w:val="00F65DAC"/>
    <w:rsid w:val="00F65DB4"/>
    <w:rsid w:val="00F66C16"/>
    <w:rsid w:val="00F74288"/>
    <w:rsid w:val="00F76A50"/>
    <w:rsid w:val="00F83E05"/>
    <w:rsid w:val="00F8516F"/>
    <w:rsid w:val="00F87063"/>
    <w:rsid w:val="00F875BA"/>
    <w:rsid w:val="00F876E3"/>
    <w:rsid w:val="00F90179"/>
    <w:rsid w:val="00F91459"/>
    <w:rsid w:val="00F915BB"/>
    <w:rsid w:val="00F916A5"/>
    <w:rsid w:val="00F95739"/>
    <w:rsid w:val="00F977A1"/>
    <w:rsid w:val="00F978E8"/>
    <w:rsid w:val="00F97B43"/>
    <w:rsid w:val="00FA02C3"/>
    <w:rsid w:val="00FA296E"/>
    <w:rsid w:val="00FA3DF3"/>
    <w:rsid w:val="00FB0C15"/>
    <w:rsid w:val="00FB29D6"/>
    <w:rsid w:val="00FB34B9"/>
    <w:rsid w:val="00FB63D6"/>
    <w:rsid w:val="00FB69F9"/>
    <w:rsid w:val="00FB6BEB"/>
    <w:rsid w:val="00FB6F91"/>
    <w:rsid w:val="00FC3B4E"/>
    <w:rsid w:val="00FC591A"/>
    <w:rsid w:val="00FC7315"/>
    <w:rsid w:val="00FD33DD"/>
    <w:rsid w:val="00FD346C"/>
    <w:rsid w:val="00FD5657"/>
    <w:rsid w:val="00FD660C"/>
    <w:rsid w:val="00FE4D54"/>
    <w:rsid w:val="00FE55BF"/>
    <w:rsid w:val="00FE76EA"/>
    <w:rsid w:val="00FF1593"/>
    <w:rsid w:val="00FF4216"/>
    <w:rsid w:val="00FF49EF"/>
    <w:rsid w:val="00FF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16993"/>
  <w15:docId w15:val="{0DD335C1-AFC7-45B7-904C-FC95E705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48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C70"/>
    <w:rPr>
      <w:rFonts w:cs="Arial"/>
      <w:color w:val="000000"/>
      <w:sz w:val="24"/>
    </w:rPr>
  </w:style>
  <w:style w:type="paragraph" w:styleId="Heading1">
    <w:name w:val="heading 1"/>
    <w:basedOn w:val="Normal"/>
    <w:next w:val="Normal"/>
    <w:qFormat/>
    <w:rsid w:val="004F2DDA"/>
    <w:pPr>
      <w:keepNext/>
      <w:jc w:val="center"/>
      <w:outlineLvl w:val="0"/>
    </w:pPr>
    <w:rPr>
      <w:b/>
      <w:bCs/>
      <w:sz w:val="28"/>
    </w:rPr>
  </w:style>
  <w:style w:type="paragraph" w:styleId="Heading2">
    <w:name w:val="heading 2"/>
    <w:basedOn w:val="Normal"/>
    <w:next w:val="Normal"/>
    <w:qFormat/>
    <w:rsid w:val="004F2DDA"/>
    <w:pPr>
      <w:keepNext/>
      <w:spacing w:before="240" w:after="60"/>
      <w:outlineLvl w:val="1"/>
    </w:pPr>
    <w:rPr>
      <w:rFonts w:ascii="Arial" w:hAnsi="Arial"/>
      <w:b/>
      <w:bCs/>
      <w:i/>
      <w:iCs/>
      <w:sz w:val="28"/>
      <w:szCs w:val="28"/>
    </w:rPr>
  </w:style>
  <w:style w:type="paragraph" w:styleId="Heading3">
    <w:name w:val="heading 3"/>
    <w:basedOn w:val="Normal"/>
    <w:next w:val="Normal"/>
    <w:link w:val="Heading3Char"/>
    <w:unhideWhenUsed/>
    <w:qFormat/>
    <w:rsid w:val="00E51A8E"/>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5">
    <w:name w:val="heading 5"/>
    <w:basedOn w:val="Normal"/>
    <w:next w:val="Normal"/>
    <w:qFormat/>
    <w:rsid w:val="004F2DDA"/>
    <w:pPr>
      <w:keepNext/>
      <w:jc w:val="center"/>
      <w:outlineLvl w:val="4"/>
    </w:pPr>
    <w:rPr>
      <w:rFonts w:cs="Times New Roman"/>
      <w:sz w:val="28"/>
    </w:rPr>
  </w:style>
  <w:style w:type="paragraph" w:styleId="Heading6">
    <w:name w:val="heading 6"/>
    <w:basedOn w:val="Normal"/>
    <w:next w:val="Normal"/>
    <w:qFormat/>
    <w:rsid w:val="004F2DDA"/>
    <w:pPr>
      <w:keepNext/>
      <w:ind w:left="720"/>
      <w:jc w:val="center"/>
      <w:outlineLvl w:val="5"/>
    </w:pPr>
    <w:rPr>
      <w:rFonts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F2DDA"/>
    <w:pPr>
      <w:tabs>
        <w:tab w:val="center" w:pos="4320"/>
        <w:tab w:val="right" w:pos="8640"/>
      </w:tabs>
    </w:pPr>
  </w:style>
  <w:style w:type="paragraph" w:styleId="BodyText">
    <w:name w:val="Body Text"/>
    <w:basedOn w:val="Normal"/>
    <w:link w:val="BodyTextChar"/>
    <w:uiPriority w:val="99"/>
    <w:rsid w:val="004F2DDA"/>
    <w:rPr>
      <w:b/>
      <w:bCs/>
      <w:sz w:val="28"/>
    </w:rPr>
  </w:style>
  <w:style w:type="paragraph" w:styleId="BodyText3">
    <w:name w:val="Body Text 3"/>
    <w:basedOn w:val="Normal"/>
    <w:rsid w:val="004F2DDA"/>
    <w:rPr>
      <w:sz w:val="28"/>
    </w:rPr>
  </w:style>
  <w:style w:type="character" w:styleId="PageNumber">
    <w:name w:val="page number"/>
    <w:basedOn w:val="DefaultParagraphFont"/>
    <w:rsid w:val="004F2DDA"/>
  </w:style>
  <w:style w:type="paragraph" w:styleId="BodyTextIndent">
    <w:name w:val="Body Text Indent"/>
    <w:basedOn w:val="Normal"/>
    <w:rsid w:val="004F2DDA"/>
    <w:pPr>
      <w:ind w:firstLine="720"/>
    </w:pPr>
    <w:rPr>
      <w:rFonts w:cs="Times New Roman"/>
    </w:rPr>
  </w:style>
  <w:style w:type="paragraph" w:styleId="Header">
    <w:name w:val="header"/>
    <w:basedOn w:val="Normal"/>
    <w:link w:val="HeaderChar"/>
    <w:uiPriority w:val="99"/>
    <w:rsid w:val="004F2DDA"/>
    <w:pPr>
      <w:tabs>
        <w:tab w:val="center" w:pos="4320"/>
        <w:tab w:val="right" w:pos="8640"/>
      </w:tabs>
    </w:pPr>
  </w:style>
  <w:style w:type="paragraph" w:styleId="BodyText2">
    <w:name w:val="Body Text 2"/>
    <w:basedOn w:val="Normal"/>
    <w:rsid w:val="00EC1504"/>
    <w:pPr>
      <w:spacing w:after="120"/>
    </w:pPr>
  </w:style>
  <w:style w:type="paragraph" w:styleId="BalloonText">
    <w:name w:val="Balloon Text"/>
    <w:basedOn w:val="Normal"/>
    <w:semiHidden/>
    <w:rsid w:val="004F2DDA"/>
    <w:rPr>
      <w:rFonts w:ascii="Tahoma" w:hAnsi="Tahoma" w:cs="Tahoma"/>
      <w:sz w:val="16"/>
      <w:szCs w:val="16"/>
    </w:rPr>
  </w:style>
  <w:style w:type="character" w:styleId="Hyperlink">
    <w:name w:val="Hyperlink"/>
    <w:uiPriority w:val="99"/>
    <w:rsid w:val="004F2DDA"/>
    <w:rPr>
      <w:color w:val="0000FF"/>
      <w:u w:val="single"/>
    </w:rPr>
  </w:style>
  <w:style w:type="paragraph" w:styleId="ListParagraph">
    <w:name w:val="List Paragraph"/>
    <w:basedOn w:val="Normal"/>
    <w:uiPriority w:val="34"/>
    <w:qFormat/>
    <w:rsid w:val="003D3D8E"/>
    <w:pPr>
      <w:ind w:left="720"/>
      <w:contextualSpacing/>
    </w:pPr>
  </w:style>
  <w:style w:type="character" w:customStyle="1" w:styleId="HeaderChar">
    <w:name w:val="Header Char"/>
    <w:link w:val="Header"/>
    <w:uiPriority w:val="99"/>
    <w:rsid w:val="0007766B"/>
    <w:rPr>
      <w:rFonts w:cs="Arial"/>
      <w:color w:val="000000"/>
      <w:sz w:val="24"/>
    </w:rPr>
  </w:style>
  <w:style w:type="table" w:styleId="TableGrid">
    <w:name w:val="Table Grid"/>
    <w:basedOn w:val="TableNormal"/>
    <w:rsid w:val="001245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302958"/>
    <w:rPr>
      <w:rFonts w:cs="Arial"/>
      <w:color w:val="000000"/>
      <w:sz w:val="24"/>
    </w:rPr>
  </w:style>
  <w:style w:type="paragraph" w:styleId="Caption">
    <w:name w:val="caption"/>
    <w:basedOn w:val="Normal"/>
    <w:next w:val="Normal"/>
    <w:uiPriority w:val="35"/>
    <w:unhideWhenUsed/>
    <w:qFormat/>
    <w:rsid w:val="00F02B83"/>
    <w:pPr>
      <w:spacing w:after="200"/>
    </w:pPr>
    <w:rPr>
      <w:b/>
      <w:bCs/>
      <w:color w:val="4F81BD"/>
      <w:sz w:val="18"/>
      <w:szCs w:val="18"/>
    </w:rPr>
  </w:style>
  <w:style w:type="character" w:customStyle="1" w:styleId="BodyTextChar">
    <w:name w:val="Body Text Char"/>
    <w:basedOn w:val="DefaultParagraphFont"/>
    <w:link w:val="BodyText"/>
    <w:uiPriority w:val="99"/>
    <w:rsid w:val="00DF1F2A"/>
    <w:rPr>
      <w:rFonts w:cs="Arial"/>
      <w:b/>
      <w:bCs/>
      <w:color w:val="000000"/>
      <w:sz w:val="28"/>
    </w:rPr>
  </w:style>
  <w:style w:type="character" w:customStyle="1" w:styleId="Heading3Char">
    <w:name w:val="Heading 3 Char"/>
    <w:basedOn w:val="DefaultParagraphFont"/>
    <w:link w:val="Heading3"/>
    <w:uiPriority w:val="3"/>
    <w:rsid w:val="00E51A8E"/>
    <w:rPr>
      <w:rFonts w:asciiTheme="majorHAnsi" w:eastAsiaTheme="majorEastAsia" w:hAnsiTheme="majorHAnsi" w:cstheme="majorBidi"/>
      <w:color w:val="243F60" w:themeColor="accent1" w:themeShade="7F"/>
      <w:sz w:val="24"/>
      <w:szCs w:val="24"/>
    </w:rPr>
  </w:style>
  <w:style w:type="character" w:customStyle="1" w:styleId="apple-converted-space">
    <w:name w:val="apple-converted-space"/>
    <w:basedOn w:val="DefaultParagraphFont"/>
    <w:rsid w:val="00416379"/>
  </w:style>
  <w:style w:type="character" w:styleId="Emphasis">
    <w:name w:val="Emphasis"/>
    <w:basedOn w:val="DefaultParagraphFont"/>
    <w:uiPriority w:val="20"/>
    <w:qFormat/>
    <w:rsid w:val="00416379"/>
    <w:rPr>
      <w:i/>
      <w:iCs/>
    </w:rPr>
  </w:style>
  <w:style w:type="character" w:styleId="CommentReference">
    <w:name w:val="annotation reference"/>
    <w:basedOn w:val="DefaultParagraphFont"/>
    <w:semiHidden/>
    <w:unhideWhenUsed/>
    <w:rsid w:val="008C35C1"/>
    <w:rPr>
      <w:sz w:val="16"/>
      <w:szCs w:val="16"/>
    </w:rPr>
  </w:style>
  <w:style w:type="paragraph" w:styleId="CommentText">
    <w:name w:val="annotation text"/>
    <w:basedOn w:val="Normal"/>
    <w:link w:val="CommentTextChar"/>
    <w:semiHidden/>
    <w:unhideWhenUsed/>
    <w:rsid w:val="008C35C1"/>
    <w:rPr>
      <w:sz w:val="20"/>
    </w:rPr>
  </w:style>
  <w:style w:type="character" w:customStyle="1" w:styleId="CommentTextChar">
    <w:name w:val="Comment Text Char"/>
    <w:basedOn w:val="DefaultParagraphFont"/>
    <w:link w:val="CommentText"/>
    <w:semiHidden/>
    <w:rsid w:val="008C35C1"/>
    <w:rPr>
      <w:rFonts w:cs="Arial"/>
      <w:color w:val="000000"/>
    </w:rPr>
  </w:style>
  <w:style w:type="paragraph" w:styleId="CommentSubject">
    <w:name w:val="annotation subject"/>
    <w:basedOn w:val="CommentText"/>
    <w:next w:val="CommentText"/>
    <w:link w:val="CommentSubjectChar"/>
    <w:semiHidden/>
    <w:unhideWhenUsed/>
    <w:rsid w:val="008C35C1"/>
    <w:rPr>
      <w:b/>
      <w:bCs/>
    </w:rPr>
  </w:style>
  <w:style w:type="character" w:customStyle="1" w:styleId="CommentSubjectChar">
    <w:name w:val="Comment Subject Char"/>
    <w:basedOn w:val="CommentTextChar"/>
    <w:link w:val="CommentSubject"/>
    <w:semiHidden/>
    <w:rsid w:val="008C35C1"/>
    <w:rPr>
      <w:rFonts w:cs="Arial"/>
      <w:b/>
      <w:bCs/>
      <w:color w:val="000000"/>
    </w:rPr>
  </w:style>
  <w:style w:type="paragraph" w:styleId="NormalWeb">
    <w:name w:val="Normal (Web)"/>
    <w:basedOn w:val="Normal"/>
    <w:uiPriority w:val="99"/>
    <w:unhideWhenUsed/>
    <w:rsid w:val="00766164"/>
    <w:pPr>
      <w:spacing w:before="100" w:beforeAutospacing="1" w:after="100" w:afterAutospacing="1"/>
    </w:pPr>
    <w:rPr>
      <w:rFonts w:cs="Times New Roman"/>
      <w:color w:val="auto"/>
      <w:szCs w:val="24"/>
    </w:rPr>
  </w:style>
  <w:style w:type="paragraph" w:styleId="TOCHeading">
    <w:name w:val="TOC Heading"/>
    <w:basedOn w:val="Heading1"/>
    <w:next w:val="Normal"/>
    <w:uiPriority w:val="39"/>
    <w:unhideWhenUsed/>
    <w:qFormat/>
    <w:rsid w:val="007847DD"/>
    <w:pPr>
      <w:keepLines/>
      <w:spacing w:before="480" w:line="276" w:lineRule="auto"/>
      <w:jc w:val="left"/>
      <w:outlineLvl w:val="9"/>
    </w:pPr>
    <w:rPr>
      <w:rFonts w:asciiTheme="majorHAnsi" w:eastAsiaTheme="majorEastAsia" w:hAnsiTheme="majorHAnsi" w:cstheme="majorBidi"/>
      <w:color w:val="365F91" w:themeColor="accent1" w:themeShade="BF"/>
      <w:szCs w:val="28"/>
    </w:rPr>
  </w:style>
  <w:style w:type="paragraph" w:styleId="TOC1">
    <w:name w:val="toc 1"/>
    <w:basedOn w:val="Normal"/>
    <w:next w:val="Normal"/>
    <w:autoRedefine/>
    <w:uiPriority w:val="39"/>
    <w:unhideWhenUsed/>
    <w:rsid w:val="007847DD"/>
    <w:pPr>
      <w:spacing w:before="120"/>
    </w:pPr>
    <w:rPr>
      <w:rFonts w:asciiTheme="minorHAnsi" w:hAnsiTheme="minorHAnsi" w:cstheme="minorHAnsi"/>
      <w:b/>
      <w:bCs/>
      <w:i/>
      <w:iCs/>
      <w:szCs w:val="24"/>
    </w:rPr>
  </w:style>
  <w:style w:type="paragraph" w:styleId="TOC2">
    <w:name w:val="toc 2"/>
    <w:basedOn w:val="Normal"/>
    <w:next w:val="Normal"/>
    <w:autoRedefine/>
    <w:semiHidden/>
    <w:unhideWhenUsed/>
    <w:rsid w:val="007847DD"/>
    <w:pPr>
      <w:spacing w:before="120"/>
      <w:ind w:left="240"/>
    </w:pPr>
    <w:rPr>
      <w:rFonts w:asciiTheme="minorHAnsi" w:hAnsiTheme="minorHAnsi" w:cstheme="minorHAnsi"/>
      <w:b/>
      <w:bCs/>
      <w:sz w:val="22"/>
      <w:szCs w:val="22"/>
    </w:rPr>
  </w:style>
  <w:style w:type="paragraph" w:styleId="TOC3">
    <w:name w:val="toc 3"/>
    <w:basedOn w:val="Normal"/>
    <w:next w:val="Normal"/>
    <w:autoRedefine/>
    <w:semiHidden/>
    <w:unhideWhenUsed/>
    <w:rsid w:val="007847DD"/>
    <w:pPr>
      <w:ind w:left="480"/>
    </w:pPr>
    <w:rPr>
      <w:rFonts w:asciiTheme="minorHAnsi" w:hAnsiTheme="minorHAnsi" w:cstheme="minorHAnsi"/>
      <w:sz w:val="20"/>
    </w:rPr>
  </w:style>
  <w:style w:type="paragraph" w:styleId="TOC4">
    <w:name w:val="toc 4"/>
    <w:basedOn w:val="Normal"/>
    <w:next w:val="Normal"/>
    <w:autoRedefine/>
    <w:semiHidden/>
    <w:unhideWhenUsed/>
    <w:rsid w:val="007847DD"/>
    <w:pPr>
      <w:ind w:left="720"/>
    </w:pPr>
    <w:rPr>
      <w:rFonts w:asciiTheme="minorHAnsi" w:hAnsiTheme="minorHAnsi" w:cstheme="minorHAnsi"/>
      <w:sz w:val="20"/>
    </w:rPr>
  </w:style>
  <w:style w:type="paragraph" w:styleId="TOC5">
    <w:name w:val="toc 5"/>
    <w:basedOn w:val="Normal"/>
    <w:next w:val="Normal"/>
    <w:autoRedefine/>
    <w:semiHidden/>
    <w:unhideWhenUsed/>
    <w:rsid w:val="007847DD"/>
    <w:pPr>
      <w:ind w:left="960"/>
    </w:pPr>
    <w:rPr>
      <w:rFonts w:asciiTheme="minorHAnsi" w:hAnsiTheme="minorHAnsi" w:cstheme="minorHAnsi"/>
      <w:sz w:val="20"/>
    </w:rPr>
  </w:style>
  <w:style w:type="paragraph" w:styleId="TOC6">
    <w:name w:val="toc 6"/>
    <w:basedOn w:val="Normal"/>
    <w:next w:val="Normal"/>
    <w:autoRedefine/>
    <w:semiHidden/>
    <w:unhideWhenUsed/>
    <w:rsid w:val="007847DD"/>
    <w:pPr>
      <w:ind w:left="1200"/>
    </w:pPr>
    <w:rPr>
      <w:rFonts w:asciiTheme="minorHAnsi" w:hAnsiTheme="minorHAnsi" w:cstheme="minorHAnsi"/>
      <w:sz w:val="20"/>
    </w:rPr>
  </w:style>
  <w:style w:type="paragraph" w:styleId="TOC7">
    <w:name w:val="toc 7"/>
    <w:basedOn w:val="Normal"/>
    <w:next w:val="Normal"/>
    <w:autoRedefine/>
    <w:semiHidden/>
    <w:unhideWhenUsed/>
    <w:rsid w:val="007847DD"/>
    <w:pPr>
      <w:ind w:left="1440"/>
    </w:pPr>
    <w:rPr>
      <w:rFonts w:asciiTheme="minorHAnsi" w:hAnsiTheme="minorHAnsi" w:cstheme="minorHAnsi"/>
      <w:sz w:val="20"/>
    </w:rPr>
  </w:style>
  <w:style w:type="paragraph" w:styleId="TOC8">
    <w:name w:val="toc 8"/>
    <w:basedOn w:val="Normal"/>
    <w:next w:val="Normal"/>
    <w:autoRedefine/>
    <w:semiHidden/>
    <w:unhideWhenUsed/>
    <w:rsid w:val="007847DD"/>
    <w:pPr>
      <w:ind w:left="1680"/>
    </w:pPr>
    <w:rPr>
      <w:rFonts w:asciiTheme="minorHAnsi" w:hAnsiTheme="minorHAnsi" w:cstheme="minorHAnsi"/>
      <w:sz w:val="20"/>
    </w:rPr>
  </w:style>
  <w:style w:type="paragraph" w:styleId="TOC9">
    <w:name w:val="toc 9"/>
    <w:basedOn w:val="Normal"/>
    <w:next w:val="Normal"/>
    <w:autoRedefine/>
    <w:semiHidden/>
    <w:unhideWhenUsed/>
    <w:rsid w:val="007847DD"/>
    <w:pPr>
      <w:ind w:left="1920"/>
    </w:pPr>
    <w:rPr>
      <w:rFonts w:asciiTheme="minorHAnsi" w:hAnsiTheme="minorHAnsi" w:cstheme="minorHAnsi"/>
      <w:sz w:val="20"/>
    </w:rPr>
  </w:style>
  <w:style w:type="character" w:customStyle="1" w:styleId="citation-1">
    <w:name w:val="citation-1"/>
    <w:basedOn w:val="DefaultParagraphFont"/>
    <w:rsid w:val="0038762D"/>
  </w:style>
  <w:style w:type="character" w:styleId="FollowedHyperlink">
    <w:name w:val="FollowedHyperlink"/>
    <w:basedOn w:val="DefaultParagraphFont"/>
    <w:semiHidden/>
    <w:unhideWhenUsed/>
    <w:rsid w:val="00D350E7"/>
    <w:rPr>
      <w:color w:val="800080" w:themeColor="followedHyperlink"/>
      <w:u w:val="single"/>
    </w:rPr>
  </w:style>
  <w:style w:type="character" w:styleId="UnresolvedMention">
    <w:name w:val="Unresolved Mention"/>
    <w:basedOn w:val="DefaultParagraphFont"/>
    <w:uiPriority w:val="99"/>
    <w:semiHidden/>
    <w:unhideWhenUsed/>
    <w:rsid w:val="002D3A54"/>
    <w:rPr>
      <w:color w:val="605E5C"/>
      <w:shd w:val="clear" w:color="auto" w:fill="E1DFDD"/>
    </w:rPr>
  </w:style>
  <w:style w:type="paragraph" w:customStyle="1" w:styleId="code-line">
    <w:name w:val="code-line"/>
    <w:basedOn w:val="Normal"/>
    <w:rsid w:val="006C0E0F"/>
    <w:pPr>
      <w:spacing w:before="100" w:beforeAutospacing="1" w:after="100" w:afterAutospacing="1" w:line="240" w:lineRule="auto"/>
    </w:pPr>
    <w:rPr>
      <w:rFonts w:cs="Times New Roman"/>
      <w:color w:val="auto"/>
      <w:szCs w:val="24"/>
    </w:rPr>
  </w:style>
  <w:style w:type="character" w:styleId="HTMLCode">
    <w:name w:val="HTML Code"/>
    <w:basedOn w:val="DefaultParagraphFont"/>
    <w:uiPriority w:val="99"/>
    <w:semiHidden/>
    <w:unhideWhenUsed/>
    <w:rsid w:val="006C0E0F"/>
    <w:rPr>
      <w:rFonts w:ascii="Courier New" w:eastAsia="Times New Roman" w:hAnsi="Courier New" w:cs="Courier New"/>
      <w:sz w:val="20"/>
      <w:szCs w:val="20"/>
    </w:rPr>
  </w:style>
  <w:style w:type="character" w:styleId="Strong">
    <w:name w:val="Strong"/>
    <w:basedOn w:val="DefaultParagraphFont"/>
    <w:uiPriority w:val="22"/>
    <w:qFormat/>
    <w:rsid w:val="001B1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096446">
      <w:bodyDiv w:val="1"/>
      <w:marLeft w:val="0"/>
      <w:marRight w:val="0"/>
      <w:marTop w:val="0"/>
      <w:marBottom w:val="0"/>
      <w:divBdr>
        <w:top w:val="none" w:sz="0" w:space="0" w:color="auto"/>
        <w:left w:val="none" w:sz="0" w:space="0" w:color="auto"/>
        <w:bottom w:val="none" w:sz="0" w:space="0" w:color="auto"/>
        <w:right w:val="none" w:sz="0" w:space="0" w:color="auto"/>
      </w:divBdr>
    </w:div>
    <w:div w:id="96683472">
      <w:marLeft w:val="0"/>
      <w:marRight w:val="0"/>
      <w:marTop w:val="0"/>
      <w:marBottom w:val="0"/>
      <w:divBdr>
        <w:top w:val="none" w:sz="0" w:space="0" w:color="auto"/>
        <w:left w:val="none" w:sz="0" w:space="0" w:color="auto"/>
        <w:bottom w:val="none" w:sz="0" w:space="0" w:color="auto"/>
        <w:right w:val="none" w:sz="0" w:space="0" w:color="auto"/>
      </w:divBdr>
      <w:divsChild>
        <w:div w:id="360277203">
          <w:marLeft w:val="0"/>
          <w:marRight w:val="0"/>
          <w:marTop w:val="0"/>
          <w:marBottom w:val="0"/>
          <w:divBdr>
            <w:top w:val="none" w:sz="0" w:space="0" w:color="auto"/>
            <w:left w:val="none" w:sz="0" w:space="0" w:color="auto"/>
            <w:bottom w:val="none" w:sz="0" w:space="0" w:color="auto"/>
            <w:right w:val="none" w:sz="0" w:space="0" w:color="auto"/>
          </w:divBdr>
        </w:div>
      </w:divsChild>
    </w:div>
    <w:div w:id="155612786">
      <w:bodyDiv w:val="1"/>
      <w:marLeft w:val="0"/>
      <w:marRight w:val="0"/>
      <w:marTop w:val="0"/>
      <w:marBottom w:val="0"/>
      <w:divBdr>
        <w:top w:val="none" w:sz="0" w:space="0" w:color="auto"/>
        <w:left w:val="none" w:sz="0" w:space="0" w:color="auto"/>
        <w:bottom w:val="none" w:sz="0" w:space="0" w:color="auto"/>
        <w:right w:val="none" w:sz="0" w:space="0" w:color="auto"/>
      </w:divBdr>
    </w:div>
    <w:div w:id="460264602">
      <w:bodyDiv w:val="1"/>
      <w:marLeft w:val="0"/>
      <w:marRight w:val="0"/>
      <w:marTop w:val="0"/>
      <w:marBottom w:val="0"/>
      <w:divBdr>
        <w:top w:val="none" w:sz="0" w:space="0" w:color="auto"/>
        <w:left w:val="none" w:sz="0" w:space="0" w:color="auto"/>
        <w:bottom w:val="none" w:sz="0" w:space="0" w:color="auto"/>
        <w:right w:val="none" w:sz="0" w:space="0" w:color="auto"/>
      </w:divBdr>
    </w:div>
    <w:div w:id="523327152">
      <w:bodyDiv w:val="1"/>
      <w:marLeft w:val="0"/>
      <w:marRight w:val="0"/>
      <w:marTop w:val="0"/>
      <w:marBottom w:val="0"/>
      <w:divBdr>
        <w:top w:val="none" w:sz="0" w:space="0" w:color="auto"/>
        <w:left w:val="none" w:sz="0" w:space="0" w:color="auto"/>
        <w:bottom w:val="none" w:sz="0" w:space="0" w:color="auto"/>
        <w:right w:val="none" w:sz="0" w:space="0" w:color="auto"/>
      </w:divBdr>
    </w:div>
    <w:div w:id="533007477">
      <w:bodyDiv w:val="1"/>
      <w:marLeft w:val="0"/>
      <w:marRight w:val="0"/>
      <w:marTop w:val="0"/>
      <w:marBottom w:val="0"/>
      <w:divBdr>
        <w:top w:val="none" w:sz="0" w:space="0" w:color="auto"/>
        <w:left w:val="none" w:sz="0" w:space="0" w:color="auto"/>
        <w:bottom w:val="none" w:sz="0" w:space="0" w:color="auto"/>
        <w:right w:val="none" w:sz="0" w:space="0" w:color="auto"/>
      </w:divBdr>
    </w:div>
    <w:div w:id="646856905">
      <w:bodyDiv w:val="1"/>
      <w:marLeft w:val="0"/>
      <w:marRight w:val="0"/>
      <w:marTop w:val="0"/>
      <w:marBottom w:val="0"/>
      <w:divBdr>
        <w:top w:val="none" w:sz="0" w:space="0" w:color="auto"/>
        <w:left w:val="none" w:sz="0" w:space="0" w:color="auto"/>
        <w:bottom w:val="none" w:sz="0" w:space="0" w:color="auto"/>
        <w:right w:val="none" w:sz="0" w:space="0" w:color="auto"/>
      </w:divBdr>
    </w:div>
    <w:div w:id="827551395">
      <w:bodyDiv w:val="1"/>
      <w:marLeft w:val="0"/>
      <w:marRight w:val="0"/>
      <w:marTop w:val="0"/>
      <w:marBottom w:val="0"/>
      <w:divBdr>
        <w:top w:val="none" w:sz="0" w:space="0" w:color="auto"/>
        <w:left w:val="none" w:sz="0" w:space="0" w:color="auto"/>
        <w:bottom w:val="none" w:sz="0" w:space="0" w:color="auto"/>
        <w:right w:val="none" w:sz="0" w:space="0" w:color="auto"/>
      </w:divBdr>
      <w:divsChild>
        <w:div w:id="836311894">
          <w:marLeft w:val="0"/>
          <w:marRight w:val="0"/>
          <w:marTop w:val="0"/>
          <w:marBottom w:val="0"/>
          <w:divBdr>
            <w:top w:val="none" w:sz="0" w:space="0" w:color="auto"/>
            <w:left w:val="none" w:sz="0" w:space="0" w:color="auto"/>
            <w:bottom w:val="none" w:sz="0" w:space="0" w:color="auto"/>
            <w:right w:val="none" w:sz="0" w:space="0" w:color="auto"/>
          </w:divBdr>
          <w:divsChild>
            <w:div w:id="16374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6456">
      <w:bodyDiv w:val="1"/>
      <w:marLeft w:val="0"/>
      <w:marRight w:val="0"/>
      <w:marTop w:val="0"/>
      <w:marBottom w:val="0"/>
      <w:divBdr>
        <w:top w:val="none" w:sz="0" w:space="0" w:color="auto"/>
        <w:left w:val="none" w:sz="0" w:space="0" w:color="auto"/>
        <w:bottom w:val="none" w:sz="0" w:space="0" w:color="auto"/>
        <w:right w:val="none" w:sz="0" w:space="0" w:color="auto"/>
      </w:divBdr>
    </w:div>
    <w:div w:id="1023048264">
      <w:bodyDiv w:val="1"/>
      <w:marLeft w:val="0"/>
      <w:marRight w:val="0"/>
      <w:marTop w:val="0"/>
      <w:marBottom w:val="0"/>
      <w:divBdr>
        <w:top w:val="none" w:sz="0" w:space="0" w:color="auto"/>
        <w:left w:val="none" w:sz="0" w:space="0" w:color="auto"/>
        <w:bottom w:val="none" w:sz="0" w:space="0" w:color="auto"/>
        <w:right w:val="none" w:sz="0" w:space="0" w:color="auto"/>
      </w:divBdr>
    </w:div>
    <w:div w:id="1250968992">
      <w:bodyDiv w:val="1"/>
      <w:marLeft w:val="0"/>
      <w:marRight w:val="0"/>
      <w:marTop w:val="0"/>
      <w:marBottom w:val="0"/>
      <w:divBdr>
        <w:top w:val="none" w:sz="0" w:space="0" w:color="auto"/>
        <w:left w:val="none" w:sz="0" w:space="0" w:color="auto"/>
        <w:bottom w:val="none" w:sz="0" w:space="0" w:color="auto"/>
        <w:right w:val="none" w:sz="0" w:space="0" w:color="auto"/>
      </w:divBdr>
    </w:div>
    <w:div w:id="1428117507">
      <w:bodyDiv w:val="1"/>
      <w:marLeft w:val="0"/>
      <w:marRight w:val="0"/>
      <w:marTop w:val="0"/>
      <w:marBottom w:val="0"/>
      <w:divBdr>
        <w:top w:val="none" w:sz="0" w:space="0" w:color="auto"/>
        <w:left w:val="none" w:sz="0" w:space="0" w:color="auto"/>
        <w:bottom w:val="none" w:sz="0" w:space="0" w:color="auto"/>
        <w:right w:val="none" w:sz="0" w:space="0" w:color="auto"/>
      </w:divBdr>
    </w:div>
    <w:div w:id="1448885769">
      <w:bodyDiv w:val="1"/>
      <w:marLeft w:val="0"/>
      <w:marRight w:val="0"/>
      <w:marTop w:val="0"/>
      <w:marBottom w:val="0"/>
      <w:divBdr>
        <w:top w:val="none" w:sz="0" w:space="0" w:color="auto"/>
        <w:left w:val="none" w:sz="0" w:space="0" w:color="auto"/>
        <w:bottom w:val="none" w:sz="0" w:space="0" w:color="auto"/>
        <w:right w:val="none" w:sz="0" w:space="0" w:color="auto"/>
      </w:divBdr>
    </w:div>
    <w:div w:id="1554653191">
      <w:bodyDiv w:val="1"/>
      <w:marLeft w:val="0"/>
      <w:marRight w:val="0"/>
      <w:marTop w:val="0"/>
      <w:marBottom w:val="0"/>
      <w:divBdr>
        <w:top w:val="none" w:sz="0" w:space="0" w:color="auto"/>
        <w:left w:val="none" w:sz="0" w:space="0" w:color="auto"/>
        <w:bottom w:val="none" w:sz="0" w:space="0" w:color="auto"/>
        <w:right w:val="none" w:sz="0" w:space="0" w:color="auto"/>
      </w:divBdr>
    </w:div>
    <w:div w:id="1599681832">
      <w:marLeft w:val="0"/>
      <w:marRight w:val="0"/>
      <w:marTop w:val="0"/>
      <w:marBottom w:val="0"/>
      <w:divBdr>
        <w:top w:val="none" w:sz="0" w:space="0" w:color="auto"/>
        <w:left w:val="none" w:sz="0" w:space="0" w:color="auto"/>
        <w:bottom w:val="none" w:sz="0" w:space="0" w:color="auto"/>
        <w:right w:val="none" w:sz="0" w:space="0" w:color="auto"/>
      </w:divBdr>
      <w:divsChild>
        <w:div w:id="1762724634">
          <w:marLeft w:val="0"/>
          <w:marRight w:val="0"/>
          <w:marTop w:val="0"/>
          <w:marBottom w:val="0"/>
          <w:divBdr>
            <w:top w:val="none" w:sz="0" w:space="0" w:color="auto"/>
            <w:left w:val="none" w:sz="0" w:space="0" w:color="auto"/>
            <w:bottom w:val="none" w:sz="0" w:space="0" w:color="auto"/>
            <w:right w:val="none" w:sz="0" w:space="0" w:color="auto"/>
          </w:divBdr>
        </w:div>
      </w:divsChild>
    </w:div>
    <w:div w:id="1704287688">
      <w:bodyDiv w:val="1"/>
      <w:marLeft w:val="0"/>
      <w:marRight w:val="0"/>
      <w:marTop w:val="0"/>
      <w:marBottom w:val="0"/>
      <w:divBdr>
        <w:top w:val="none" w:sz="0" w:space="0" w:color="auto"/>
        <w:left w:val="none" w:sz="0" w:space="0" w:color="auto"/>
        <w:bottom w:val="none" w:sz="0" w:space="0" w:color="auto"/>
        <w:right w:val="none" w:sz="0" w:space="0" w:color="auto"/>
      </w:divBdr>
    </w:div>
    <w:div w:id="208248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Desk\Desktop\MSA%20Thesis%20Template\MSA_Thesis_Template_16Jan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FD3FE8AA9E874B8EDE079358549DC9" ma:contentTypeVersion="6" ma:contentTypeDescription="Create a new document." ma:contentTypeScope="" ma:versionID="aa5db4ad79fe06070710c222ca9c24ed">
  <xsd:schema xmlns:xsd="http://www.w3.org/2001/XMLSchema" xmlns:xs="http://www.w3.org/2001/XMLSchema" xmlns:p="http://schemas.microsoft.com/office/2006/metadata/properties" xmlns:ns2="9bf83923-cd2c-431f-96a4-613dcd07705d" xmlns:ns3="b116dd36-9319-459a-af11-fee6773ff1ef" xmlns:ns4="351539b5-3868-4e56-be9e-4602e3948d58" xmlns:ns5="a2153c5e-2865-4a88-bccc-480a304f37ee" xmlns:ns6="15d42980-4b1d-4d69-88d0-121b4a78c886" targetNamespace="http://schemas.microsoft.com/office/2006/metadata/properties" ma:root="true" ma:fieldsID="2632aadd7f3c80cbc43c76be90be4fe9" ns2:_="" ns3:_="" ns4:_="" ns5:_="" ns6:_="">
    <xsd:import namespace="9bf83923-cd2c-431f-96a4-613dcd07705d"/>
    <xsd:import namespace="b116dd36-9319-459a-af11-fee6773ff1ef"/>
    <xsd:import namespace="351539b5-3868-4e56-be9e-4602e3948d58"/>
    <xsd:import namespace="a2153c5e-2865-4a88-bccc-480a304f37ee"/>
    <xsd:import namespace="15d42980-4b1d-4d69-88d0-121b4a78c886"/>
    <xsd:element name="properties">
      <xsd:complexType>
        <xsd:sequence>
          <xsd:element name="documentManagement">
            <xsd:complexType>
              <xsd:all>
                <xsd:element ref="ns2:_dlc_DocId" minOccurs="0"/>
                <xsd:element ref="ns2:_dlc_DocIdUrl" minOccurs="0"/>
                <xsd:element ref="ns2:_dlc_DocIdPersistId" minOccurs="0"/>
                <xsd:element ref="ns3:Content_x0020_Type" minOccurs="0"/>
                <xsd:element ref="ns3:Notes0" minOccurs="0"/>
                <xsd:element ref="ns4:SharedWithUsers" minOccurs="0"/>
                <xsd:element ref="ns4:SharedWithDetails" minOccurs="0"/>
                <xsd:element ref="ns5:LastSharedByUser" minOccurs="0"/>
                <xsd:element ref="ns6: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83923-cd2c-431f-96a4-613dcd0770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16dd36-9319-459a-af11-fee6773ff1ef" elementFormDefault="qualified">
    <xsd:import namespace="http://schemas.microsoft.com/office/2006/documentManagement/types"/>
    <xsd:import namespace="http://schemas.microsoft.com/office/infopath/2007/PartnerControls"/>
    <xsd:element name="Content_x0020_Type" ma:index="11" nillable="true" ma:displayName="Type of Content" ma:format="Dropdown" ma:internalName="Content_x0020_Type">
      <xsd:simpleType>
        <xsd:restriction base="dms:Choice">
          <xsd:enumeration value="Bulletins"/>
          <xsd:enumeration value="Chair's Updates"/>
          <xsd:enumeration value="Forms"/>
          <xsd:enumeration value="Pictures"/>
          <xsd:enumeration value="Policies"/>
          <xsd:enumeration value="Other"/>
          <xsd:enumeration value="Syllabi"/>
          <xsd:enumeration value="Scholarship"/>
          <xsd:enumeration value="Templates"/>
          <xsd:enumeration value="Theses"/>
          <xsd:enumeration value="Websites"/>
        </xsd:restriction>
      </xsd:simpleType>
    </xsd:element>
    <xsd:element name="Notes0" ma:index="12" nillable="true" ma:displayName="Not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1539b5-3868-4e56-be9e-4602e3948d58"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153c5e-2865-4a88-bccc-480a304f37ee" elementFormDefault="qualified">
    <xsd:import namespace="http://schemas.microsoft.com/office/2006/documentManagement/types"/>
    <xsd:import namespace="http://schemas.microsoft.com/office/infopath/2007/PartnerControls"/>
    <xsd:element name="LastSharedByUser" ma:index="15" nillable="true" ma:displayName="Last Shared By User" ma:description="" ma:internalName="LastSharedByUse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d42980-4b1d-4d69-88d0-121b4a78c886" elementFormDefault="qualified">
    <xsd:import namespace="http://schemas.microsoft.com/office/2006/documentManagement/types"/>
    <xsd:import namespace="http://schemas.microsoft.com/office/infopath/2007/PartnerControls"/>
    <xsd:element name="LastSharedByTime" ma:index="16"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9bf83923-cd2c-431f-96a4-613dcd07705d">77FQKEKRSHPU-154-145</_dlc_DocId>
    <_dlc_DocIdUrl xmlns="9bf83923-cd2c-431f-96a4-613dcd07705d">
      <Url>https://myerauedu.sharepoint.com/teams/DB_College_of_Aviation/DR_GR_Studies/DMSA/_layouts/15/DocIdRedir.aspx?ID=77FQKEKRSHPU-154-145</Url>
      <Description>77FQKEKRSHPU-154-145</Description>
    </_dlc_DocIdUrl>
    <Content_x0020_Type xmlns="b116dd36-9319-459a-af11-fee6773ff1ef" xsi:nil="true"/>
    <Notes0 xmlns="b116dd36-9319-459a-af11-fee6773ff1ef" xsi:nil="true"/>
  </documentManagement>
</p:properties>
</file>

<file path=customXml/itemProps1.xml><?xml version="1.0" encoding="utf-8"?>
<ds:datastoreItem xmlns:ds="http://schemas.openxmlformats.org/officeDocument/2006/customXml" ds:itemID="{A7C18D4D-8BAA-415A-90DC-CED6A41AB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f83923-cd2c-431f-96a4-613dcd07705d"/>
    <ds:schemaRef ds:uri="b116dd36-9319-459a-af11-fee6773ff1ef"/>
    <ds:schemaRef ds:uri="351539b5-3868-4e56-be9e-4602e3948d58"/>
    <ds:schemaRef ds:uri="a2153c5e-2865-4a88-bccc-480a304f37ee"/>
    <ds:schemaRef ds:uri="15d42980-4b1d-4d69-88d0-121b4a78c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4E3AB9-3BC8-40A2-B804-CB2596E8395D}">
  <ds:schemaRefs>
    <ds:schemaRef ds:uri="http://schemas.openxmlformats.org/officeDocument/2006/bibliography"/>
  </ds:schemaRefs>
</ds:datastoreItem>
</file>

<file path=customXml/itemProps3.xml><?xml version="1.0" encoding="utf-8"?>
<ds:datastoreItem xmlns:ds="http://schemas.openxmlformats.org/officeDocument/2006/customXml" ds:itemID="{82BCEBC2-92CC-4E79-A5FA-412220AC2907}">
  <ds:schemaRefs>
    <ds:schemaRef ds:uri="http://schemas.microsoft.com/sharepoint/events"/>
  </ds:schemaRefs>
</ds:datastoreItem>
</file>

<file path=customXml/itemProps4.xml><?xml version="1.0" encoding="utf-8"?>
<ds:datastoreItem xmlns:ds="http://schemas.openxmlformats.org/officeDocument/2006/customXml" ds:itemID="{3AF2861A-1DCC-4BF4-A849-5C270E1AED8D}">
  <ds:schemaRefs>
    <ds:schemaRef ds:uri="http://schemas.microsoft.com/sharepoint/v3/contenttype/forms"/>
  </ds:schemaRefs>
</ds:datastoreItem>
</file>

<file path=customXml/itemProps5.xml><?xml version="1.0" encoding="utf-8"?>
<ds:datastoreItem xmlns:ds="http://schemas.openxmlformats.org/officeDocument/2006/customXml" ds:itemID="{14D5A984-6627-4DC4-A9C4-5D05EAB8382D}">
  <ds:schemaRefs>
    <ds:schemaRef ds:uri="http://schemas.microsoft.com/office/2006/metadata/properties"/>
    <ds:schemaRef ds:uri="http://schemas.microsoft.com/office/infopath/2007/PartnerControls"/>
    <ds:schemaRef ds:uri="9bf83923-cd2c-431f-96a4-613dcd07705d"/>
    <ds:schemaRef ds:uri="b116dd36-9319-459a-af11-fee6773ff1ef"/>
  </ds:schemaRefs>
</ds:datastoreItem>
</file>

<file path=docProps/app.xml><?xml version="1.0" encoding="utf-8"?>
<Properties xmlns="http://schemas.openxmlformats.org/officeDocument/2006/extended-properties" xmlns:vt="http://schemas.openxmlformats.org/officeDocument/2006/docPropsVTypes">
  <Template>C:\Users\JanDesk\Desktop\MSA Thesis Template\MSA_Thesis_Template_16Jan11.dot</Template>
  <TotalTime>21</TotalTime>
  <Pages>8</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Embry-Riddle Aeronautical University</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G. Neal</dc:creator>
  <cp:lastModifiedBy>Gleich, Leila</cp:lastModifiedBy>
  <cp:revision>28</cp:revision>
  <cp:lastPrinted>2017-01-25T16:28:00Z</cp:lastPrinted>
  <dcterms:created xsi:type="dcterms:W3CDTF">2026-08-23T20:14:00Z</dcterms:created>
  <dcterms:modified xsi:type="dcterms:W3CDTF">2026-10-01T19:57:00Z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7157d33e-3c76-4826-94da-a77a87419cda</vt:lpwstr>
  </property>
  <property fmtid="{D5CDD505-2E9C-101B-9397-08002B2CF9AE}" pid="3" name="ContentTypeId">
    <vt:lpwstr>0x01010035FD3FE8AA9E874B8EDE079358549DC9</vt:lpwstr>
  </property>
</Properties>
</file>