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E0734B" w:rsidRDefault="00E0734B" w:rsidP="00D857FE">
      <w:pPr>
        <w:ind w:firstLine="0"/>
        <w:contextualSpacing w:val="0"/>
        <w:jc w:val="center"/>
        <w:rPr>
          <w:b/>
          <w:bCs/>
          <w:iCs/>
          <w:color w:val="000000" w:themeColor="text1"/>
        </w:rPr>
      </w:pPr>
      <w:bookmarkStart w:id="0" w:name="_Toc242174123"/>
      <w:bookmarkStart w:id="1" w:name="_Toc242174775"/>
      <w:r w:rsidRPr="00E0734B">
        <w:rPr>
          <w:b/>
          <w:bCs/>
          <w:color w:val="000000" w:themeColor="text1"/>
        </w:rPr>
        <w:t>Chapter I</w:t>
      </w:r>
      <w:bookmarkEnd w:id="0"/>
      <w:bookmarkEnd w:id="1"/>
    </w:p>
    <w:p w14:paraId="1D6E4FB5" w14:textId="77777777" w:rsidR="00E0734B" w:rsidRPr="00D857FE" w:rsidRDefault="00E0734B" w:rsidP="00D857FE">
      <w:pPr>
        <w:pStyle w:val="Heading1"/>
      </w:pPr>
      <w:bookmarkStart w:id="2" w:name="_Toc242174124"/>
      <w:bookmarkStart w:id="3" w:name="_Toc242174776"/>
      <w:r w:rsidRPr="00D857FE">
        <w:t>Introduction</w:t>
      </w:r>
      <w:bookmarkEnd w:id="2"/>
      <w:bookmarkEnd w:id="3"/>
    </w:p>
    <w:p w14:paraId="30E9240C" w14:textId="6ADBE1BC" w:rsidR="001C0042" w:rsidRPr="001C0042" w:rsidRDefault="00E0734B" w:rsidP="001C0042">
      <w:pPr>
        <w:rPr>
          <w:color w:val="000000" w:themeColor="text1"/>
        </w:rPr>
      </w:pPr>
      <w:r w:rsidRPr="00E0734B">
        <w:rPr>
          <w:color w:val="000000" w:themeColor="text1"/>
        </w:rPr>
        <w:t>As air travel demand outpaces airport infrastructure growth, inefficient resource allocation has become a critical operational bottleneck (</w:t>
      </w:r>
      <w:proofErr w:type="spellStart"/>
      <w:r w:rsidRPr="00E0734B">
        <w:rPr>
          <w:color w:val="000000" w:themeColor="text1"/>
        </w:rPr>
        <w:t>Adacher</w:t>
      </w:r>
      <w:proofErr w:type="spellEnd"/>
      <w:r w:rsidRPr="00E0734B">
        <w:rPr>
          <w:color w:val="000000" w:themeColor="text1"/>
        </w:rPr>
        <w:t xml:space="preserve">, Flamini, </w:t>
      </w:r>
      <w:proofErr w:type="spellStart"/>
      <w:r w:rsidRPr="00E0734B">
        <w:rPr>
          <w:color w:val="000000" w:themeColor="text1"/>
        </w:rPr>
        <w:t>Guaita</w:t>
      </w:r>
      <w:proofErr w:type="spellEnd"/>
      <w:r w:rsidRPr="00E0734B">
        <w:rPr>
          <w:color w:val="000000" w:themeColor="text1"/>
        </w:rPr>
        <w:t xml:space="preserve"> &amp; Romano, 2017). </w:t>
      </w:r>
      <w:r w:rsidR="00C202E8">
        <w:rPr>
          <w:color w:val="000000" w:themeColor="text1"/>
        </w:rPr>
        <w:t>Barriers such as p</w:t>
      </w:r>
      <w:r w:rsidR="001C0042" w:rsidRPr="001C0042">
        <w:rPr>
          <w:color w:val="000000" w:themeColor="text1"/>
        </w:rPr>
        <w:t>rohibitive capital costs</w:t>
      </w:r>
      <w:r w:rsidR="00C202E8">
        <w:rPr>
          <w:color w:val="000000" w:themeColor="text1"/>
        </w:rPr>
        <w:t xml:space="preserve"> and</w:t>
      </w:r>
      <w:r w:rsidR="001C0042" w:rsidRPr="001C0042">
        <w:rPr>
          <w:color w:val="000000" w:themeColor="text1"/>
        </w:rPr>
        <w:t xml:space="preserve"> municipal land constraints</w:t>
      </w:r>
      <w:r w:rsidR="00C202E8">
        <w:rPr>
          <w:color w:val="000000" w:themeColor="text1"/>
        </w:rPr>
        <w:t xml:space="preserve"> </w:t>
      </w:r>
      <w:r w:rsidR="001C0042" w:rsidRPr="001C0042">
        <w:rPr>
          <w:color w:val="000000" w:themeColor="text1"/>
        </w:rPr>
        <w:t>severely restrict physical terminal expansion (</w:t>
      </w:r>
      <w:proofErr w:type="spellStart"/>
      <w:r w:rsidR="001C0042" w:rsidRPr="001C0042">
        <w:rPr>
          <w:color w:val="000000" w:themeColor="text1"/>
        </w:rPr>
        <w:t>AlKheder</w:t>
      </w:r>
      <w:proofErr w:type="spellEnd"/>
      <w:r w:rsidR="001C0042" w:rsidRPr="001C0042">
        <w:rPr>
          <w:color w:val="000000" w:themeColor="text1"/>
        </w:rPr>
        <w:t xml:space="preserve"> et al., 2024; </w:t>
      </w:r>
      <w:proofErr w:type="spellStart"/>
      <w:r w:rsidR="001C0042" w:rsidRPr="001C0042">
        <w:rPr>
          <w:color w:val="000000" w:themeColor="text1"/>
        </w:rPr>
        <w:t>Balliauw</w:t>
      </w:r>
      <w:proofErr w:type="spellEnd"/>
      <w:r w:rsidR="001C0042" w:rsidRPr="001C0042">
        <w:rPr>
          <w:color w:val="000000" w:themeColor="text1"/>
        </w:rPr>
        <w:t xml:space="preserve"> &amp; </w:t>
      </w:r>
      <w:proofErr w:type="spellStart"/>
      <w:r w:rsidR="001C0042" w:rsidRPr="001C0042">
        <w:rPr>
          <w:color w:val="000000" w:themeColor="text1"/>
        </w:rPr>
        <w:t>Onghena</w:t>
      </w:r>
      <w:proofErr w:type="spellEnd"/>
      <w:r w:rsidR="001C0042" w:rsidRPr="001C0042">
        <w:rPr>
          <w:color w:val="000000" w:themeColor="text1"/>
        </w:rPr>
        <w:t xml:space="preserve">, 2020; De Neufville &amp; </w:t>
      </w:r>
      <w:proofErr w:type="spellStart"/>
      <w:r w:rsidR="001C0042" w:rsidRPr="001C0042">
        <w:rPr>
          <w:color w:val="000000" w:themeColor="text1"/>
        </w:rPr>
        <w:t>Odoni</w:t>
      </w:r>
      <w:proofErr w:type="spellEnd"/>
      <w:r w:rsidR="001C0042" w:rsidRPr="001C0042">
        <w:rPr>
          <w:color w:val="000000" w:themeColor="text1"/>
        </w:rPr>
        <w:t>, 2014; Ozores, 2026). Consequently, airport operators and federal security authorities must extract maximum operational throughput from fixed physical assets through software-driven predictive intelligence.</w:t>
      </w:r>
    </w:p>
    <w:p w14:paraId="2BF4A22E" w14:textId="7010B77F" w:rsidR="00E0734B" w:rsidRPr="00E0734B" w:rsidRDefault="00A20EC8" w:rsidP="00E0734B">
      <w:pPr>
        <w:rPr>
          <w:color w:val="000000" w:themeColor="text1"/>
        </w:rPr>
      </w:pPr>
      <w:r w:rsidRPr="00A20EC8">
        <w:rPr>
          <w:color w:val="000000" w:themeColor="text1"/>
        </w:rPr>
        <w:t xml:space="preserve">While predictive models are widely deployed to anticipate terminal demand, the systemic disruptions of the COVID-19 pandemic and subsequent recovery exposed critical vulnerabilities in traditional, accuracy-centric evaluation standards (Sun, </w:t>
      </w:r>
      <w:proofErr w:type="spellStart"/>
      <w:r w:rsidRPr="00A20EC8">
        <w:rPr>
          <w:color w:val="000000" w:themeColor="text1"/>
        </w:rPr>
        <w:t>Wandelt</w:t>
      </w:r>
      <w:proofErr w:type="spellEnd"/>
      <w:r w:rsidRPr="00A20EC8">
        <w:rPr>
          <w:color w:val="000000" w:themeColor="text1"/>
        </w:rPr>
        <w:t>, &amp; Zhang, 2022).</w:t>
      </w:r>
      <w:r>
        <w:rPr>
          <w:color w:val="000000" w:themeColor="text1"/>
        </w:rPr>
        <w:t xml:space="preserve"> </w:t>
      </w:r>
      <w:r w:rsidR="00E0734B" w:rsidRPr="00E0734B">
        <w:rPr>
          <w:color w:val="000000" w:themeColor="text1"/>
        </w:rPr>
        <w:t>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6A4E1439" w:rsidR="00E0734B" w:rsidRPr="00E0734B" w:rsidRDefault="0017365B" w:rsidP="00E0734B">
      <w:pPr>
        <w:pStyle w:val="ListParagraph"/>
        <w:numPr>
          <w:ilvl w:val="0"/>
          <w:numId w:val="1"/>
        </w:numPr>
        <w:spacing w:after="0" w:line="480" w:lineRule="auto"/>
        <w:rPr>
          <w:rFonts w:ascii="Times New Roman" w:hAnsi="Times New Roman" w:cs="Times New Roman"/>
          <w:color w:val="000000" w:themeColor="text1"/>
        </w:rPr>
      </w:pPr>
      <w:r>
        <w:rPr>
          <w:rFonts w:ascii="Times New Roman" w:hAnsi="Times New Roman" w:cs="Times New Roman"/>
          <w:b/>
          <w:bCs/>
          <w:color w:val="000000" w:themeColor="text1"/>
        </w:rPr>
        <w:t>Robustness (</w:t>
      </w:r>
      <w:r w:rsidR="00E0734B" w:rsidRPr="00E0734B">
        <w:rPr>
          <w:rFonts w:ascii="Times New Roman" w:hAnsi="Times New Roman" w:cs="Times New Roman"/>
          <w:b/>
          <w:bCs/>
          <w:color w:val="000000" w:themeColor="text1"/>
        </w:rPr>
        <w:t>Remains reliable during routine operations</w:t>
      </w:r>
      <w:r>
        <w:rPr>
          <w:rFonts w:ascii="Times New Roman" w:hAnsi="Times New Roman" w:cs="Times New Roman"/>
          <w:b/>
          <w:bCs/>
          <w:color w:val="000000" w:themeColor="text1"/>
        </w:rPr>
        <w:t>)</w:t>
      </w:r>
      <w:r w:rsidR="00E0734B" w:rsidRPr="00E0734B">
        <w:rPr>
          <w:rFonts w:ascii="Times New Roman" w:hAnsi="Times New Roman" w:cs="Times New Roman"/>
          <w:color w:val="000000" w:themeColor="text1"/>
        </w:rPr>
        <w:t>: Providing consistent, low-error baseline volatility forecasts during undisturbed flight banks.</w:t>
      </w:r>
    </w:p>
    <w:p w14:paraId="5988C96A" w14:textId="795B61A0" w:rsidR="00E0734B" w:rsidRPr="00E0734B" w:rsidRDefault="0017365B" w:rsidP="00E0734B">
      <w:pPr>
        <w:pStyle w:val="ListParagraph"/>
        <w:numPr>
          <w:ilvl w:val="0"/>
          <w:numId w:val="1"/>
        </w:numPr>
        <w:spacing w:after="0" w:line="480" w:lineRule="auto"/>
        <w:rPr>
          <w:rFonts w:ascii="Times New Roman" w:hAnsi="Times New Roman" w:cs="Times New Roman"/>
          <w:color w:val="000000" w:themeColor="text1"/>
        </w:rPr>
      </w:pPr>
      <w:r>
        <w:rPr>
          <w:rFonts w:ascii="Times New Roman" w:hAnsi="Times New Roman" w:cs="Times New Roman"/>
          <w:b/>
          <w:bCs/>
          <w:color w:val="000000" w:themeColor="text1"/>
        </w:rPr>
        <w:lastRenderedPageBreak/>
        <w:t>Resilience (</w:t>
      </w:r>
      <w:r w:rsidR="00E0734B" w:rsidRPr="00E0734B">
        <w:rPr>
          <w:rFonts w:ascii="Times New Roman" w:hAnsi="Times New Roman" w:cs="Times New Roman"/>
          <w:b/>
          <w:bCs/>
          <w:color w:val="000000" w:themeColor="text1"/>
        </w:rPr>
        <w:t>Maintains stability and recovers rapidly during disruptions</w:t>
      </w:r>
      <w:r>
        <w:rPr>
          <w:rFonts w:ascii="Times New Roman" w:hAnsi="Times New Roman" w:cs="Times New Roman"/>
          <w:b/>
          <w:bCs/>
          <w:color w:val="000000" w:themeColor="text1"/>
        </w:rPr>
        <w:t>)</w:t>
      </w:r>
      <w:r w:rsidR="00E0734B" w:rsidRPr="00E0734B">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2A0131C6" w:rsidR="00E0734B" w:rsidRPr="00E0734B" w:rsidRDefault="0017365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 xml:space="preserve">Generalizability </w:t>
      </w:r>
      <w:r>
        <w:rPr>
          <w:rFonts w:ascii="Times New Roman" w:hAnsi="Times New Roman" w:cs="Times New Roman"/>
          <w:b/>
          <w:bCs/>
          <w:color w:val="000000" w:themeColor="text1"/>
        </w:rPr>
        <w:t>(</w:t>
      </w:r>
      <w:r w:rsidR="00E0734B" w:rsidRPr="00E0734B">
        <w:rPr>
          <w:rFonts w:ascii="Times New Roman" w:hAnsi="Times New Roman" w:cs="Times New Roman"/>
          <w:b/>
          <w:bCs/>
          <w:color w:val="000000" w:themeColor="text1"/>
        </w:rPr>
        <w:t>Transfers effectively across operational contexts</w:t>
      </w:r>
      <w:r>
        <w:rPr>
          <w:rFonts w:ascii="Times New Roman" w:hAnsi="Times New Roman" w:cs="Times New Roman"/>
          <w:b/>
          <w:bCs/>
          <w:color w:val="000000" w:themeColor="text1"/>
        </w:rPr>
        <w:t>)</w:t>
      </w:r>
      <w:r w:rsidR="00E0734B" w:rsidRPr="00E0734B">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20D7810E" w:rsidR="00E0734B" w:rsidRPr="00E0734B" w:rsidRDefault="00E0734B" w:rsidP="00E0734B">
      <w:pPr>
        <w:rPr>
          <w:color w:val="000000" w:themeColor="text1"/>
        </w:rPr>
      </w:pPr>
      <w:r w:rsidRPr="00E0734B">
        <w:rPr>
          <w:color w:val="000000" w:themeColor="text1"/>
        </w:rPr>
        <w:t>This study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815222" w:rsidRDefault="00E0734B" w:rsidP="00E0734B">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815222">
        <w:rPr>
          <w:rFonts w:ascii="Times New Roman" w:hAnsi="Times New Roman" w:cs="Times New Roman"/>
          <w:b/>
          <w:bCs/>
          <w:color w:val="000000" w:themeColor="text1"/>
          <w:sz w:val="24"/>
          <w:szCs w:val="24"/>
        </w:rPr>
        <w:t>Significance of the Study</w:t>
      </w:r>
      <w:bookmarkEnd w:id="4"/>
      <w:bookmarkEnd w:id="5"/>
    </w:p>
    <w:p w14:paraId="39A70DB2" w14:textId="77777777" w:rsidR="00E0734B" w:rsidRPr="00E0734B" w:rsidRDefault="00E0734B" w:rsidP="00E0734B">
      <w:pPr>
        <w:rPr>
          <w:color w:val="000000" w:themeColor="text1"/>
        </w:rPr>
      </w:pPr>
      <w:r w:rsidRPr="00E0734B">
        <w:rPr>
          <w:color w:val="000000" w:themeColor="text1"/>
        </w:rPr>
        <w:tab/>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E0734B">
        <w:rPr>
          <w:rFonts w:ascii="Times New Roman" w:eastAsia="Times New Roman" w:hAnsi="Times New Roman" w:cs="Times New Roman"/>
          <w:b/>
          <w:bCs/>
          <w:color w:val="000000" w:themeColor="text1"/>
          <w:sz w:val="24"/>
          <w:szCs w:val="24"/>
        </w:rPr>
        <w:lastRenderedPageBreak/>
        <w:t>Statement of the Problem</w:t>
      </w:r>
      <w:bookmarkEnd w:id="6"/>
      <w:bookmarkEnd w:id="7"/>
    </w:p>
    <w:p w14:paraId="21393403" w14:textId="77777777" w:rsidR="00E0734B" w:rsidRPr="00E0734B" w:rsidRDefault="00E0734B" w:rsidP="00E0734B">
      <w:pPr>
        <w:rPr>
          <w:color w:val="000000" w:themeColor="text1"/>
        </w:rPr>
      </w:pPr>
      <w:r w:rsidRPr="00E0734B">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E0734B">
        <w:rPr>
          <w:color w:val="000000" w:themeColor="text1"/>
        </w:rPr>
        <w:t>Tükenmez</w:t>
      </w:r>
      <w:proofErr w:type="spellEnd"/>
      <w:r w:rsidRPr="00E0734B">
        <w:rPr>
          <w:color w:val="000000" w:themeColor="text1"/>
        </w:rPr>
        <w:t xml:space="preserve">, &amp; </w:t>
      </w:r>
      <w:proofErr w:type="spellStart"/>
      <w:r w:rsidRPr="00E0734B">
        <w:rPr>
          <w:color w:val="000000" w:themeColor="text1"/>
        </w:rPr>
        <w:t>Cecen</w:t>
      </w:r>
      <w:proofErr w:type="spellEnd"/>
      <w:r w:rsidRPr="00E0734B">
        <w:rPr>
          <w:color w:val="000000" w:themeColor="text1"/>
        </w:rPr>
        <w:t>,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2A8D2504"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8" w:name="_Toc242174127"/>
      <w:bookmarkStart w:id="9" w:name="_Toc242174779"/>
      <w:r w:rsidRPr="00E0734B">
        <w:rPr>
          <w:rFonts w:ascii="Times New Roman" w:eastAsia="Times New Roman" w:hAnsi="Times New Roman" w:cs="Times New Roman"/>
          <w:b/>
          <w:bCs/>
          <w:color w:val="000000" w:themeColor="text1"/>
          <w:sz w:val="24"/>
          <w:szCs w:val="24"/>
        </w:rPr>
        <w:t>Purpose Statement</w:t>
      </w:r>
      <w:bookmarkEnd w:id="8"/>
      <w:bookmarkEnd w:id="9"/>
    </w:p>
    <w:p w14:paraId="03D1E0B3" w14:textId="5ECFAB90" w:rsidR="00E0734B" w:rsidRPr="00E0734B" w:rsidRDefault="00E0734B" w:rsidP="00E0734B">
      <w:pPr>
        <w:rPr>
          <w:color w:val="000000" w:themeColor="text1"/>
        </w:rPr>
      </w:pPr>
      <w:r w:rsidRPr="00E0734B">
        <w:rPr>
          <w:color w:val="000000" w:themeColor="text1"/>
        </w:rPr>
        <w:t>The primary objective is to evaluate predictive modeling techniques, such as regression, machine learning, and queuing simulation, to optimize airport capacity via technological rather than physical</w:t>
      </w:r>
      <w:r w:rsidR="007F67E1">
        <w:rPr>
          <w:color w:val="000000" w:themeColor="text1"/>
        </w:rPr>
        <w:t xml:space="preserve">, </w:t>
      </w:r>
      <w:r w:rsidRPr="00E0734B">
        <w:rPr>
          <w:color w:val="000000" w:themeColor="text1"/>
        </w:rPr>
        <w:t>costly intervention</w:t>
      </w:r>
      <w:r w:rsidR="007F67E1">
        <w:rPr>
          <w:color w:val="000000" w:themeColor="text1"/>
        </w:rPr>
        <w:t>s</w:t>
      </w:r>
      <w:r w:rsidRPr="00E0734B">
        <w:rPr>
          <w:color w:val="000000" w:themeColor="text1"/>
        </w:rPr>
        <w:t xml:space="preserve">.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w:t>
      </w:r>
      <w:r w:rsidRPr="00E0734B">
        <w:rPr>
          <w:color w:val="000000" w:themeColor="text1"/>
        </w:rPr>
        <w:lastRenderedPageBreak/>
        <w:t>flexibility to adopt the most appropriate forecasting approach based on their specific operational priorities.</w:t>
      </w:r>
    </w:p>
    <w:p w14:paraId="25A5E92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0" w:name="_Toc242174128"/>
      <w:bookmarkStart w:id="11" w:name="_Toc242174780"/>
      <w:r w:rsidRPr="00E0734B">
        <w:rPr>
          <w:rFonts w:ascii="Times New Roman" w:eastAsia="Times New Roman" w:hAnsi="Times New Roman" w:cs="Times New Roman"/>
          <w:b/>
          <w:bCs/>
          <w:color w:val="000000" w:themeColor="text1"/>
          <w:sz w:val="24"/>
          <w:szCs w:val="24"/>
        </w:rPr>
        <w:t>Research Questions</w:t>
      </w:r>
      <w:bookmarkEnd w:id="10"/>
      <w:bookmarkEnd w:id="11"/>
    </w:p>
    <w:p w14:paraId="16B93E77" w14:textId="77777777" w:rsidR="0040131A" w:rsidRDefault="00E0734B" w:rsidP="0040131A">
      <w:pPr>
        <w:rPr>
          <w:color w:val="000000" w:themeColor="text1"/>
        </w:rPr>
      </w:pPr>
      <w:r w:rsidRPr="0040131A">
        <w:rPr>
          <w:color w:val="000000" w:themeColor="text1"/>
        </w:rPr>
        <w:t>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40131A">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40131A">
        <w:rPr>
          <w:color w:val="000000" w:themeColor="text1"/>
        </w:rPr>
        <w:t>) when prioritizing </w:t>
      </w:r>
      <w:r w:rsidRPr="0040131A">
        <w:rPr>
          <w:b/>
          <w:bCs/>
          <w:color w:val="000000" w:themeColor="text1"/>
        </w:rPr>
        <w:t>robustness</w:t>
      </w:r>
      <w:r w:rsidRPr="0040131A">
        <w:rPr>
          <w:color w:val="000000" w:themeColor="text1"/>
        </w:rPr>
        <w:t> (routine operational accuracy), </w:t>
      </w:r>
      <w:r w:rsidRPr="0040131A">
        <w:rPr>
          <w:b/>
          <w:bCs/>
          <w:color w:val="000000" w:themeColor="text1"/>
        </w:rPr>
        <w:t>resilience</w:t>
      </w:r>
      <w:r w:rsidRPr="0040131A">
        <w:rPr>
          <w:color w:val="000000" w:themeColor="text1"/>
        </w:rPr>
        <w:t> (stability under convective weather and delay disruptions), or </w:t>
      </w:r>
      <w:r w:rsidRPr="0040131A">
        <w:rPr>
          <w:b/>
          <w:bCs/>
          <w:color w:val="000000" w:themeColor="text1"/>
        </w:rPr>
        <w:t>generalizability</w:t>
      </w:r>
      <w:r w:rsidRPr="0040131A">
        <w:rPr>
          <w:color w:val="000000" w:themeColor="text1"/>
        </w:rPr>
        <w:t> (cross-airport portability across terminal layouts) as the primary operational evaluation metric?</w:t>
      </w:r>
    </w:p>
    <w:p w14:paraId="73233F54" w14:textId="52D37EED" w:rsidR="00E0734B" w:rsidRPr="0040131A" w:rsidRDefault="0040131A" w:rsidP="0040131A">
      <w:pPr>
        <w:rPr>
          <w:color w:val="000000" w:themeColor="text1"/>
        </w:rPr>
      </w:pPr>
      <w:r w:rsidRPr="0040131A">
        <w:rPr>
          <w:b/>
          <w:bCs/>
          <w:color w:val="000000" w:themeColor="text1"/>
        </w:rPr>
        <w:t xml:space="preserve">Master Asymmetric Trade-Off Hypothesis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Pr="0040131A">
        <w:rPr>
          <w:b/>
          <w:bCs/>
          <w:color w:val="000000" w:themeColor="text1"/>
        </w:rPr>
        <w:t> </w:t>
      </w:r>
      <w:r w:rsidRPr="0040131A">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w:t>
      </w:r>
    </w:p>
    <w:p w14:paraId="2D20D70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2" w:name="_Toc242174129"/>
      <w:bookmarkStart w:id="13" w:name="_Toc242174781"/>
      <w:r w:rsidRPr="00E0734B">
        <w:rPr>
          <w:rFonts w:ascii="Times New Roman" w:eastAsia="Times New Roman" w:hAnsi="Times New Roman" w:cs="Times New Roman"/>
          <w:b/>
          <w:bCs/>
          <w:color w:val="000000" w:themeColor="text1"/>
          <w:sz w:val="24"/>
          <w:szCs w:val="24"/>
        </w:rPr>
        <w:t>Delimitations</w:t>
      </w:r>
      <w:bookmarkEnd w:id="12"/>
      <w:bookmarkEnd w:id="13"/>
    </w:p>
    <w:p w14:paraId="5FE51C06" w14:textId="340CE222" w:rsidR="00E0734B" w:rsidRPr="00E0734B" w:rsidRDefault="00E0734B" w:rsidP="00E0734B">
      <w:pPr>
        <w:rPr>
          <w:color w:val="000000" w:themeColor="text1"/>
        </w:rPr>
      </w:pPr>
      <w:r w:rsidRPr="00E0734B">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E0734B">
        <w:rPr>
          <w:color w:val="000000" w:themeColor="text1"/>
        </w:rPr>
        <w:noBreakHyphen/>
        <w:t>based methods are assessed using standard statistical measures, including p</w:t>
      </w:r>
      <w:r w:rsidRPr="00E0734B">
        <w:rPr>
          <w:color w:val="000000" w:themeColor="text1"/>
        </w:rPr>
        <w:noBreakHyphen/>
        <w:t>value, R</w:t>
      </w:r>
      <w:r w:rsidRPr="00E0734B">
        <w:rPr>
          <w:color w:val="000000" w:themeColor="text1"/>
          <w:vertAlign w:val="superscript"/>
        </w:rPr>
        <w:t>2</w:t>
      </w:r>
      <w:r w:rsidRPr="00E0734B">
        <w:rPr>
          <w:color w:val="000000" w:themeColor="text1"/>
        </w:rPr>
        <w:t xml:space="preserve"> squared, mean squared error (MSE), root mean squared error (RMSE), and mean absolute percentage error (MAPE). </w:t>
      </w:r>
      <w:r w:rsidRPr="000B5264">
        <w:rPr>
          <w:color w:val="000000" w:themeColor="text1"/>
          <w:highlight w:val="yellow"/>
        </w:rPr>
        <w:t xml:space="preserve">These delimitations are detailed </w:t>
      </w:r>
      <w:r w:rsidR="000B5264" w:rsidRPr="000B5264">
        <w:rPr>
          <w:color w:val="000000" w:themeColor="text1"/>
          <w:highlight w:val="yellow"/>
        </w:rPr>
        <w:t>in the appendix.</w:t>
      </w:r>
    </w:p>
    <w:p w14:paraId="73710A23"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Geographic Scope</w:t>
      </w:r>
      <w:r w:rsidRPr="00E0734B">
        <w:rPr>
          <w:rFonts w:ascii="Times New Roman" w:hAnsi="Times New Roman" w:cs="Times New Roman"/>
          <w:color w:val="000000" w:themeColor="text1"/>
        </w:rPr>
        <w:t xml:space="preserve">: This study evaluates commercial air traffic and security screening operations within the contiguous United States, focusing on the Top 25 commercial </w:t>
      </w:r>
      <w:r w:rsidRPr="00E0734B">
        <w:rPr>
          <w:rFonts w:ascii="Times New Roman" w:hAnsi="Times New Roman" w:cs="Times New Roman"/>
          <w:color w:val="000000" w:themeColor="text1"/>
        </w:rPr>
        <w:lastRenderedPageBreak/>
        <w:t>airfields categorized under FAA hub classifications, capturing 67.2% of nationwide domestic flight departures.</w:t>
      </w:r>
    </w:p>
    <w:p w14:paraId="529ED980"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Temporal Scope</w:t>
      </w:r>
      <w:r w:rsidRPr="00E0734B">
        <w:rPr>
          <w:rFonts w:ascii="Times New Roman" w:hAnsi="Times New Roman" w:cs="Times New Roman"/>
          <w:color w:val="000000" w:themeColor="text1"/>
        </w:rPr>
        <w:t xml:space="preserve">: The longitudinal dataset spans January 1, </w:t>
      </w:r>
      <w:proofErr w:type="gramStart"/>
      <w:r w:rsidRPr="00E0734B">
        <w:rPr>
          <w:rFonts w:ascii="Times New Roman" w:hAnsi="Times New Roman" w:cs="Times New Roman"/>
          <w:color w:val="000000" w:themeColor="text1"/>
        </w:rPr>
        <w:t>2019</w:t>
      </w:r>
      <w:proofErr w:type="gramEnd"/>
      <w:r w:rsidRPr="00E0734B">
        <w:rPr>
          <w:rFonts w:ascii="Times New Roman" w:hAnsi="Times New Roman" w:cs="Times New Roman"/>
          <w:color w:val="000000" w:themeColor="text1"/>
        </w:rPr>
        <w:t xml:space="preserve"> through December 31, 2025 (</w:t>
      </w:r>
      <m:oMath>
        <m:r>
          <w:rPr>
            <w:rFonts w:ascii="Cambria Math" w:hAnsi="Cambria Math" w:cs="Times New Roman"/>
            <w:color w:val="000000" w:themeColor="text1"/>
          </w:rPr>
          <m:t>N=22,491</m:t>
        </m:r>
      </m:oMath>
      <w:r w:rsidRPr="00E0734B">
        <w:rPr>
          <w:rFonts w:ascii="Times New Roman" w:hAnsi="Times New Roman" w:cs="Times New Roman"/>
          <w:color w:val="000000" w:themeColor="text1"/>
        </w:rPr>
        <w:t> airport-days; 42.06 million conformed fact records). Model training and evaluation are focused on the verified post-pandemic operational regime starting May 1, 2022 (following the nationwide rescission of federal transportation mask mandates), reserving the full 12-month calendar year of 2025 (3,222 airport-days) as a strict out-of-time holdout evaluation window.</w:t>
      </w:r>
    </w:p>
    <w:p w14:paraId="330AD5D9"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Data Sources</w:t>
      </w:r>
      <w:r w:rsidRPr="00E0734B">
        <w:rPr>
          <w:rFonts w:ascii="Times New Roman" w:hAnsi="Times New Roman" w:cs="Times New Roman"/>
          <w:color w:val="000000" w:themeColor="text1"/>
        </w:rPr>
        <w:t>: Analysis is delimited to publicly accessible and FOIA-disclosed federal aviation datasets, including TSA Freedom of Information Act (FOIA) hourly screening logs per physical lane, Bureau of Transportation Statistics (BTS) On-Time Flight Performance records (Form 234; capturing flight-level departure delays and cancellations), BTS Schedule T-100 Segment traffic (reporting monthly aircraft seating capacity and load factors), and BTS DB1B/DB1C 10% ticket coupon surveys (identifying local originating vs. airside connecting passenger proportions).</w:t>
      </w:r>
    </w:p>
    <w:p w14:paraId="41BAB136"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Evaluation Standards</w:t>
      </w:r>
      <w:r w:rsidRPr="00E0734B">
        <w:rPr>
          <w:rFonts w:ascii="Times New Roman" w:hAnsi="Times New Roman" w:cs="Times New Roman"/>
          <w:color w:val="000000" w:themeColor="text1"/>
        </w:rPr>
        <w:t>: Model performance is measured using rigorous operational forecasting metrics: Root Mean Squared Error (RMSE; capturing overall forecast spread while penalizing peak-hour misses), Mean Absolute Scaled Error (MASE; scaling errors against a simple persistence baseline where values below 1.0 indicate superior skill), the Disruption Error Multiplier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MASE</m:t>
            </m:r>
          </m:sub>
        </m:sSub>
      </m:oMath>
      <w:r w:rsidRPr="00E0734B">
        <w:rPr>
          <w:rFonts w:ascii="Times New Roman" w:hAnsi="Times New Roman" w:cs="Times New Roman"/>
          <w:color w:val="000000" w:themeColor="text1"/>
        </w:rPr>
        <w:t>; measuring whether forecast errors grow or remain stable during severe storm disruptions), and the Relative Transfer Ratio (RTR; assessing the accuracy penalty when deploying a model to a new airport without retraining).</w:t>
      </w:r>
    </w:p>
    <w:p w14:paraId="322D341E"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4" w:name="_Toc242174130"/>
      <w:bookmarkStart w:id="15" w:name="_Toc242174782"/>
      <w:r w:rsidRPr="00E0734B">
        <w:rPr>
          <w:rFonts w:ascii="Times New Roman" w:eastAsia="Times New Roman" w:hAnsi="Times New Roman" w:cs="Times New Roman"/>
          <w:b/>
          <w:bCs/>
          <w:color w:val="000000" w:themeColor="text1"/>
          <w:sz w:val="24"/>
          <w:szCs w:val="24"/>
        </w:rPr>
        <w:lastRenderedPageBreak/>
        <w:t>Limitations and Assumptions</w:t>
      </w:r>
      <w:bookmarkEnd w:id="14"/>
      <w:bookmarkEnd w:id="15"/>
    </w:p>
    <w:p w14:paraId="0B353207" w14:textId="2512146D" w:rsidR="00E0734B" w:rsidRPr="00E0734B" w:rsidRDefault="00E0734B" w:rsidP="00E0734B">
      <w:pPr>
        <w:rPr>
          <w:color w:val="000000" w:themeColor="text1"/>
        </w:rPr>
      </w:pPr>
      <w:r w:rsidRPr="00E0734B">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0B5264">
        <w:rPr>
          <w:color w:val="000000" w:themeColor="text1"/>
          <w:highlight w:val="yellow"/>
        </w:rPr>
        <w:t xml:space="preserve">These limitations are detailed </w:t>
      </w:r>
      <w:r w:rsidR="000B5264" w:rsidRPr="000B5264">
        <w:rPr>
          <w:color w:val="000000" w:themeColor="text1"/>
          <w:highlight w:val="yellow"/>
        </w:rPr>
        <w:t>in the appendix.</w:t>
      </w:r>
    </w:p>
    <w:p w14:paraId="12CCE2D4"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Staffing and Lane Configuration Opacity</w:t>
      </w:r>
      <w:r w:rsidRPr="00E0734B">
        <w:rPr>
          <w:rFonts w:ascii="Times New Roman" w:hAnsi="Times New Roman" w:cs="Times New Roman"/>
          <w:color w:val="000000" w:themeColor="text1"/>
        </w:rPr>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59269FE7"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Connecting Passenger Surveys</w:t>
      </w:r>
      <w:r w:rsidRPr="00E0734B">
        <w:rPr>
          <w:rFonts w:ascii="Times New Roman" w:hAnsi="Times New Roman" w:cs="Times New Roman"/>
          <w:color w:val="000000" w:themeColor="text1"/>
        </w:rPr>
        <w:t>: The proportion of transferring passengers who remain airside is estimated using quarterly BTS DB1B coupon surveys. The framework assumes that connecting ratios remain stable across monthly operating horizons within given carrier-terminal complexes.</w:t>
      </w:r>
    </w:p>
    <w:p w14:paraId="39D1464C"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Operational Exogeneity</w:t>
      </w:r>
      <w:r w:rsidRPr="00E0734B">
        <w:rPr>
          <w:rFonts w:ascii="Times New Roman" w:hAnsi="Times New Roman" w:cs="Times New Roman"/>
          <w:color w:val="000000" w:themeColor="text1"/>
        </w:rPr>
        <w:t>: Exogenous severe weather disruptions (convective storm lines, winter blizzards) are captured through departure delay distributions and flight cancellation indicators reported in BTS Form 234.</w:t>
      </w:r>
    </w:p>
    <w:p w14:paraId="231EE3D0" w14:textId="77777777" w:rsidR="00295729" w:rsidRPr="00E0734B" w:rsidRDefault="00295729" w:rsidP="00E0734B">
      <w:pPr>
        <w:rPr>
          <w:color w:val="000000" w:themeColor="text1"/>
        </w:rPr>
      </w:pPr>
    </w:p>
    <w:sectPr w:rsidR="00295729" w:rsidRPr="00E07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0"/>
  </w:num>
  <w:num w:numId="2" w16cid:durableId="29886223">
    <w:abstractNumId w:val="3"/>
  </w:num>
  <w:num w:numId="3" w16cid:durableId="546767236">
    <w:abstractNumId w:val="2"/>
  </w:num>
  <w:num w:numId="4" w16cid:durableId="18354876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66D70"/>
    <w:rsid w:val="00066E96"/>
    <w:rsid w:val="000B5264"/>
    <w:rsid w:val="0017365B"/>
    <w:rsid w:val="001C0042"/>
    <w:rsid w:val="00254E82"/>
    <w:rsid w:val="00295729"/>
    <w:rsid w:val="0032387B"/>
    <w:rsid w:val="00366380"/>
    <w:rsid w:val="0040131A"/>
    <w:rsid w:val="006E1A18"/>
    <w:rsid w:val="0074327F"/>
    <w:rsid w:val="007C2B63"/>
    <w:rsid w:val="007F67E1"/>
    <w:rsid w:val="00815222"/>
    <w:rsid w:val="009A52F7"/>
    <w:rsid w:val="009C20BE"/>
    <w:rsid w:val="00A20EC8"/>
    <w:rsid w:val="00C202E8"/>
    <w:rsid w:val="00D02787"/>
    <w:rsid w:val="00D857FE"/>
    <w:rsid w:val="00D95C0E"/>
    <w:rsid w:val="00E0734B"/>
    <w:rsid w:val="00E769F8"/>
    <w:rsid w:val="00ED039D"/>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2026-10-10T00:09:00Z</dcterms:created>
  <dcterms:modified xsi:type="dcterms:W3CDTF">2026-10-10T17:03:00Z</dcterms:modified>
</cp:coreProperties>
</file>