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3A3774" w14:textId="77777777" w:rsidR="00E0734B" w:rsidRPr="00173BA3" w:rsidRDefault="00E0734B" w:rsidP="00173BA3">
      <w:pPr>
        <w:ind w:firstLine="0"/>
        <w:contextualSpacing w:val="0"/>
        <w:jc w:val="center"/>
        <w:rPr>
          <w:b/>
          <w:bCs/>
          <w:iCs/>
          <w:color w:val="000000" w:themeColor="text1"/>
        </w:rPr>
      </w:pPr>
      <w:bookmarkStart w:id="0" w:name="_Toc242174123"/>
      <w:bookmarkStart w:id="1" w:name="_Toc242174775"/>
      <w:r w:rsidRPr="00173BA3">
        <w:rPr>
          <w:b/>
          <w:bCs/>
          <w:color w:val="000000" w:themeColor="text1"/>
        </w:rPr>
        <w:t>Chapter I</w:t>
      </w:r>
      <w:bookmarkEnd w:id="0"/>
      <w:bookmarkEnd w:id="1"/>
    </w:p>
    <w:p w14:paraId="1D6E4FB5" w14:textId="77777777" w:rsidR="00E0734B" w:rsidRPr="00173BA3" w:rsidRDefault="00E0734B" w:rsidP="00173BA3">
      <w:pPr>
        <w:pStyle w:val="Heading1"/>
      </w:pPr>
      <w:bookmarkStart w:id="2" w:name="_Toc242174124"/>
      <w:bookmarkStart w:id="3" w:name="_Toc242174776"/>
      <w:r w:rsidRPr="00173BA3">
        <w:t>Introduction</w:t>
      </w:r>
      <w:bookmarkEnd w:id="2"/>
      <w:bookmarkEnd w:id="3"/>
    </w:p>
    <w:p w14:paraId="48647F43" w14:textId="77777777" w:rsidR="00AE4DED" w:rsidRDefault="00E0734B" w:rsidP="003353D3">
      <w:pPr>
        <w:rPr>
          <w:color w:val="000000" w:themeColor="text1"/>
        </w:rPr>
      </w:pPr>
      <w:r w:rsidRPr="00173BA3">
        <w:rPr>
          <w:color w:val="000000" w:themeColor="text1"/>
        </w:rPr>
        <w:t xml:space="preserve">As air travel demand outpaces airport infrastructure growth, inefficient resource allocation has become a critical operational bottleneck (Adacher, Flamini, Guaita &amp; Romano, 2017). </w:t>
      </w:r>
      <w:r w:rsidR="00C202E8" w:rsidRPr="00173BA3">
        <w:rPr>
          <w:color w:val="000000" w:themeColor="text1"/>
        </w:rPr>
        <w:t>Barriers such as p</w:t>
      </w:r>
      <w:r w:rsidR="001C0042" w:rsidRPr="00173BA3">
        <w:rPr>
          <w:color w:val="000000" w:themeColor="text1"/>
        </w:rPr>
        <w:t>rohibitive capital costs</w:t>
      </w:r>
      <w:r w:rsidR="00C202E8" w:rsidRPr="00173BA3">
        <w:rPr>
          <w:color w:val="000000" w:themeColor="text1"/>
        </w:rPr>
        <w:t xml:space="preserve"> and</w:t>
      </w:r>
      <w:r w:rsidR="001C0042" w:rsidRPr="00173BA3">
        <w:rPr>
          <w:color w:val="000000" w:themeColor="text1"/>
        </w:rPr>
        <w:t xml:space="preserve"> municipal land constraints</w:t>
      </w:r>
      <w:r w:rsidR="00C202E8" w:rsidRPr="00173BA3">
        <w:rPr>
          <w:color w:val="000000" w:themeColor="text1"/>
        </w:rPr>
        <w:t xml:space="preserve"> </w:t>
      </w:r>
      <w:r w:rsidR="001C0042" w:rsidRPr="00173BA3">
        <w:rPr>
          <w:color w:val="000000" w:themeColor="text1"/>
        </w:rPr>
        <w:t>severely restrict physical terminal expansion (AlKheder et al., 2024; Balliauw &amp; Onghena, 2020; De Neufville &amp; Odoni, 2014; Ozores, 2026). Consequently, airport operators and federal security authorities must extract maximum operational throughput from fixed physical assets through software-driven predictive intelligence.</w:t>
      </w:r>
      <w:r w:rsidR="003353D3">
        <w:rPr>
          <w:color w:val="000000" w:themeColor="text1"/>
        </w:rPr>
        <w:t xml:space="preserve"> </w:t>
      </w:r>
    </w:p>
    <w:p w14:paraId="2BF4A22E" w14:textId="4F49418C" w:rsidR="00E0734B" w:rsidRPr="00173BA3" w:rsidRDefault="00A20EC8" w:rsidP="003353D3">
      <w:pPr>
        <w:rPr>
          <w:color w:val="000000" w:themeColor="text1"/>
        </w:rPr>
      </w:pPr>
      <w:r w:rsidRPr="00173BA3">
        <w:rPr>
          <w:color w:val="000000" w:themeColor="text1"/>
        </w:rPr>
        <w:t xml:space="preserve">While predictive models are widely deployed to anticipate terminal demand, the systemic disruptions of the COVID-19 pandemic and subsequent recovery exposed critical vulnerabilities in traditional, accuracy-centric evaluation standards (Sun, Wandelt, &amp; Zhang, 2022). </w:t>
      </w:r>
      <w:r w:rsidR="00E0734B" w:rsidRPr="00173BA3">
        <w:rPr>
          <w:color w:val="000000" w:themeColor="text1"/>
        </w:rPr>
        <w:t>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model that:</w:t>
      </w:r>
    </w:p>
    <w:p w14:paraId="62FE86DD" w14:textId="6A4E1439"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Robustness (</w:t>
      </w:r>
      <w:r w:rsidR="00E0734B" w:rsidRPr="00173BA3">
        <w:rPr>
          <w:rFonts w:ascii="Times New Roman" w:hAnsi="Times New Roman" w:cs="Times New Roman"/>
          <w:b/>
          <w:bCs/>
          <w:color w:val="000000" w:themeColor="text1"/>
        </w:rPr>
        <w:t>Remains reliable during routine operations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Providing consistent, low-error baseline volatility forecasts during undisturbed flight banks.</w:t>
      </w:r>
    </w:p>
    <w:p w14:paraId="5988C96A" w14:textId="795B61A0"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lastRenderedPageBreak/>
        <w:t>Resilience (</w:t>
      </w:r>
      <w:r w:rsidR="00E0734B" w:rsidRPr="00173BA3">
        <w:rPr>
          <w:rFonts w:ascii="Times New Roman" w:hAnsi="Times New Roman" w:cs="Times New Roman"/>
          <w:b/>
          <w:bCs/>
          <w:color w:val="000000" w:themeColor="text1"/>
        </w:rPr>
        <w:t>Maintains stability and recovers rapidly during disruptions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Absorbing severe exogenous shocks (such as winter freeze events or summer convective ground delay programs) without generating false demand collapses or runaway queue backlogs.</w:t>
      </w:r>
    </w:p>
    <w:p w14:paraId="6FA3CE62" w14:textId="2A0131C6" w:rsidR="00E0734B" w:rsidRPr="00173BA3" w:rsidRDefault="0017365B" w:rsidP="00173BA3">
      <w:pPr>
        <w:pStyle w:val="ListParagraph"/>
        <w:numPr>
          <w:ilvl w:val="0"/>
          <w:numId w:val="1"/>
        </w:numPr>
        <w:spacing w:after="0" w:line="480" w:lineRule="auto"/>
        <w:rPr>
          <w:rFonts w:ascii="Times New Roman" w:hAnsi="Times New Roman" w:cs="Times New Roman"/>
          <w:color w:val="000000" w:themeColor="text1"/>
        </w:rPr>
      </w:pPr>
      <w:r w:rsidRPr="00173BA3">
        <w:rPr>
          <w:rFonts w:ascii="Times New Roman" w:hAnsi="Times New Roman" w:cs="Times New Roman"/>
          <w:b/>
          <w:bCs/>
          <w:color w:val="000000" w:themeColor="text1"/>
        </w:rPr>
        <w:t>Generalizability (</w:t>
      </w:r>
      <w:r w:rsidR="00E0734B" w:rsidRPr="00173BA3">
        <w:rPr>
          <w:rFonts w:ascii="Times New Roman" w:hAnsi="Times New Roman" w:cs="Times New Roman"/>
          <w:b/>
          <w:bCs/>
          <w:color w:val="000000" w:themeColor="text1"/>
        </w:rPr>
        <w:t>Transfers effectively across operational contexts</w:t>
      </w:r>
      <w:r w:rsidRPr="00173BA3">
        <w:rPr>
          <w:rFonts w:ascii="Times New Roman" w:hAnsi="Times New Roman" w:cs="Times New Roman"/>
          <w:b/>
          <w:bCs/>
          <w:color w:val="000000" w:themeColor="text1"/>
        </w:rPr>
        <w:t>)</w:t>
      </w:r>
      <w:r w:rsidR="00E0734B" w:rsidRPr="00173BA3">
        <w:rPr>
          <w:rFonts w:ascii="Times New Roman" w:hAnsi="Times New Roman" w:cs="Times New Roman"/>
          <w:color w:val="000000" w:themeColor="text1"/>
        </w:rPr>
        <w:t>: Porting its structural logic across divergent airport terminal layouts and airline hub network topologies without requiring extensive, site-specific historical retraining.</w:t>
      </w:r>
    </w:p>
    <w:p w14:paraId="7A316E7F" w14:textId="20D7810E" w:rsidR="00E0734B" w:rsidRPr="00173BA3" w:rsidRDefault="00E0734B" w:rsidP="00173BA3">
      <w:pPr>
        <w:rPr>
          <w:color w:val="000000" w:themeColor="text1"/>
        </w:rPr>
      </w:pPr>
      <w:r w:rsidRPr="00173BA3">
        <w:rPr>
          <w:color w:val="000000" w:themeColor="text1"/>
        </w:rPr>
        <w:t>This study examines the suitability of predictive modeling frameworks – spanning deterministic operational baselines (such as persistence and scheduled flight bank dispersion), data-driven decision-tree architectures (automated rule-based machine learning models), and sequential two-stage hybrid models (combining schedule baselines with real-time error correction) – for forecasting Transportation Security Administration (TSA) checkpoint throughput volatility across routine, volatile, and disrupted demand regimes.</w:t>
      </w:r>
    </w:p>
    <w:p w14:paraId="556909BA" w14:textId="77777777" w:rsidR="00E0734B" w:rsidRPr="00173BA3" w:rsidRDefault="00E0734B" w:rsidP="00173BA3">
      <w:pPr>
        <w:pStyle w:val="Heading2"/>
        <w:spacing w:before="0" w:after="0" w:line="480" w:lineRule="auto"/>
        <w:rPr>
          <w:rFonts w:ascii="Times New Roman" w:hAnsi="Times New Roman" w:cs="Times New Roman"/>
          <w:b/>
          <w:bCs/>
          <w:color w:val="000000" w:themeColor="text1"/>
          <w:sz w:val="24"/>
          <w:szCs w:val="24"/>
        </w:rPr>
      </w:pPr>
      <w:bookmarkStart w:id="4" w:name="_Toc242174125"/>
      <w:bookmarkStart w:id="5" w:name="_Toc242174777"/>
      <w:r w:rsidRPr="00173BA3">
        <w:rPr>
          <w:rFonts w:ascii="Times New Roman" w:hAnsi="Times New Roman" w:cs="Times New Roman"/>
          <w:b/>
          <w:bCs/>
          <w:color w:val="000000" w:themeColor="text1"/>
          <w:sz w:val="24"/>
          <w:szCs w:val="24"/>
        </w:rPr>
        <w:t>Significance of the Study</w:t>
      </w:r>
      <w:bookmarkEnd w:id="4"/>
      <w:bookmarkEnd w:id="5"/>
    </w:p>
    <w:p w14:paraId="39A70DB2" w14:textId="59669B67" w:rsidR="00E0734B" w:rsidRPr="00173BA3" w:rsidRDefault="00E0734B" w:rsidP="00173BA3">
      <w:pPr>
        <w:rPr>
          <w:color w:val="000000" w:themeColor="text1"/>
        </w:rPr>
      </w:pPr>
      <w:r w:rsidRPr="00173BA3">
        <w:rPr>
          <w:color w:val="000000" w:themeColor="text1"/>
        </w:rPr>
        <w:t>This research aims to contribute to both theory and practice by shifting the paradigm of how predictive models are evaluated in unpredictable airport operations. While traditional approaches emphasize static accuracy, this study advances the field by establishing a multidimensional, dynamic evaluation framework that assesses models based on their robustness, resilience, and generalizability.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58C5396F"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6" w:name="_Toc242174126"/>
      <w:bookmarkStart w:id="7" w:name="_Toc242174778"/>
      <w:r w:rsidRPr="00173BA3">
        <w:rPr>
          <w:rFonts w:ascii="Times New Roman" w:eastAsia="Times New Roman" w:hAnsi="Times New Roman" w:cs="Times New Roman"/>
          <w:b/>
          <w:bCs/>
          <w:color w:val="000000" w:themeColor="text1"/>
          <w:sz w:val="24"/>
          <w:szCs w:val="24"/>
        </w:rPr>
        <w:lastRenderedPageBreak/>
        <w:t>Statement of the Problem</w:t>
      </w:r>
      <w:bookmarkEnd w:id="6"/>
      <w:bookmarkEnd w:id="7"/>
    </w:p>
    <w:p w14:paraId="21393403" w14:textId="77777777" w:rsidR="00E0734B" w:rsidRPr="00173BA3" w:rsidRDefault="00E0734B" w:rsidP="00173BA3">
      <w:pPr>
        <w:rPr>
          <w:color w:val="000000" w:themeColor="text1"/>
        </w:rPr>
      </w:pPr>
      <w:commentRangeStart w:id="8"/>
      <w:r w:rsidRPr="00173BA3">
        <w:rPr>
          <w:color w:val="000000" w:themeColor="text1"/>
        </w:rPr>
        <w:t>Airport passenger arrivals and behaviors are inherently stochastic, varying significantly by time of day, flight schedules, and external factors (Cheng, Zhang, &amp; Guo, 2012; Dönmez, Tükenmez, &amp; Cecen, 2025). Existing models for managing airport passenger flow tend to rely on static or pre‑pandemic assumptions, consequentially failing to account for unpredictable post‑pandemic travel patterns (Ebert, Dutta, Mengersen, Mira, Ruggeri, &amp; Wu, 2021; Hopfe, Lee &amp; Yu, 2024). This mismatch between capacity planning and fluctuating passenger demand contributes to bottlenecks at check‑in counters, TSA checkpoints, and boarding gates, ultimately leading to congestion and inefficient resource allocation. 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commentRangeEnd w:id="8"/>
      <w:r w:rsidR="006126A5" w:rsidRPr="00173BA3">
        <w:rPr>
          <w:rStyle w:val="CommentReference"/>
          <w:color w:val="000000" w:themeColor="text1"/>
          <w:sz w:val="24"/>
          <w:szCs w:val="24"/>
        </w:rPr>
        <w:commentReference w:id="8"/>
      </w:r>
    </w:p>
    <w:p w14:paraId="2A8D2504"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9" w:name="_Toc242174127"/>
      <w:bookmarkStart w:id="10" w:name="_Toc242174779"/>
      <w:r w:rsidRPr="00173BA3">
        <w:rPr>
          <w:rFonts w:ascii="Times New Roman" w:eastAsia="Times New Roman" w:hAnsi="Times New Roman" w:cs="Times New Roman"/>
          <w:b/>
          <w:bCs/>
          <w:color w:val="000000" w:themeColor="text1"/>
          <w:sz w:val="24"/>
          <w:szCs w:val="24"/>
        </w:rPr>
        <w:t>Purpose Statement</w:t>
      </w:r>
      <w:bookmarkEnd w:id="9"/>
      <w:bookmarkEnd w:id="10"/>
    </w:p>
    <w:p w14:paraId="03D1E0B3" w14:textId="29B7246C" w:rsidR="00E0734B" w:rsidRPr="00173BA3" w:rsidRDefault="00E0734B" w:rsidP="00173BA3">
      <w:pPr>
        <w:rPr>
          <w:color w:val="000000" w:themeColor="text1"/>
        </w:rPr>
      </w:pPr>
      <w:r w:rsidRPr="00173BA3">
        <w:rPr>
          <w:color w:val="000000" w:themeColor="text1"/>
        </w:rPr>
        <w:t>The primary objective is to evaluate predictive modeling techniques, such as regression, machine learning, and queuing simulation, to optimize airport capacity via technological rather than physical</w:t>
      </w:r>
      <w:r w:rsidR="00864FC2">
        <w:rPr>
          <w:color w:val="000000" w:themeColor="text1"/>
        </w:rPr>
        <w:t>, more costly</w:t>
      </w:r>
      <w:r w:rsidRPr="00173BA3">
        <w:rPr>
          <w:color w:val="000000" w:themeColor="text1"/>
        </w:rPr>
        <w:t xml:space="preserve"> intervention</w:t>
      </w:r>
      <w:r w:rsidR="00864FC2">
        <w:rPr>
          <w:color w:val="000000" w:themeColor="text1"/>
        </w:rPr>
        <w:t>s</w:t>
      </w:r>
      <w:r w:rsidRPr="00173BA3">
        <w:rPr>
          <w:color w:val="000000" w:themeColor="text1"/>
        </w:rPr>
        <w:t xml:space="preserve">. By analyzing the relationship between flight 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w:t>
      </w:r>
      <w:r w:rsidRPr="00173BA3">
        <w:rPr>
          <w:color w:val="000000" w:themeColor="text1"/>
        </w:rPr>
        <w:lastRenderedPageBreak/>
        <w:t>flexibility to adopt the most appropriate forecasting approach based on their specific operational priorities.</w:t>
      </w:r>
    </w:p>
    <w:p w14:paraId="25A5E921"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1" w:name="_Toc242174128"/>
      <w:bookmarkStart w:id="12" w:name="_Toc242174780"/>
      <w:r w:rsidRPr="00173BA3">
        <w:rPr>
          <w:rFonts w:ascii="Times New Roman" w:eastAsia="Times New Roman" w:hAnsi="Times New Roman" w:cs="Times New Roman"/>
          <w:b/>
          <w:bCs/>
          <w:color w:val="000000" w:themeColor="text1"/>
          <w:sz w:val="24"/>
          <w:szCs w:val="24"/>
        </w:rPr>
        <w:t>Research Questions</w:t>
      </w:r>
      <w:bookmarkEnd w:id="11"/>
      <w:bookmarkEnd w:id="12"/>
    </w:p>
    <w:p w14:paraId="16B93E77" w14:textId="77777777" w:rsidR="0040131A" w:rsidRPr="00173BA3" w:rsidRDefault="00E0734B" w:rsidP="00173BA3">
      <w:pPr>
        <w:rPr>
          <w:color w:val="000000" w:themeColor="text1"/>
        </w:rPr>
      </w:pPr>
      <w:r w:rsidRPr="00173BA3">
        <w:rPr>
          <w:color w:val="000000" w:themeColor="text1"/>
        </w:rPr>
        <w:t>Which predictive modeling frameworks – spanning deterministic persistence controls, deterministic schedule dispersion baselines, supervised machine learning tree ensembles, and sequential two-stage hybrids – are most effective for forecasting airport passenger security screening throughput volatility (</w:t>
      </w:r>
      <m:oMath>
        <m:sSub>
          <m:sSubPr>
            <m:ctrlPr>
              <w:rPr>
                <w:rFonts w:ascii="Cambria Math" w:hAnsi="Cambria Math"/>
                <w:color w:val="000000" w:themeColor="text1"/>
              </w:rPr>
            </m:ctrlPr>
          </m:sSubPr>
          <m:e>
            <m:r>
              <w:rPr>
                <w:rFonts w:ascii="Cambria Math" w:hAnsi="Cambria Math"/>
                <w:color w:val="000000" w:themeColor="text1"/>
              </w:rPr>
              <m:t>σ</m:t>
            </m:r>
          </m:e>
          <m:sub>
            <m:r>
              <m:rPr>
                <m:nor/>
              </m:rPr>
              <w:rPr>
                <w:color w:val="000000" w:themeColor="text1"/>
              </w:rPr>
              <m:t>TSA</m:t>
            </m:r>
          </m:sub>
        </m:sSub>
      </m:oMath>
      <w:r w:rsidRPr="00173BA3">
        <w:rPr>
          <w:color w:val="000000" w:themeColor="text1"/>
        </w:rPr>
        <w:t> and </w:t>
      </w:r>
      <m:oMath>
        <m:r>
          <w:rPr>
            <w:rFonts w:ascii="Cambria Math" w:hAnsi="Cambria Math"/>
            <w:color w:val="000000" w:themeColor="text1"/>
          </w:rPr>
          <m:t>C</m:t>
        </m:r>
        <m:sSub>
          <m:sSubPr>
            <m:ctrlPr>
              <w:rPr>
                <w:rFonts w:ascii="Cambria Math" w:hAnsi="Cambria Math"/>
                <w:color w:val="000000" w:themeColor="text1"/>
              </w:rPr>
            </m:ctrlPr>
          </m:sSubPr>
          <m:e>
            <m:r>
              <w:rPr>
                <w:rFonts w:ascii="Cambria Math" w:hAnsi="Cambria Math"/>
                <w:color w:val="000000" w:themeColor="text1"/>
              </w:rPr>
              <m:t>V</m:t>
            </m:r>
          </m:e>
          <m:sub>
            <m:r>
              <m:rPr>
                <m:nor/>
              </m:rPr>
              <w:rPr>
                <w:color w:val="000000" w:themeColor="text1"/>
              </w:rPr>
              <m:t>TSA</m:t>
            </m:r>
          </m:sub>
        </m:sSub>
      </m:oMath>
      <w:r w:rsidRPr="00173BA3">
        <w:rPr>
          <w:color w:val="000000" w:themeColor="text1"/>
        </w:rPr>
        <w:t>) when prioritizing </w:t>
      </w:r>
      <w:r w:rsidRPr="00173BA3">
        <w:rPr>
          <w:b/>
          <w:bCs/>
          <w:color w:val="000000" w:themeColor="text1"/>
        </w:rPr>
        <w:t>robustness</w:t>
      </w:r>
      <w:r w:rsidRPr="00173BA3">
        <w:rPr>
          <w:color w:val="000000" w:themeColor="text1"/>
        </w:rPr>
        <w:t> (routine operational accuracy), </w:t>
      </w:r>
      <w:r w:rsidRPr="00173BA3">
        <w:rPr>
          <w:b/>
          <w:bCs/>
          <w:color w:val="000000" w:themeColor="text1"/>
        </w:rPr>
        <w:t>resilience</w:t>
      </w:r>
      <w:r w:rsidRPr="00173BA3">
        <w:rPr>
          <w:color w:val="000000" w:themeColor="text1"/>
        </w:rPr>
        <w:t> (stability under convective weather and delay disruptions), or </w:t>
      </w:r>
      <w:r w:rsidRPr="00173BA3">
        <w:rPr>
          <w:b/>
          <w:bCs/>
          <w:color w:val="000000" w:themeColor="text1"/>
        </w:rPr>
        <w:t>generalizability</w:t>
      </w:r>
      <w:r w:rsidRPr="00173BA3">
        <w:rPr>
          <w:color w:val="000000" w:themeColor="text1"/>
        </w:rPr>
        <w:t> (cross-airport portability across terminal layouts) as the primary operational evaluation metric?</w:t>
      </w:r>
    </w:p>
    <w:p w14:paraId="131DD573" w14:textId="00B79348" w:rsidR="00173BA3" w:rsidRPr="00173BA3" w:rsidRDefault="005259FA" w:rsidP="00173BA3">
      <w:pPr>
        <w:rPr>
          <w:color w:val="000000" w:themeColor="text1"/>
        </w:rPr>
      </w:pPr>
      <w:r w:rsidRPr="00173BA3">
        <w:rPr>
          <w:b/>
          <w:bCs/>
          <w:color w:val="000000" w:themeColor="text1"/>
        </w:rPr>
        <w:t xml:space="preserve">The Asymmetric </w:t>
      </w:r>
      <w:r w:rsidR="0040131A" w:rsidRPr="00173BA3">
        <w:rPr>
          <w:b/>
          <w:bCs/>
          <w:color w:val="000000" w:themeColor="text1"/>
        </w:rPr>
        <w:t xml:space="preserve">Trade-Off </w:t>
      </w:r>
      <m:oMath>
        <m:sSub>
          <m:sSubPr>
            <m:ctrlPr>
              <w:rPr>
                <w:rFonts w:ascii="Cambria Math" w:hAnsi="Cambria Math"/>
                <w:color w:val="000000" w:themeColor="text1"/>
              </w:rPr>
            </m:ctrlPr>
          </m:sSubPr>
          <m:e>
            <m:r>
              <w:rPr>
                <w:rFonts w:ascii="Cambria Math" w:hAnsi="Cambria Math"/>
                <w:color w:val="000000" w:themeColor="text1"/>
              </w:rPr>
              <m:t>H</m:t>
            </m:r>
          </m:e>
          <m:sub>
            <m:r>
              <w:rPr>
                <w:rFonts w:ascii="Cambria Math" w:hAnsi="Cambria Math"/>
                <w:color w:val="000000" w:themeColor="text1"/>
              </w:rPr>
              <m:t>1</m:t>
            </m:r>
          </m:sub>
        </m:sSub>
      </m:oMath>
      <w:r w:rsidR="0040131A" w:rsidRPr="00173BA3">
        <w:rPr>
          <w:b/>
          <w:bCs/>
          <w:color w:val="000000" w:themeColor="text1"/>
        </w:rPr>
        <w:t> </w:t>
      </w:r>
      <w:r w:rsidR="0040131A" w:rsidRPr="00173BA3">
        <w:rPr>
          <w:color w:val="000000" w:themeColor="text1"/>
        </w:rPr>
        <w:t>: Across the candidate modeling paradigms evaluated following four-tiered purposive filtering (deterministic flight schedules, supervised machine learning, and dynamic two-stage hybrid), no individual approach will prove superior across all three performance measures (robustness, resilience, and generalizability).</w:t>
      </w:r>
    </w:p>
    <w:p w14:paraId="35AD107C" w14:textId="77777777" w:rsidR="00173BA3" w:rsidRPr="00173BA3" w:rsidRDefault="00F36685"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1a</m:t>
            </m:r>
          </m:sub>
        </m:sSub>
      </m:oMath>
      <w:r w:rsidR="00173BA3" w:rsidRPr="00173BA3">
        <w:rPr>
          <w:rStyle w:val="Strong"/>
          <w:color w:val="000000"/>
        </w:rPr>
        <w:t> (Robustness Target: Lowest </w:t>
      </w:r>
      <m:oMath>
        <m:r>
          <w:rPr>
            <w:rFonts w:ascii="Cambria Math" w:hAnsi="Cambria Math"/>
          </w:rPr>
          <m:t>RMS</m:t>
        </m:r>
        <m:sSub>
          <m:sSubPr>
            <m:ctrlPr>
              <w:rPr>
                <w:rFonts w:ascii="Cambria Math" w:hAnsi="Cambria Math"/>
              </w:rPr>
            </m:ctrlPr>
          </m:sSubPr>
          <m:e>
            <m:r>
              <w:rPr>
                <w:rFonts w:ascii="Cambria Math" w:hAnsi="Cambria Math"/>
              </w:rPr>
              <m:t>E</m:t>
            </m:r>
          </m:e>
          <m:sub>
            <m:r>
              <m:rPr>
                <m:nor/>
              </m:rPr>
              <m:t>routine</m:t>
            </m:r>
          </m:sub>
        </m:sSub>
      </m:oMath>
      <w:r w:rsidR="00173BA3" w:rsidRPr="00173BA3">
        <w:rPr>
          <w:rStyle w:val="Strong"/>
          <w:color w:val="000000"/>
        </w:rPr>
        <w:t> and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00173BA3" w:rsidRPr="00173BA3">
        <w:rPr>
          <w:rStyle w:val="Strong"/>
          <w:color w:val="000000"/>
        </w:rPr>
        <w:t>)</w:t>
      </w:r>
      <w:r w:rsidR="00173BA3" w:rsidRPr="00173BA3">
        <w:rPr>
          <w:color w:val="000000"/>
        </w:rPr>
        <w:t>: Supervised machine learning (Model 2) and two-stage dynamic hybrids (Model 3) will successfully achieve the robustness target (</w:t>
      </w:r>
      <m:oMath>
        <m:r>
          <w:rPr>
            <w:rFonts w:ascii="Cambria Math" w:hAnsi="Cambria Math"/>
          </w:rPr>
          <m:t>MAS</m:t>
        </m:r>
        <m:sSub>
          <m:sSubPr>
            <m:ctrlPr>
              <w:rPr>
                <w:rFonts w:ascii="Cambria Math" w:hAnsi="Cambria Math"/>
              </w:rPr>
            </m:ctrlPr>
          </m:sSubPr>
          <m:e>
            <m:r>
              <w:rPr>
                <w:rFonts w:ascii="Cambria Math" w:hAnsi="Cambria Math"/>
              </w:rPr>
              <m:t>E</m:t>
            </m:r>
          </m:e>
          <m:sub>
            <m:r>
              <m:rPr>
                <m:nor/>
              </m:rPr>
              <m:t>routine</m:t>
            </m:r>
          </m:sub>
        </m:sSub>
        <m:r>
          <w:rPr>
            <w:rFonts w:ascii="Cambria Math" w:hAnsi="Cambria Math"/>
          </w:rPr>
          <m:t>&lt;0.700</m:t>
        </m:r>
      </m:oMath>
      <w:r w:rsidR="00173BA3" w:rsidRPr="00173BA3">
        <w:rPr>
          <w:color w:val="000000"/>
        </w:rPr>
        <w:t>) under nominal operating conditions by capturing non-linear flight schedule dispersion and lead-lag passenger arrivals, whereas naive persistence (Baseline Control) and deterministic flight schedules (Model 1) will fail this threshold (</w:t>
      </w:r>
      <m:oMath>
        <m:r>
          <w:rPr>
            <w:rFonts w:ascii="Cambria Math" w:hAnsi="Cambria Math"/>
          </w:rPr>
          <m:t>MASE≥0.94</m:t>
        </m:r>
      </m:oMath>
      <w:r w:rsidR="00173BA3" w:rsidRPr="00173BA3">
        <w:rPr>
          <w:color w:val="000000"/>
        </w:rPr>
        <w:t>). Supervised machine learning (Model 2) will deliver the computationally lightweight, Pareto-efficient routine solution with zero online feedback latency.</w:t>
      </w:r>
    </w:p>
    <w:p w14:paraId="4B5E458E" w14:textId="77777777" w:rsidR="00173BA3" w:rsidRPr="00173BA3" w:rsidRDefault="00F36685"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1b</m:t>
            </m:r>
          </m:sub>
        </m:sSub>
      </m:oMath>
      <w:r w:rsidR="00173BA3" w:rsidRPr="00173BA3">
        <w:rPr>
          <w:rStyle w:val="Strong"/>
          <w:color w:val="000000"/>
        </w:rPr>
        <w:t> (Resilience Target: </w:t>
      </w:r>
      <m:oMath>
        <m:sSub>
          <m:sSubPr>
            <m:ctrlPr>
              <w:rPr>
                <w:rFonts w:ascii="Cambria Math" w:hAnsi="Cambria Math"/>
              </w:rPr>
            </m:ctrlPr>
          </m:sSubPr>
          <m:e>
            <m:r>
              <w:rPr>
                <w:rFonts w:ascii="Cambria Math" w:hAnsi="Cambria Math"/>
              </w:rPr>
              <m:t>R</m:t>
            </m:r>
          </m:e>
          <m:sub>
            <m:r>
              <m:rPr>
                <m:nor/>
              </m:rPr>
              <m:t>RMSE</m:t>
            </m:r>
          </m:sub>
        </m:sSub>
        <m:r>
          <w:rPr>
            <w:rFonts w:ascii="Cambria Math" w:hAnsi="Cambria Math"/>
          </w:rPr>
          <m:t>≈1.00</m:t>
        </m:r>
        <m:r>
          <m:rPr>
            <m:nor/>
          </m:rPr>
          <m:t> </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MASE</m:t>
                </m:r>
              </m:sub>
            </m:sSub>
            <m:r>
              <w:rPr>
                <w:rFonts w:ascii="Cambria Math" w:hAnsi="Cambria Math"/>
              </w:rPr>
              <m:t>≈1.00</m:t>
            </m:r>
          </m:e>
        </m:d>
      </m:oMath>
      <w:r w:rsidR="00173BA3" w:rsidRPr="00173BA3">
        <w:rPr>
          <w:rStyle w:val="Strong"/>
          <w:color w:val="000000"/>
        </w:rPr>
        <w:t>, Lowest </w:t>
      </w:r>
      <m:oMath>
        <m:r>
          <w:rPr>
            <w:rFonts w:ascii="Cambria Math" w:hAnsi="Cambria Math"/>
          </w:rPr>
          <m:t>MAS</m:t>
        </m:r>
        <m:sSub>
          <m:sSubPr>
            <m:ctrlPr>
              <w:rPr>
                <w:rFonts w:ascii="Cambria Math" w:hAnsi="Cambria Math"/>
              </w:rPr>
            </m:ctrlPr>
          </m:sSubPr>
          <m:e>
            <m:r>
              <w:rPr>
                <w:rFonts w:ascii="Cambria Math" w:hAnsi="Cambria Math"/>
              </w:rPr>
              <m:t>E</m:t>
            </m:r>
          </m:e>
          <m:sub>
            <m:r>
              <m:rPr>
                <m:nor/>
              </m:rPr>
              <m:t>shock</m:t>
            </m:r>
          </m:sub>
        </m:sSub>
      </m:oMath>
      <w:r w:rsidR="00173BA3" w:rsidRPr="00173BA3">
        <w:rPr>
          <w:rStyle w:val="Strong"/>
          <w:color w:val="000000"/>
        </w:rPr>
        <w:t>, and </w:t>
      </w:r>
      <m:oMath>
        <m:r>
          <w:rPr>
            <w:rFonts w:ascii="Cambria Math" w:hAnsi="Cambria Math"/>
          </w:rPr>
          <m:t>TTR&lt;4.0</m:t>
        </m:r>
        <m:r>
          <m:rPr>
            <m:nor/>
          </m:rPr>
          <m:t> hours</m:t>
        </m:r>
      </m:oMath>
      <w:r w:rsidR="00173BA3" w:rsidRPr="00173BA3">
        <w:rPr>
          <w:rStyle w:val="Strong"/>
          <w:color w:val="000000"/>
        </w:rPr>
        <w:t>)</w:t>
      </w:r>
      <w:r w:rsidR="00173BA3" w:rsidRPr="00173BA3">
        <w:rPr>
          <w:color w:val="000000"/>
        </w:rPr>
        <w:t>: The Dynamic Two-Stage Hybrid (Model 3) will be the sole architecture to satisfy the resilience target due to recursive 1-step error innovation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00173BA3" w:rsidRPr="00173BA3">
        <w:rPr>
          <w:color w:val="000000"/>
        </w:rPr>
        <w:t>). Static supervised machine learning (Model 2) will experience severe performance degradation (</w:t>
      </w:r>
      <m:oMath>
        <m:r>
          <w:rPr>
            <w:rFonts w:ascii="Cambria Math" w:hAnsi="Cambria Math"/>
          </w:rPr>
          <m:t>R≥2.0</m:t>
        </m:r>
      </m:oMath>
      <w:r w:rsidR="00173BA3" w:rsidRPr="00173BA3">
        <w:rPr>
          <w:color w:val="000000"/>
        </w:rPr>
        <w:t>) resulting from the Empty Checkpoint Fallacy during flight ground delays, while deterministic baselines (Model 1) will remain blind to downline delay cascades.</w:t>
      </w:r>
    </w:p>
    <w:p w14:paraId="7A9F47A0" w14:textId="77777777" w:rsidR="00173BA3" w:rsidRPr="00173BA3" w:rsidRDefault="00F36685" w:rsidP="00173BA3">
      <w:pPr>
        <w:pStyle w:val="code-line"/>
        <w:numPr>
          <w:ilvl w:val="0"/>
          <w:numId w:val="5"/>
        </w:numPr>
        <w:spacing w:before="0" w:beforeAutospacing="0" w:after="168" w:afterAutospacing="0" w:line="480" w:lineRule="auto"/>
        <w:rPr>
          <w:color w:val="000000"/>
        </w:rPr>
      </w:pPr>
      <m:oMath>
        <m:sSub>
          <m:sSubPr>
            <m:ctrlPr>
              <w:rPr>
                <w:rFonts w:ascii="Cambria Math" w:hAnsi="Cambria Math"/>
              </w:rPr>
            </m:ctrlPr>
          </m:sSubPr>
          <m:e>
            <m:r>
              <w:rPr>
                <w:rFonts w:ascii="Cambria Math" w:hAnsi="Cambria Math"/>
              </w:rPr>
              <m:t>H</m:t>
            </m:r>
          </m:e>
          <m:sub>
            <m:r>
              <w:rPr>
                <w:rFonts w:ascii="Cambria Math" w:hAnsi="Cambria Math"/>
              </w:rPr>
              <m:t>1c</m:t>
            </m:r>
          </m:sub>
        </m:sSub>
      </m:oMath>
      <w:r w:rsidR="00173BA3" w:rsidRPr="00173BA3">
        <w:rPr>
          <w:rStyle w:val="Strong"/>
          <w:color w:val="000000"/>
        </w:rPr>
        <w:t> (Generalizability Target: </w:t>
      </w:r>
      <m:oMath>
        <m:r>
          <w:rPr>
            <w:rFonts w:ascii="Cambria Math" w:hAnsi="Cambria Math"/>
          </w:rPr>
          <m:t>RTR≈1.00</m:t>
        </m:r>
      </m:oMath>
      <w:r w:rsidR="00173BA3" w:rsidRPr="00173BA3">
        <w:rPr>
          <w:rStyle w:val="Strong"/>
          <w:color w:val="000000"/>
        </w:rPr>
        <w:t> and </w:t>
      </w:r>
      <m:oMath>
        <m:r>
          <m:rPr>
            <m:sty m:val="p"/>
          </m:rPr>
          <w:rPr>
            <w:rFonts w:ascii="Cambria Math" w:hAnsi="Cambria Math"/>
          </w:rPr>
          <m:t>Δ</m:t>
        </m:r>
        <m:r>
          <w:rPr>
            <w:rFonts w:ascii="Cambria Math" w:hAnsi="Cambria Math"/>
          </w:rPr>
          <m:t>MAS</m:t>
        </m:r>
        <m:sSub>
          <m:sSubPr>
            <m:ctrlPr>
              <w:rPr>
                <w:rFonts w:ascii="Cambria Math" w:hAnsi="Cambria Math"/>
              </w:rPr>
            </m:ctrlPr>
          </m:sSubPr>
          <m:e>
            <m:r>
              <w:rPr>
                <w:rFonts w:ascii="Cambria Math" w:hAnsi="Cambria Math"/>
              </w:rPr>
              <m:t>E</m:t>
            </m:r>
          </m:e>
          <m:sub>
            <m:r>
              <m:rPr>
                <m:nor/>
              </m:rPr>
              <m:t>transfer</m:t>
            </m:r>
          </m:sub>
        </m:sSub>
        <m:r>
          <w:rPr>
            <w:rFonts w:ascii="Cambria Math" w:hAnsi="Cambria Math"/>
          </w:rPr>
          <m:t>≤10.0%</m:t>
        </m:r>
      </m:oMath>
      <w:r w:rsidR="00173BA3" w:rsidRPr="00173BA3">
        <w:rPr>
          <w:rStyle w:val="Strong"/>
          <w:color w:val="000000"/>
        </w:rPr>
        <w:t>)</w:t>
      </w:r>
      <w:r w:rsidR="00173BA3" w:rsidRPr="00173BA3">
        <w:rPr>
          <w:color w:val="000000"/>
        </w:rPr>
        <w:t>: The Deterministic Flight Schedule Model (Model 1) will decisively satisfy the generalizability target (</w:t>
      </w:r>
      <m:oMath>
        <m:r>
          <w:rPr>
            <w:rFonts w:ascii="Cambria Math" w:hAnsi="Cambria Math"/>
          </w:rPr>
          <m:t>RTR≈1.00,</m:t>
        </m:r>
        <m:r>
          <m:rPr>
            <m:sty m:val="p"/>
          </m:rPr>
          <w:rPr>
            <w:rFonts w:ascii="Cambria Math" w:hAnsi="Cambria Math"/>
          </w:rPr>
          <m:t>Δ</m:t>
        </m:r>
        <m:r>
          <w:rPr>
            <w:rFonts w:ascii="Cambria Math" w:hAnsi="Cambria Math"/>
          </w:rPr>
          <m:t>MASE≤10.0%</m:t>
        </m:r>
      </m:oMath>
      <w:r w:rsidR="00173BA3" w:rsidRPr="00173BA3">
        <w:rPr>
          <w:color w:val="000000"/>
        </w:rPr>
        <w:t>) under zero-shot spatial transfer without local retraining because flight schedule convolution is invariant to local terminal geometry. Conversely, the Dynamic Hybrid (Model 3) will decisively fail the generalizability target (</w:t>
      </w:r>
      <m:oMath>
        <m:r>
          <w:rPr>
            <w:rFonts w:ascii="Cambria Math" w:hAnsi="Cambria Math"/>
          </w:rPr>
          <m:t>RTR≫1.00,</m:t>
        </m:r>
        <m:r>
          <m:rPr>
            <m:sty m:val="p"/>
          </m:rPr>
          <w:rPr>
            <w:rFonts w:ascii="Cambria Math" w:hAnsi="Cambria Math"/>
          </w:rPr>
          <m:t>Δ</m:t>
        </m:r>
        <m:r>
          <w:rPr>
            <w:rFonts w:ascii="Cambria Math" w:hAnsi="Cambria Math"/>
          </w:rPr>
          <m:t>MASE&gt;10.0%</m:t>
        </m:r>
      </m:oMath>
      <w:r w:rsidR="00173BA3" w:rsidRPr="00173BA3">
        <w:rPr>
          <w:color w:val="000000"/>
        </w:rPr>
        <w:t>) due to decision tree terminal geometry overfitting.</w:t>
      </w:r>
    </w:p>
    <w:p w14:paraId="2D20D701"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3" w:name="_Toc242174129"/>
      <w:bookmarkStart w:id="14" w:name="_Toc242174781"/>
      <w:r w:rsidRPr="00173BA3">
        <w:rPr>
          <w:rFonts w:ascii="Times New Roman" w:eastAsia="Times New Roman" w:hAnsi="Times New Roman" w:cs="Times New Roman"/>
          <w:b/>
          <w:bCs/>
          <w:color w:val="000000" w:themeColor="text1"/>
          <w:sz w:val="24"/>
          <w:szCs w:val="24"/>
        </w:rPr>
        <w:t>Delimitations</w:t>
      </w:r>
      <w:bookmarkEnd w:id="13"/>
      <w:bookmarkEnd w:id="14"/>
    </w:p>
    <w:p w14:paraId="5FE51C06" w14:textId="340CE222" w:rsidR="00E0734B" w:rsidRPr="00173BA3" w:rsidRDefault="00E0734B" w:rsidP="00173BA3">
      <w:pPr>
        <w:rPr>
          <w:color w:val="000000" w:themeColor="text1"/>
        </w:rPr>
      </w:pPr>
      <w:r w:rsidRPr="00173BA3">
        <w:rPr>
          <w:color w:val="000000" w:themeColor="text1"/>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173BA3">
        <w:rPr>
          <w:color w:val="000000" w:themeColor="text1"/>
        </w:rPr>
        <w:noBreakHyphen/>
        <w:t>based methods are assessed using standard statistical measures, including p</w:t>
      </w:r>
      <w:r w:rsidRPr="00173BA3">
        <w:rPr>
          <w:color w:val="000000" w:themeColor="text1"/>
        </w:rPr>
        <w:noBreakHyphen/>
        <w:t>value, R</w:t>
      </w:r>
      <w:r w:rsidRPr="00173BA3">
        <w:rPr>
          <w:color w:val="000000" w:themeColor="text1"/>
          <w:vertAlign w:val="superscript"/>
        </w:rPr>
        <w:t>2</w:t>
      </w:r>
      <w:r w:rsidRPr="00173BA3">
        <w:rPr>
          <w:color w:val="000000" w:themeColor="text1"/>
        </w:rPr>
        <w:t xml:space="preserve"> squared, mean squared error (MSE), root mean squared error (RMSE), and mean absolute percentage error (MAPE). </w:t>
      </w:r>
      <w:r w:rsidRPr="00173BA3">
        <w:rPr>
          <w:color w:val="000000" w:themeColor="text1"/>
          <w:highlight w:val="yellow"/>
        </w:rPr>
        <w:t xml:space="preserve">These delimitations are detailed </w:t>
      </w:r>
      <w:r w:rsidR="000B5264" w:rsidRPr="00173BA3">
        <w:rPr>
          <w:color w:val="000000" w:themeColor="text1"/>
          <w:highlight w:val="yellow"/>
        </w:rPr>
        <w:t>in the appendix.</w:t>
      </w:r>
    </w:p>
    <w:p w14:paraId="322D341E" w14:textId="77777777" w:rsidR="00E0734B" w:rsidRPr="00173BA3" w:rsidRDefault="00E0734B" w:rsidP="00173BA3">
      <w:pPr>
        <w:pStyle w:val="Heading2"/>
        <w:spacing w:before="0" w:after="0" w:line="480" w:lineRule="auto"/>
        <w:rPr>
          <w:rFonts w:ascii="Times New Roman" w:eastAsia="Times New Roman" w:hAnsi="Times New Roman" w:cs="Times New Roman"/>
          <w:b/>
          <w:bCs/>
          <w:color w:val="000000" w:themeColor="text1"/>
          <w:sz w:val="24"/>
          <w:szCs w:val="24"/>
        </w:rPr>
      </w:pPr>
      <w:bookmarkStart w:id="15" w:name="_Toc242174130"/>
      <w:bookmarkStart w:id="16" w:name="_Toc242174782"/>
      <w:r w:rsidRPr="00173BA3">
        <w:rPr>
          <w:rFonts w:ascii="Times New Roman" w:eastAsia="Times New Roman" w:hAnsi="Times New Roman" w:cs="Times New Roman"/>
          <w:b/>
          <w:bCs/>
          <w:color w:val="000000" w:themeColor="text1"/>
          <w:sz w:val="24"/>
          <w:szCs w:val="24"/>
        </w:rPr>
        <w:lastRenderedPageBreak/>
        <w:t>Limitations and Assumptions</w:t>
      </w:r>
      <w:bookmarkEnd w:id="15"/>
      <w:bookmarkEnd w:id="16"/>
    </w:p>
    <w:p w14:paraId="231EE3D0" w14:textId="336C5932" w:rsidR="00295729" w:rsidRPr="00173BA3" w:rsidRDefault="00E0734B" w:rsidP="00FC11B7">
      <w:pPr>
        <w:rPr>
          <w:color w:val="000000" w:themeColor="text1"/>
        </w:rPr>
      </w:pPr>
      <w:r w:rsidRPr="00173BA3">
        <w:rPr>
          <w:color w:val="000000" w:themeColor="text1"/>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r w:rsidRPr="00173BA3">
        <w:rPr>
          <w:color w:val="000000" w:themeColor="text1"/>
          <w:highlight w:val="yellow"/>
        </w:rPr>
        <w:t xml:space="preserve">These limitations are detailed </w:t>
      </w:r>
      <w:r w:rsidR="000B5264" w:rsidRPr="00173BA3">
        <w:rPr>
          <w:color w:val="000000" w:themeColor="text1"/>
          <w:highlight w:val="yellow"/>
        </w:rPr>
        <w:t>in the appendix.</w:t>
      </w:r>
    </w:p>
    <w:sectPr w:rsidR="00295729" w:rsidRPr="00173BA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Gleich, Leila" w:date="2026-10-09T17:14:00Z" w:initials="GL">
    <w:p w14:paraId="53EC8FC5" w14:textId="77777777" w:rsidR="006126A5" w:rsidRDefault="006126A5" w:rsidP="006126A5">
      <w:r>
        <w:rPr>
          <w:rStyle w:val="CommentReference"/>
        </w:rPr>
        <w:annotationRef/>
      </w:r>
      <w:r>
        <w:rPr>
          <w:sz w:val="20"/>
          <w:szCs w:val="20"/>
        </w:rPr>
        <w:t>Need to make this shorter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3EC8F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2D7BE8E" w16cex:dateUtc="2026-10-10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3EC8FC5" w16cid:durableId="42D7BE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5B4D79"/>
    <w:multiLevelType w:val="multilevel"/>
    <w:tmpl w:val="CC9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B3B03"/>
    <w:multiLevelType w:val="multilevel"/>
    <w:tmpl w:val="456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2C4807"/>
    <w:multiLevelType w:val="multilevel"/>
    <w:tmpl w:val="0C90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57EA7"/>
    <w:multiLevelType w:val="multilevel"/>
    <w:tmpl w:val="554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65699">
    <w:abstractNumId w:val="1"/>
  </w:num>
  <w:num w:numId="2" w16cid:durableId="29886223">
    <w:abstractNumId w:val="4"/>
  </w:num>
  <w:num w:numId="3" w16cid:durableId="546767236">
    <w:abstractNumId w:val="3"/>
  </w:num>
  <w:num w:numId="4" w16cid:durableId="1835487668">
    <w:abstractNumId w:val="2"/>
  </w:num>
  <w:num w:numId="5" w16cid:durableId="17114161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B"/>
    <w:rsid w:val="00021C93"/>
    <w:rsid w:val="00066D70"/>
    <w:rsid w:val="00066E96"/>
    <w:rsid w:val="000B1B1E"/>
    <w:rsid w:val="000B5264"/>
    <w:rsid w:val="0017365B"/>
    <w:rsid w:val="00173BA3"/>
    <w:rsid w:val="001C0042"/>
    <w:rsid w:val="00254E82"/>
    <w:rsid w:val="00295729"/>
    <w:rsid w:val="0032387B"/>
    <w:rsid w:val="003353D3"/>
    <w:rsid w:val="00366380"/>
    <w:rsid w:val="0040131A"/>
    <w:rsid w:val="005259FA"/>
    <w:rsid w:val="005A23B4"/>
    <w:rsid w:val="006126A5"/>
    <w:rsid w:val="006E1A18"/>
    <w:rsid w:val="0074327F"/>
    <w:rsid w:val="007C2B63"/>
    <w:rsid w:val="00815222"/>
    <w:rsid w:val="00864FC2"/>
    <w:rsid w:val="00942180"/>
    <w:rsid w:val="009A52F7"/>
    <w:rsid w:val="009C20BE"/>
    <w:rsid w:val="00A20EC8"/>
    <w:rsid w:val="00AE4DED"/>
    <w:rsid w:val="00B919B2"/>
    <w:rsid w:val="00C202E8"/>
    <w:rsid w:val="00D02787"/>
    <w:rsid w:val="00D857FE"/>
    <w:rsid w:val="00D95C0E"/>
    <w:rsid w:val="00E0734B"/>
    <w:rsid w:val="00E769F8"/>
    <w:rsid w:val="00ED039D"/>
    <w:rsid w:val="00F465A9"/>
    <w:rsid w:val="00FC1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DC15"/>
  <w15:chartTrackingRefBased/>
  <w15:docId w15:val="{B4297283-9D37-B647-9B52-3A96DA5D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34B"/>
    <w:pPr>
      <w:spacing w:after="0" w:line="480" w:lineRule="auto"/>
      <w:ind w:firstLine="720"/>
      <w:contextualSpacing/>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D857FE"/>
    <w:pPr>
      <w:keepNext/>
      <w:keepLines/>
      <w:ind w:firstLine="0"/>
      <w:contextualSpacing w:val="0"/>
      <w:jc w:val="center"/>
      <w:outlineLvl w:val="0"/>
    </w:pPr>
    <w:rPr>
      <w:rFonts w:eastAsiaTheme="majorEastAsia"/>
      <w:b/>
      <w:bCs/>
      <w:color w:val="000000" w:themeColor="text1"/>
      <w:kern w:val="2"/>
      <w14:ligatures w14:val="standardContextual"/>
    </w:rPr>
  </w:style>
  <w:style w:type="paragraph" w:styleId="Heading2">
    <w:name w:val="heading 2"/>
    <w:basedOn w:val="Normal"/>
    <w:next w:val="Normal"/>
    <w:link w:val="Heading2Char"/>
    <w:uiPriority w:val="9"/>
    <w:unhideWhenUsed/>
    <w:qFormat/>
    <w:rsid w:val="0032387B"/>
    <w:pPr>
      <w:keepNext/>
      <w:keepLines/>
      <w:spacing w:before="160" w:after="80" w:line="278" w:lineRule="auto"/>
      <w:ind w:firstLine="0"/>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87B"/>
    <w:pPr>
      <w:keepNext/>
      <w:keepLines/>
      <w:spacing w:before="160" w:after="80" w:line="278" w:lineRule="auto"/>
      <w:ind w:firstLine="0"/>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87B"/>
    <w:pPr>
      <w:keepNext/>
      <w:keepLines/>
      <w:spacing w:before="80" w:after="40" w:line="278" w:lineRule="auto"/>
      <w:ind w:firstLine="0"/>
      <w:contextualSpacing w:val="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2387B"/>
    <w:pPr>
      <w:keepNext/>
      <w:keepLines/>
      <w:spacing w:before="80" w:after="40" w:line="278" w:lineRule="auto"/>
      <w:ind w:firstLine="0"/>
      <w:contextualSpacing w:val="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2387B"/>
    <w:pPr>
      <w:keepNext/>
      <w:keepLines/>
      <w:spacing w:before="40" w:line="278" w:lineRule="auto"/>
      <w:ind w:firstLine="0"/>
      <w:contextualSpacing w:val="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2387B"/>
    <w:pPr>
      <w:keepNext/>
      <w:keepLines/>
      <w:spacing w:before="40" w:line="278" w:lineRule="auto"/>
      <w:ind w:firstLine="0"/>
      <w:contextualSpacing w:val="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2387B"/>
    <w:pPr>
      <w:keepNext/>
      <w:keepLines/>
      <w:spacing w:line="278" w:lineRule="auto"/>
      <w:ind w:firstLine="0"/>
      <w:contextualSpacing w:val="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2387B"/>
    <w:pPr>
      <w:keepNext/>
      <w:keepLines/>
      <w:spacing w:line="278" w:lineRule="auto"/>
      <w:ind w:firstLine="0"/>
      <w:contextualSpacing w:val="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character" w:customStyle="1" w:styleId="Heading1Char">
    <w:name w:val="Heading 1 Char"/>
    <w:basedOn w:val="DefaultParagraphFont"/>
    <w:link w:val="Heading1"/>
    <w:uiPriority w:val="9"/>
    <w:rsid w:val="00D857FE"/>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2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87B"/>
    <w:rPr>
      <w:rFonts w:eastAsiaTheme="majorEastAsia" w:cstheme="majorBidi"/>
      <w:color w:val="272727" w:themeColor="text1" w:themeTint="D8"/>
    </w:rPr>
  </w:style>
  <w:style w:type="paragraph" w:styleId="Title">
    <w:name w:val="Title"/>
    <w:basedOn w:val="Normal"/>
    <w:next w:val="Normal"/>
    <w:link w:val="TitleChar"/>
    <w:uiPriority w:val="10"/>
    <w:qFormat/>
    <w:rsid w:val="0032387B"/>
    <w:pPr>
      <w:spacing w:after="80" w:line="240" w:lineRule="auto"/>
      <w:ind w:firstLine="0"/>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32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87B"/>
    <w:pPr>
      <w:numPr>
        <w:ilvl w:val="1"/>
      </w:numPr>
      <w:spacing w:after="160" w:line="278" w:lineRule="auto"/>
      <w:ind w:firstLine="720"/>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B"/>
    <w:pPr>
      <w:spacing w:before="160" w:after="160" w:line="278" w:lineRule="auto"/>
      <w:ind w:firstLine="0"/>
      <w:contextualSpacing w:val="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2387B"/>
    <w:rPr>
      <w:i/>
      <w:iCs/>
      <w:color w:val="404040" w:themeColor="text1" w:themeTint="BF"/>
    </w:rPr>
  </w:style>
  <w:style w:type="paragraph" w:styleId="ListParagraph">
    <w:name w:val="List Paragraph"/>
    <w:basedOn w:val="Normal"/>
    <w:uiPriority w:val="34"/>
    <w:qFormat/>
    <w:rsid w:val="0032387B"/>
    <w:pPr>
      <w:spacing w:after="160" w:line="278" w:lineRule="auto"/>
      <w:ind w:left="720" w:firstLine="0"/>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32387B"/>
    <w:rPr>
      <w:i/>
      <w:iCs/>
      <w:color w:val="0F4761" w:themeColor="accent1" w:themeShade="BF"/>
    </w:rPr>
  </w:style>
  <w:style w:type="paragraph" w:styleId="IntenseQuote">
    <w:name w:val="Intense Quote"/>
    <w:basedOn w:val="Normal"/>
    <w:next w:val="Normal"/>
    <w:link w:val="IntenseQuoteChar"/>
    <w:uiPriority w:val="30"/>
    <w:qFormat/>
    <w:rsid w:val="0032387B"/>
    <w:pPr>
      <w:pBdr>
        <w:top w:val="single" w:sz="4" w:space="10" w:color="0F4761" w:themeColor="accent1" w:themeShade="BF"/>
        <w:bottom w:val="single" w:sz="4" w:space="10" w:color="0F4761" w:themeColor="accent1" w:themeShade="BF"/>
      </w:pBdr>
      <w:spacing w:before="360" w:after="360" w:line="278" w:lineRule="auto"/>
      <w:ind w:left="864" w:right="864" w:firstLine="0"/>
      <w:contextualSpacing w:val="0"/>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2387B"/>
    <w:rPr>
      <w:i/>
      <w:iCs/>
      <w:color w:val="0F4761" w:themeColor="accent1" w:themeShade="BF"/>
    </w:rPr>
  </w:style>
  <w:style w:type="character" w:styleId="IntenseReference">
    <w:name w:val="Intense Reference"/>
    <w:basedOn w:val="DefaultParagraphFont"/>
    <w:uiPriority w:val="32"/>
    <w:qFormat/>
    <w:rsid w:val="0032387B"/>
    <w:rPr>
      <w:b/>
      <w:bCs/>
      <w:smallCaps/>
      <w:color w:val="0F4761" w:themeColor="accent1" w:themeShade="BF"/>
      <w:spacing w:val="5"/>
    </w:rPr>
  </w:style>
  <w:style w:type="paragraph" w:customStyle="1" w:styleId="code-line">
    <w:name w:val="code-line"/>
    <w:basedOn w:val="Normal"/>
    <w:rsid w:val="00173BA3"/>
    <w:pPr>
      <w:spacing w:before="100" w:beforeAutospacing="1" w:after="100" w:afterAutospacing="1" w:line="240" w:lineRule="auto"/>
      <w:ind w:firstLine="0"/>
      <w:contextualSpacing w:val="0"/>
    </w:pPr>
    <w:rPr>
      <w:color w:val="auto"/>
    </w:rPr>
  </w:style>
  <w:style w:type="character" w:styleId="Strong">
    <w:name w:val="Strong"/>
    <w:basedOn w:val="DefaultParagraphFont"/>
    <w:uiPriority w:val="22"/>
    <w:qFormat/>
    <w:rsid w:val="00173BA3"/>
    <w:rPr>
      <w:b/>
      <w:bCs/>
    </w:rPr>
  </w:style>
  <w:style w:type="character" w:styleId="CommentReference">
    <w:name w:val="annotation reference"/>
    <w:basedOn w:val="DefaultParagraphFont"/>
    <w:uiPriority w:val="99"/>
    <w:semiHidden/>
    <w:unhideWhenUsed/>
    <w:rsid w:val="006126A5"/>
    <w:rPr>
      <w:sz w:val="16"/>
      <w:szCs w:val="16"/>
    </w:rPr>
  </w:style>
  <w:style w:type="paragraph" w:styleId="CommentText">
    <w:name w:val="annotation text"/>
    <w:basedOn w:val="Normal"/>
    <w:link w:val="CommentTextChar"/>
    <w:uiPriority w:val="99"/>
    <w:semiHidden/>
    <w:unhideWhenUsed/>
    <w:rsid w:val="006126A5"/>
    <w:pPr>
      <w:spacing w:line="240" w:lineRule="auto"/>
    </w:pPr>
    <w:rPr>
      <w:sz w:val="20"/>
      <w:szCs w:val="20"/>
    </w:rPr>
  </w:style>
  <w:style w:type="character" w:customStyle="1" w:styleId="CommentTextChar">
    <w:name w:val="Comment Text Char"/>
    <w:basedOn w:val="DefaultParagraphFont"/>
    <w:link w:val="CommentText"/>
    <w:uiPriority w:val="99"/>
    <w:semiHidden/>
    <w:rsid w:val="006126A5"/>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126A5"/>
    <w:rPr>
      <w:b/>
      <w:bCs/>
    </w:rPr>
  </w:style>
  <w:style w:type="character" w:customStyle="1" w:styleId="CommentSubjectChar">
    <w:name w:val="Comment Subject Char"/>
    <w:basedOn w:val="CommentTextChar"/>
    <w:link w:val="CommentSubject"/>
    <w:uiPriority w:val="99"/>
    <w:semiHidden/>
    <w:rsid w:val="006126A5"/>
    <w:rPr>
      <w:rFonts w:ascii="Times New Roman" w:eastAsia="Times New Roman" w:hAnsi="Times New Roman" w:cs="Times New Roman"/>
      <w:b/>
      <w:bCs/>
      <w:color w:val="00000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1375</Words>
  <Characters>7844</Characters>
  <Application>Microsoft Office Word</Application>
  <DocSecurity>0</DocSecurity>
  <Lines>65</Lines>
  <Paragraphs>18</Paragraphs>
  <ScaleCrop>false</ScaleCrop>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15</cp:revision>
  <dcterms:created xsi:type="dcterms:W3CDTF">2026-10-10T00:09:00Z</dcterms:created>
  <dcterms:modified xsi:type="dcterms:W3CDTF">2026-10-10T17:04:00Z</dcterms:modified>
</cp:coreProperties>
</file>