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1: Gerenciar Lâmpada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SPCU - Complexo - 8 Transações -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15 pontos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 - Complexo (interface gráfica) -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3 pontos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FCT = 0,6+0,01*49,5 = 1,095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1,4 - 0,03 * 19 = 0,83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PCU = FCT * FA * (SPCU+SPA)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PCU = 1,095 * 0,83 * (15 + 3)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PCU = 1,095 * 0,83 * 18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9d9d9" w:val="clear"/>
          <w:rtl w:val="0"/>
        </w:rPr>
        <w:t xml:space="preserve">PCU = 16,35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2: Regular Intensidade Luminosa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SPCU - Médio - 5 Transações -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10 pontos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 - Complexo(interface gráfica) -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3 pontos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FCT = 0,6+0,01*49,5 = 1,095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 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1,4 - 0,03 * 19 = 0,83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PCU = FCT * FA * (SPCU+SPA)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PCU = 1,095 * 0,83 * (10 + 3)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PCU = 1,095 * 0,83 * 13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ccccc" w:val="clear"/>
          <w:rtl w:val="0"/>
        </w:rPr>
        <w:t xml:space="preserve">PCU = 11,81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6.2859842519686"/>
        <w:gridCol w:w="4462.213039370079"/>
        <w:gridCol w:w="996.416503937008"/>
        <w:gridCol w:w="996.416503937008"/>
        <w:gridCol w:w="1054.1797795275593"/>
        <w:tblGridChange w:id="0">
          <w:tblGrid>
            <w:gridCol w:w="1516.2859842519686"/>
            <w:gridCol w:w="4462.213039370079"/>
            <w:gridCol w:w="996.416503937008"/>
            <w:gridCol w:w="996.416503937008"/>
            <w:gridCol w:w="1054.1797795275593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Fator Técnico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Influência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distribuído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de resposta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Processamento complexo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reutilizável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Facilidade de instalação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Facilidade de 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Portabilidade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Facilidade de mudança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Concorrência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 de segurança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Acessível por terceiros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 treinamento especial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Somatório Total = 49,5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6.2859842519686"/>
        <w:gridCol w:w="4462.213039370079"/>
        <w:gridCol w:w="996.416503937008"/>
        <w:gridCol w:w="996.416503937008"/>
        <w:gridCol w:w="1054.1797795275593"/>
        <w:tblGridChange w:id="0">
          <w:tblGrid>
            <w:gridCol w:w="1516.2859842519686"/>
            <w:gridCol w:w="4462.213039370079"/>
            <w:gridCol w:w="996.416503937008"/>
            <w:gridCol w:w="996.416503937008"/>
            <w:gridCol w:w="1054.1797795275593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Fator Ambiental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Influência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Familiaridade com o processo de desenvolvimento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Desenvolvedores em meio expediente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Presença de analistas experientes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Experiência com aplicação em desenvolvimento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Experiência em Orientação a Objetos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Dificuldade com a linguagem de programação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estáveis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Somatório total = 19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