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38850" cy="5824008"/>
            <wp:effectExtent b="0" l="0" r="0" t="0"/>
            <wp:docPr descr="OpenAI_Photography_2026_04" id="1" name="image1.png"/>
            <a:graphic>
              <a:graphicData uri="http://schemas.openxmlformats.org/drawingml/2006/picture">
                <pic:pic>
                  <pic:nvPicPr>
                    <pic:cNvPr descr="OpenAI_Photography_2026_04" id="0" name="image1.png"/>
                    <pic:cNvPicPr preferRelativeResize="0"/>
                  </pic:nvPicPr>
                  <pic:blipFill>
                    <a:blip r:embed="rId7"/>
                    <a:srcRect b="1779" l="0" r="0" t="177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824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03">
      <w:pPr>
        <w:pStyle w:val="Title"/>
        <w:keepNext w:val="1"/>
        <w:spacing w:after="100" w:line="278.00000000000006" w:lineRule="auto"/>
        <w:rPr/>
      </w:pPr>
      <w:bookmarkStart w:colFirst="0" w:colLast="0" w:name="_heading=h.t76axsj6ui55" w:id="0"/>
      <w:bookmarkEnd w:id="0"/>
      <w:r>
        <w:rPr>
          <w:vertAlign w:val="baseline"/>
          <w:rtl w:val="0"/>
        </w:rPr>
        <w:t xml:space="preserve">Informe de diseño de propuestas solares</w:t>
      </w:r>
      <w:r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305"/>
        <w:gridCol w:w="901.6666666666654"/>
        <w:gridCol w:w="4153.333333333335"/>
        <w:tblGridChange w:id="0">
          <w:tblGrid>
            <w:gridCol w:w="4305"/>
            <w:gridCol w:w="901.6666666666654"/>
            <w:gridCol w:w="4153.333333333335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4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</w:rPr>
              <w:t xml:space="preserve">Comparación de EILEN, Luxsiluz y el generador DOCX del SaaS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5">
            <w:pPr>
              <w:spacing w:after="0" w:line="240" w:lineRule="auto"/>
              <w:rPr>
                <w:color w:val="666666"/>
              </w:rPr>
            </w:pP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6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</w:rPr>
              <w:t xml:space="preserve">Preparado para la administración de SolarOS</w:t>
            </w:r>
          </w:p>
          <w:p w14:paraId="00000007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</w:rPr>
              <w:t xml:space="preserve">Septiembre 2026</w:t>
            </w:r>
          </w:p>
        </w:tc>
      </w:tr>
    </w:tbl>
    <w:p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7a7a7a"/>
          <w:sz w:val="18"/>
          <w:szCs w:val="18"/>
          <w:u w:val="none"/>
          <w:shd w:fill="auto" w:val="clear"/>
          <w:vertAlign w:val="baseline"/>
        </w:rPr>
        <w:sectPr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p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Contenido</w:t>
      </w:r>
    </w:p>
    <w:p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sz w:val="48"/>
          <w:szCs w:val="48"/>
        </w:rPr>
      </w:pPr>
      <w:r>
        <w:rPr>
          <w:rtl w:val="0"/>
        </w:rPr>
      </w:r>
    </w:p>
    <w:sdt>
      <w:sdtPr>
        <w:id w:val="-2107746825"/>
        <w:docPartObj>
          <w:docPartGallery w:val="Table of Contents"/>
          <w:docPartUnique w:val="1"/>
        </w:docPartObj>
      </w:sdtPr>
      <w:sdtContent>
        <w:p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  2</w:t>
              <w:tab/>
              <w:t xml:space="preserve"/>
            </w:r>
          </w:hyperlink>
          <w:r>
            <w:rPr>
              <w:rtl w:val="0"/>
            </w:rPr>
          </w:r>
        </w:p>
        <w:p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un vistazo  2</w:t>
              <w:tab/>
              <w:t xml:space="preserve"/>
            </w:r>
          </w:hyperlink>
          <w:r>
            <w:rPr>
              <w:rtl w:val="0"/>
            </w:rPr>
          </w:r>
        </w:p>
        <w:p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  2</w:t>
              <w:tab/>
              <w:t xml:space="preserve"/>
            </w:r>
          </w:hyperlink>
          <w:r>
            <w:rPr>
              <w:rtl w:val="0"/>
            </w:rPr>
          </w:r>
        </w:p>
        <w:p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Hallazgos clave  3</w:t>
              <w:tab/>
              <w:t xml:space="preserve"/>
            </w:r>
          </w:hyperlink>
          <w:r>
            <w:rPr>
              <w:rtl w:val="0"/>
            </w:rPr>
          </w:r>
        </w:p>
        <w:p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Estructura y jerarquía  3</w:t>
              <w:tab/>
              <w:t xml:space="preserve"/>
            </w:r>
          </w:hyperlink>
          <w:r>
            <w:rPr>
              <w:rtl w:val="0"/>
            </w:rPr>
          </w:r>
        </w:p>
        <w:p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Patrones visuales  3</w:t>
              <w:tab/>
              <w:t xml:space="preserve"/>
            </w:r>
          </w:hyperlink>
          <w:r>
            <w:rPr>
              <w:rtl w:val="0"/>
            </w:rPr>
          </w:r>
        </w:p>
        <w:p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Implicaciones técnicas  3</w:t>
              <w:tab/>
              <w:t xml:space="preserve"/>
            </w:r>
          </w:hyperlink>
          <w:r>
            <w:rPr>
              <w:rtl w:val="0"/>
            </w:rPr>
          </w:r>
        </w:p>
        <w:p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Recomendaciones  4</w:t>
              <w:tab/>
              <w:t xml:space="preserve"/>
            </w:r>
          </w:hyperlink>
          <w:r>
            <w:rPr>
              <w:rtl w:val="0"/>
            </w:rPr>
          </w:r>
        </w:p>
        <w:p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 4</w:t>
              <w:tab/>
              <w:t xml:space="preserve"/>
            </w:r>
          </w:hyperlink>
          <w:r>
            <w:rPr>
              <w:rtl w:val="0"/>
            </w:rPr>
          </w:r>
        </w:p>
        <w:p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Apéndice  5</w:t>
              <w:tab/>
              <w:t xml:space="preserve"/>
            </w:r>
          </w:hyperlink>
          <w:r>
            <w:rPr>
              <w:rtl w:val="0"/>
            </w:rPr>
          </w:r>
        </w:p>
        <w:p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Notas de implementación  5</w:t>
              <w:tab/>
              <w:t xml:space="preserve"/>
            </w:r>
          </w:hyperlink>
          <w:r>
            <w:rPr>
              <w:rtl w:val="0"/>
            </w:rPr>
          </w:r>
        </w:p>
        <w:p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Fuentes revisadas  5</w:t>
              <w:tab/>
              <w:t xml:space="preserve"/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bookmarkStart w:colFirst="0" w:colLast="0" w:name="bookmark=id.i23wo83gyh7m" w:id="1"/>
    <w:bookmarkEnd w:id="1"/>
    <w:p w14:paraId="00000017">
      <w:pPr>
        <w:pStyle w:val="Heading1"/>
        <w:pageBreakBefore w:val="1"/>
        <w:rPr/>
      </w:pPr>
      <w:r>
        <w:rPr>
          <w:rtl w:val="0"/>
        </w:rPr>
        <w:t xml:space="preserve">Resumen ejecutivo</w:t>
      </w:r>
    </w:p>
    <w:p w14:paraId="00000018">
      <w:pPr>
        <w:rPr/>
      </w:pPr>
      <w:r>
        <w:rPr>
          <w:rtl w:val="0"/>
        </w:rPr>
        <w:t xml:space="preserve">Las referencias confirman una dirección común: una propuesta energética premium, legible y comercialmente convincente, con ocho páginas temáticas, datos calculados y una identidad visual controlada por cada empresa.</w:t>
      </w:r>
    </w:p>
    <w:p w14:paraId="00000019">
      <w:pPr>
        <w:rPr/>
      </w:pPr>
      <w:r>
        <w:rPr>
          <w:rtl w:val="0"/>
        </w:rPr>
        <w:t xml:space="preserve">La recomendación es adoptar la composición editorial y el uso del espacio de Luxsiluz, conservar la profundidad técnica y regulatoria de EILEN, y hacer que el dashboard y el DOCX compartan exactamente la misma paleta, datos y jerarquía.</w:t>
      </w:r>
    </w:p>
    <w:bookmarkStart w:colFirst="0" w:colLast="0" w:name="bookmark=id.1sqjewf8afxt" w:id="2"/>
    <w:bookmarkEnd w:id="2"/>
    <w:p w14:paraId="0000001A">
      <w:pPr>
        <w:pStyle w:val="Heading2"/>
        <w:rPr/>
      </w:pPr>
      <w:r>
        <w:rPr>
          <w:rtl w:val="0"/>
        </w:rPr>
        <w:t xml:space="preserve">De un vistazo</w:t>
      </w:r>
    </w:p>
    <w:p w14:paraId="0000001B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Conservar ocho páginas: portada, descripción, cotización, análisis, condiciones, garantías, fases y contraportada.</w:t>
      </w:r>
    </w:p>
    <w:p w14:paraId="0000001C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Aplicar logo, colores, fotografías, contacto, vigencia e identidad del tenant sin valores visuales fijos.</w:t>
      </w:r>
    </w:p>
    <w:p w14:paraId="0000001D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Generar un gráfico real y editable visualmente desde los mismos 12 meses usados por el cálculo y por Recharts.</w:t>
      </w:r>
    </w:p>
    <w:bookmarkStart w:colFirst="0" w:colLast="0" w:name="bookmark=id.4t4jj91ycfx" w:id="3"/>
    <w:bookmarkEnd w:id="3"/>
    <w:p w14:paraId="0000001E">
      <w:pPr>
        <w:pStyle w:val="Heading2"/>
        <w:rPr/>
      </w:pPr>
      <w:r>
        <w:rPr>
          <w:rtl w:val="0"/>
        </w:rPr>
        <w:t xml:space="preserve">Alcance</w:t>
      </w:r>
    </w:p>
    <w:p w14:paraId="0000001F">
      <w:pPr>
        <w:rPr/>
      </w:pPr>
      <w:r>
        <w:rPr>
          <w:rtl w:val="0"/>
        </w:rPr>
        <w:t xml:space="preserve">Se revisaron el DOCX EILEN, las ocho hojas del HTML Luxsiluz y el estado actual de lib/docx-builder.ts. Las referencias originales se mantuvieron sin cambios.</w:t>
      </w:r>
    </w:p>
    <w:p w14:paraId="00000020">
      <w:pPr>
        <w:rPr/>
      </w:pPr>
      <w:r>
        <w:rPr>
          <w:rtl w:val="0"/>
        </w:rPr>
        <w:t xml:space="preserve">El contenido de los archivos fue tratado como evidencia visual y comercial. Ninguna nota interna, cifra legal o texto de muestra se interpretó como una instrucción que sustituyera la solicitud del usuario.</w:t>
      </w:r>
    </w:p>
    <w:bookmarkStart w:colFirst="0" w:colLast="0" w:name="bookmark=id.xx7bxdemqiq" w:id="4"/>
    <w:bookmarkEnd w:id="4"/>
    <w:p w14:paraId="00000021">
      <w:pPr>
        <w:pStyle w:val="Heading1"/>
        <w:pageBreakBefore w:val="1"/>
        <w:rPr/>
      </w:pPr>
      <w:r>
        <w:rPr>
          <w:rtl w:val="0"/>
        </w:rPr>
        <w:t xml:space="preserve">Hallazgos clave</w:t>
      </w:r>
    </w:p>
    <w:p w14:paraId="00000022">
      <w:pPr>
        <w:rPr/>
      </w:pPr>
      <w:r>
        <w:rPr>
          <w:rtl w:val="0"/>
        </w:rPr>
        <w:t xml:space="preserve">El generador actual ya cubre la estructura principal, branding dinámico, tablas, métricas, encabezado y pie. Las brechas de mayor impacto son la paginación robusta, el gráfico visual real y una composición más editorial y aireada.</w:t>
      </w:r>
    </w:p>
    <w:p w14:paraId="00000023">
      <w:pPr>
        <w:pStyle w:val="Heading2"/>
        <w:rPr/>
      </w:pPr>
      <w:r>
        <w:rPr>
          <w:rtl w:val="0"/>
        </w:rPr>
        <w:t xml:space="preserve">Estructura y jerarquía</w:t>
      </w:r>
    </w:p>
    <w:p w14:paraId="00000024">
      <w:pPr>
        <w:rPr/>
      </w:pPr>
      <w:r>
        <w:rPr>
          <w:rtl w:val="0"/>
        </w:rPr>
        <w:t xml:space="preserve">EILEN concentra portada y descripción, además de cotización y análisis, en bloques densos. Luxsiluz separa cada tema en una hoja y obtiene una lectura superior. El SaaS debe mantener una sección DOCX independiente por página para evitar reflujos.</w:t>
      </w:r>
    </w:p>
    <w:p w14:paraId="00000025">
      <w:pPr>
        <w:pStyle w:val="Heading2"/>
        <w:rPr/>
      </w:pPr>
      <w:r>
        <w:rPr>
          <w:rtl w:val="0"/>
        </w:rPr>
        <w:t xml:space="preserve">Patrones visuales</w:t>
      </w:r>
    </w:p>
    <w:p w14:paraId="00000026">
      <w:pPr>
        <w:rPr/>
      </w:pPr>
      <w:r>
        <w:rPr>
          <w:rtl w:val="0"/>
        </w:rPr>
        <w:t xml:space="preserve">Luxsiluz usa títulos serif de gran escala, mucho espacio en blanco, números de sección como acento, tarjetas con bordes suaves y una contraportada oscura. EILEN añade fotografías aéreas, cabeceras corporativas, tablas operativas y notas regulatorias destacadas.</w:t>
      </w:r>
    </w:p>
    <w:p w14:paraId="00000027">
      <w:pPr>
        <w:rPr/>
      </w:pPr>
      <w:r>
        <w:rPr>
          <w:rtl w:val="0"/>
        </w:rPr>
      </w:r>
    </w:p>
    <w:p w14:paraId="00000028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/>
      </w:pPr>
      <w:r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Conclusión clave. Combinar la elegancia editorial de Luxsiluz con la cobertura técnica de EILEN, siempre reinterpretada con los colores, logo y fotografías del tenant.</w:t>
      </w: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/>
      </w:r>
      <w:r>
        <w:rPr>
          <w:rtl w:val="0"/>
        </w:rPr>
      </w:r>
    </w:p>
    <w:p w14:paraId="00000029">
      <w:pPr>
        <w:pStyle w:val="Heading2"/>
        <w:rPr/>
      </w:pPr>
      <w:r>
        <w:rPr>
          <w:rtl w:val="0"/>
        </w:rPr>
      </w:r>
    </w:p>
    <w:bookmarkStart w:colFirst="0" w:colLast="0" w:name="bookmark=id.suv0vlq0gz4r" w:id="5"/>
    <w:bookmarkEnd w:id="5"/>
    <w:p w14:paraId="0000002A">
      <w:pPr>
        <w:pStyle w:val="Heading2"/>
        <w:rPr/>
      </w:pPr>
      <w:r>
        <w:rPr>
          <w:rtl w:val="0"/>
        </w:rPr>
        <w:t xml:space="preserve">Implicaciones técnicas</w:t>
      </w:r>
    </w:p>
    <w:p w14:paraId="0000002B">
      <w:pPr>
        <w:rPr/>
      </w:pPr>
      <w:r>
        <w:rPr>
          <w:rtl w:val="0"/>
        </w:rPr>
        <w:t xml:space="preserve">El documento debe construirse con ocho secciones controladas, un motor de gráficos a imagen de alta resolución y componentes de estilo reutilizables. El HTML de referencia no debe introducir por sí solo afirmaciones legales o fiscales.</w:t>
      </w:r>
    </w:p>
    <w:tbl>
      <w:tblPr>
        <w:tblStyle w:val="Table2"/>
        <w:tblW w:w="9120.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00"/>
        <w:gridCol w:w="3300"/>
        <w:gridCol w:w="4020"/>
        <w:tblGridChange w:id="0">
          <w:tblGrid>
            <w:gridCol w:w="1800"/>
            <w:gridCol w:w="3300"/>
            <w:gridCol w:w="40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Tema</w:t>
            </w:r>
            <w:r>
              <w:rPr>
                <w:rtl w:val="0"/>
              </w:rPr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Observación</w:t>
            </w:r>
            <w:r>
              <w:rPr>
                <w:rtl w:val="0"/>
              </w:rPr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Paginación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Los saltos dentro de una sola sección pueden refluir.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Crear ocho secciones y limitar la densidad de cada una.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Gráfico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generador actual muestra una tabla mensual, no un gráfico.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Insertar PNG/SVG de alta resolución con paleta del tenant.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Contenido legal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HTML contiene beneficios y costos no verificados.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Exigir texto aprobado o una fuente normativa antes de publicarlo.</w:t>
            </w:r>
          </w:p>
        </w:tc>
      </w:tr>
    </w:tbl>
    <w:bookmarkStart w:colFirst="0" w:colLast="0" w:name="bookmark=id.vvr4bduzzdc0" w:id="6"/>
    <w:bookmarkEnd w:id="6"/>
    <w:p w14:paraId="00000038">
      <w:pPr>
        <w:pStyle w:val="Heading1"/>
        <w:pageBreakBefore w:val="1"/>
        <w:rPr/>
      </w:pPr>
      <w:r>
        <w:rPr>
          <w:rtl w:val="0"/>
        </w:rPr>
        <w:t xml:space="preserve">Recomendaciones</w:t>
      </w:r>
    </w:p>
    <w:p w14:paraId="00000039">
      <w:pPr>
        <w:rPr/>
      </w:pPr>
      <w:r>
        <w:rPr>
          <w:rtl w:val="0"/>
        </w:rPr>
        <w:t xml:space="preserve">Priorizar los cambios que mejoran fidelidad visual sin comprometer la editabilidad del Word ni la trazabilidad de los cálculos.</w:t>
      </w:r>
    </w:p>
    <w:p w14:paraId="0000003A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Separar la paginación. Crear una sección DOCX por tema y probarla con datos máximos, inversor manual, batería e ITBIS activado o desactivado.</w:t>
      </w: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14:paraId="0000003B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Unificar el sistema visual. Definir tokens de tenant para primario, secundario y acento; reutilizarlos en Recharts, tarjetas, tablas, portada y contraportada.</w:t>
      </w: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14:paraId="0000003C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el resultado. Renderizar las ocho páginas, revisar recortes y actualizar campos de página antes de cada entrega.</w:t>
      </w: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bookmarkStart w:colFirst="0" w:colLast="0" w:name="bookmark=id.rl3o3rp5qmnq" w:id="7"/>
    <w:bookmarkEnd w:id="7"/>
    <w:p w14:paraId="0000003D">
      <w:pPr>
        <w:pStyle w:val="Heading2"/>
        <w:rPr/>
      </w:pPr>
      <w:r>
        <w:rPr>
          <w:rtl w:val="0"/>
        </w:rPr>
        <w:t xml:space="preserve">Conclusión</w:t>
      </w:r>
    </w:p>
    <w:p w14:paraId="0000003E">
      <w:pPr>
        <w:rPr/>
      </w:pPr>
      <w:r>
        <w:rPr>
          <w:rtl w:val="0"/>
        </w:rPr>
        <w:t xml:space="preserve">Luxsiluz debe ser la dirección visual principal: limpia, premium, con jerarquía editorial, tarjetas y una contraportada contundente.</w:t>
      </w:r>
    </w:p>
    <w:p w14:paraId="0000003F">
      <w:pPr>
        <w:rPr/>
      </w:pPr>
      <w:r>
        <w:rPr>
          <w:rtl w:val="0"/>
        </w:rPr>
        <w:t xml:space="preserve">EILEN debe seguir guiando el contenido operativo: identidad permanente, cotización, regulación, garantías, fases y fotografías. El resultado final no será una copia literal de ninguna marca.</w:t>
      </w:r>
    </w:p>
    <w:bookmarkStart w:colFirst="0" w:colLast="0" w:name="bookmark=id.cf45595vup8a" w:id="8"/>
    <w:bookmarkEnd w:id="8"/>
    <w:p w14:paraId="00000040">
      <w:pPr>
        <w:pStyle w:val="Heading1"/>
        <w:pageBreakBefore w:val="1"/>
        <w:rPr/>
      </w:pPr>
      <w:r>
        <w:rPr>
          <w:rtl w:val="0"/>
        </w:rPr>
        <w:t xml:space="preserve">Apéndice</w:t>
      </w:r>
    </w:p>
    <w:bookmarkStart w:colFirst="0" w:colLast="0" w:name="bookmark=id.ptrg31dozyqs" w:id="9"/>
    <w:bookmarkEnd w:id="9"/>
    <w:p w14:paraId="00000041">
      <w:pPr>
        <w:pStyle w:val="Heading2"/>
        <w:rPr/>
      </w:pPr>
      <w:r>
        <w:rPr>
          <w:rtl w:val="0"/>
        </w:rPr>
        <w:t xml:space="preserve">Notas de implementación</w:t>
      </w:r>
    </w:p>
    <w:p w14:paraId="00000042">
      <w:pPr>
        <w:rPr/>
      </w:pPr>
      <w:r>
        <w:rPr>
          <w:rtl w:val="0"/>
        </w:rPr>
        <w:t xml:space="preserve">En lib/docx-builder.ts: reemplazar la única sección por ocho secciones, incorporar un gráfico de barras real, condicionar la fila ITBIS y asegurar tablas con anchos, padding, zebra striping y montos alineados a la derecha.</w:t>
      </w:r>
    </w:p>
    <w:p w14:paraId="00000043">
      <w:pPr>
        <w:rPr/>
      </w:pPr>
      <w:r>
        <w:rPr>
          <w:rtl w:val="0"/>
        </w:rPr>
        <w:t xml:space="preserve">En la aplicación: mantener Recharts y el DOCX sincronizados con el mismo arreglo mensual; exponer en Perfil de Empresa la paleta, logo, portadas, contraportada, contacto, vigencia e ITBIS.</w:t>
      </w:r>
    </w:p>
    <w:bookmarkStart w:colFirst="0" w:colLast="0" w:name="bookmark=id.nnk1eebni0ji" w:id="10"/>
    <w:bookmarkEnd w:id="10"/>
    <w:p w14:paraId="00000044">
      <w:pPr>
        <w:pStyle w:val="Heading2"/>
        <w:rPr/>
      </w:pPr>
      <w:r>
        <w:rPr>
          <w:rtl w:val="0"/>
        </w:rPr>
        <w:t xml:space="preserve">Fuentes revisadas</w:t>
      </w:r>
    </w:p>
    <w:p w14:paraId="0000004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EILEN_Propuesta_D_v2 4.docx. Documento de referencia proporcionado por el usuario. Revisado en septiembre de 2026.</w:t>
      </w:r>
    </w:p>
    <w:p w14:paraId="00000046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Luxsiluz_Propuesta_Premium.html. Maqueta de ocho páginas proporcionada por el usuario. Revisada en septiembre de 2026.</w:t>
      </w:r>
    </w:p>
    <w:p w14:paraId="00000047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SolarOS. lib/docx-builder.ts y componentes relacionados. Estado local revisado en septiembre de 2026.</w:t>
      </w:r>
    </w:p>
    <w:p w14:paraId="0000004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OpenAI Templates. Design Report reference.docx. Plantilla retenida para este informe.</w:t>
      </w:r>
    </w:p>
    <w:p w14:paraId="0000004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/>
      </w:pPr>
      <w:r>
        <w:rPr>
          <w:rtl w:val="0"/>
        </w:rPr>
      </w:r>
    </w:p>
    <w:p w14:paraId="0000004A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Nota. Los importes, garantías, beneficios fiscales y textos regulatorios de las referencias son ejemplos o contenido de terceros; deben validarse antes de convertirse en valores predeterminados del SaaS.</w:t>
      </w: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/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Informe de diseño solar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Sep. 2026</w:t>
              </w:r>
            </w:p>
          </w:tc>
        </w:tr>
      </w:tbl>
    </w:sdtContent>
  </w:sdt>
  <w:p w14:paraId="0000004F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Helvetica Neue" w:cs="Helvetica Neue" w:eastAsia="Helvetica Neue" w:hAnsi="Helvetica Neue"/>
      <w:b w:val="0"/>
      <w:bCs w:val="0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Helvetica Neue" w:cs="Helvetica Neue" w:eastAsia="Helvetica Neue" w:hAnsi="Helvetica Neue"/>
      <w:b w:val="0"/>
      <w:bCs w:val="0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b w:val="1"/>
      <w:bCs w:val="1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