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B2A" w:rsidRPr="005115C0" w:rsidRDefault="005115C0">
      <w:pPr>
        <w:rPr>
          <w:rFonts w:cs="IRNazanin"/>
          <w:b/>
          <w:bCs/>
          <w:szCs w:val="24"/>
          <w:rtl/>
          <w:lang w:bidi="fa-IR"/>
        </w:rPr>
      </w:pPr>
      <w:r w:rsidRPr="005115C0">
        <w:rPr>
          <w:rFonts w:cs="IRNazanin"/>
          <w:b/>
          <w:bCs/>
          <w:szCs w:val="24"/>
          <w:rtl/>
          <w:lang w:bidi="fa-IR"/>
        </w:rPr>
        <w:t>پروژه‌ی پایان‌نامه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29"/>
        <w:gridCol w:w="2385"/>
        <w:gridCol w:w="2520"/>
        <w:gridCol w:w="1260"/>
        <w:gridCol w:w="1256"/>
      </w:tblGrid>
      <w:tr w:rsidR="0059201E" w:rsidTr="0059201E">
        <w:tc>
          <w:tcPr>
            <w:tcW w:w="1929" w:type="dxa"/>
            <w:vAlign w:val="center"/>
          </w:tcPr>
          <w:p w:rsidR="0059201E" w:rsidRDefault="0059201E" w:rsidP="005115C0">
            <w:pPr>
              <w:jc w:val="center"/>
              <w:rPr>
                <w:rFonts w:cs="IRNazanin" w:hint="cs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>
            <w:pPr>
              <w:rPr>
                <w:rFonts w:cs="IRNazanin" w:hint="cs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4321F6">
            <w:pPr>
              <w:jc w:val="center"/>
              <w:rPr>
                <w:rFonts w:cs="IRNazanin" w:hint="cs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4321F6">
            <w:pPr>
              <w:jc w:val="center"/>
              <w:rPr>
                <w:rFonts w:cs="IRNazanin" w:hint="cs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میزان پیشرفت</w:t>
            </w:r>
          </w:p>
        </w:tc>
        <w:tc>
          <w:tcPr>
            <w:tcW w:w="1256" w:type="dxa"/>
            <w:vAlign w:val="center"/>
          </w:tcPr>
          <w:p w:rsidR="0059201E" w:rsidRDefault="0059201E" w:rsidP="004321F6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دد لاین!</w:t>
            </w:r>
          </w:p>
        </w:tc>
      </w:tr>
      <w:tr w:rsidR="0059201E" w:rsidTr="0059201E">
        <w:tc>
          <w:tcPr>
            <w:tcW w:w="1929" w:type="dxa"/>
            <w:vMerge w:val="restart"/>
            <w:vAlign w:val="center"/>
          </w:tcPr>
          <w:p w:rsidR="0059201E" w:rsidRDefault="0059201E" w:rsidP="005115C0">
            <w:pPr>
              <w:jc w:val="center"/>
              <w:rPr>
                <w:rFonts w:cs="IRNazanin" w:hint="cs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فصل یک</w:t>
            </w:r>
          </w:p>
        </w:tc>
        <w:tc>
          <w:tcPr>
            <w:tcW w:w="2385" w:type="dxa"/>
          </w:tcPr>
          <w:p w:rsidR="0059201E" w:rsidRDefault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ویرایش ظاهر</w:t>
            </w:r>
          </w:p>
        </w:tc>
        <w:tc>
          <w:tcPr>
            <w:tcW w:w="2520" w:type="dxa"/>
          </w:tcPr>
          <w:p w:rsidR="0059201E" w:rsidRDefault="0059201E" w:rsidP="004321F6">
            <w:pPr>
              <w:jc w:val="center"/>
              <w:rPr>
                <w:rFonts w:cs="IRNazanin" w:hint="cs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4321F6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100%</w:t>
            </w:r>
          </w:p>
        </w:tc>
        <w:tc>
          <w:tcPr>
            <w:tcW w:w="1256" w:type="dxa"/>
            <w:vAlign w:val="center"/>
          </w:tcPr>
          <w:p w:rsidR="0059201E" w:rsidRDefault="0059201E" w:rsidP="004321F6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-</w:t>
            </w:r>
          </w:p>
        </w:tc>
      </w:tr>
      <w:tr w:rsidR="0059201E" w:rsidTr="0059201E">
        <w:tc>
          <w:tcPr>
            <w:tcW w:w="1929" w:type="dxa"/>
            <w:vMerge/>
            <w:vAlign w:val="center"/>
          </w:tcPr>
          <w:p w:rsidR="0059201E" w:rsidRDefault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گوش دادن به صوت دکتر عدلی</w:t>
            </w:r>
          </w:p>
        </w:tc>
        <w:tc>
          <w:tcPr>
            <w:tcW w:w="2520" w:type="dxa"/>
          </w:tcPr>
          <w:p w:rsidR="0059201E" w:rsidRDefault="0059201E" w:rsidP="004321F6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4321F6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4321F6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11 اردیبهشت</w:t>
            </w:r>
          </w:p>
        </w:tc>
      </w:tr>
      <w:tr w:rsidR="0059201E" w:rsidTr="0059201E">
        <w:tc>
          <w:tcPr>
            <w:tcW w:w="1929" w:type="dxa"/>
            <w:vMerge/>
            <w:vAlign w:val="center"/>
          </w:tcPr>
          <w:p w:rsidR="0059201E" w:rsidRDefault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ویرایش محتوا</w:t>
            </w:r>
          </w:p>
        </w:tc>
        <w:tc>
          <w:tcPr>
            <w:tcW w:w="2520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مقدمه</w:t>
            </w:r>
          </w:p>
        </w:tc>
        <w:tc>
          <w:tcPr>
            <w:tcW w:w="1260" w:type="dxa"/>
          </w:tcPr>
          <w:p w:rsidR="0059201E" w:rsidRDefault="0059201E" w:rsidP="004321F6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4321F6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11 اردیبهشت</w:t>
            </w:r>
          </w:p>
        </w:tc>
      </w:tr>
      <w:tr w:rsidR="0059201E" w:rsidTr="0059201E">
        <w:tc>
          <w:tcPr>
            <w:tcW w:w="1929" w:type="dxa"/>
            <w:vMerge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بیان مساله</w:t>
            </w: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12 اردیبهشت</w:t>
            </w:r>
          </w:p>
        </w:tc>
      </w:tr>
      <w:tr w:rsidR="0059201E" w:rsidTr="0059201E">
        <w:tc>
          <w:tcPr>
            <w:tcW w:w="1929" w:type="dxa"/>
            <w:vMerge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هدف و ضرورت و غیره</w:t>
            </w: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15 اردیبهشت</w:t>
            </w:r>
          </w:p>
        </w:tc>
      </w:tr>
      <w:tr w:rsidR="0059201E" w:rsidTr="0059201E">
        <w:tc>
          <w:tcPr>
            <w:tcW w:w="1929" w:type="dxa"/>
            <w:vMerge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پرینت برای دکتر مهران و ارسال برای دکتر عدلی</w:t>
            </w:r>
          </w:p>
        </w:tc>
        <w:tc>
          <w:tcPr>
            <w:tcW w:w="2520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15 اردیبهشت</w:t>
            </w: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فصل دو</w:t>
            </w: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پیشینه ها خارجی</w:t>
            </w:r>
          </w:p>
        </w:tc>
        <w:tc>
          <w:tcPr>
            <w:tcW w:w="2520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پیشینه های اخیر داخلی</w:t>
            </w: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فصل سه</w:t>
            </w: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فصل چهار</w:t>
            </w: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پیاده سازی مصاحبه ها</w:t>
            </w: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31 اردیبهشت</w:t>
            </w: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اتمام مصاحبه های ناتمام</w:t>
            </w: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 w:hint="cs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کریمی</w:t>
            </w: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 w:hint="cs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علیزاده</w:t>
            </w: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 w:hint="cs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سلیمانی</w:t>
            </w: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مصاحبه جدید</w:t>
            </w: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 w:hint="cs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شهدای معلم</w:t>
            </w: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تحلیل مصاحبه ها</w:t>
            </w: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  <w:r>
              <w:rPr>
                <w:rFonts w:cs="IRNazanin" w:hint="cs"/>
                <w:szCs w:val="24"/>
                <w:rtl/>
                <w:lang w:bidi="fa-IR"/>
              </w:rPr>
              <w:t>فصل پنجم</w:t>
            </w: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  <w:tr w:rsidR="0059201E" w:rsidTr="0059201E">
        <w:tc>
          <w:tcPr>
            <w:tcW w:w="1929" w:type="dxa"/>
            <w:vAlign w:val="center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385" w:type="dxa"/>
          </w:tcPr>
          <w:p w:rsidR="0059201E" w:rsidRDefault="0059201E" w:rsidP="0059201E">
            <w:pPr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252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60" w:type="dxa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  <w:tc>
          <w:tcPr>
            <w:tcW w:w="1256" w:type="dxa"/>
            <w:vAlign w:val="center"/>
          </w:tcPr>
          <w:p w:rsidR="0059201E" w:rsidRDefault="0059201E" w:rsidP="0059201E">
            <w:pPr>
              <w:jc w:val="center"/>
              <w:rPr>
                <w:rFonts w:cs="IRNazanin"/>
                <w:szCs w:val="24"/>
                <w:rtl/>
                <w:lang w:bidi="fa-IR"/>
              </w:rPr>
            </w:pPr>
          </w:p>
        </w:tc>
      </w:tr>
    </w:tbl>
    <w:p w:rsidR="005115C0" w:rsidRPr="005115C0" w:rsidRDefault="005115C0">
      <w:pPr>
        <w:rPr>
          <w:rFonts w:cs="IRNazanin"/>
          <w:szCs w:val="24"/>
          <w:lang w:bidi="fa-IR"/>
        </w:rPr>
      </w:pPr>
    </w:p>
    <w:sectPr w:rsidR="005115C0" w:rsidRPr="0051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C0"/>
    <w:rsid w:val="000A56DB"/>
    <w:rsid w:val="00147B2A"/>
    <w:rsid w:val="002069D3"/>
    <w:rsid w:val="0021655A"/>
    <w:rsid w:val="00220C94"/>
    <w:rsid w:val="004213D4"/>
    <w:rsid w:val="004321F6"/>
    <w:rsid w:val="00492368"/>
    <w:rsid w:val="004D50EA"/>
    <w:rsid w:val="005115C0"/>
    <w:rsid w:val="0052683C"/>
    <w:rsid w:val="0059201E"/>
    <w:rsid w:val="00602E8A"/>
    <w:rsid w:val="00B43C98"/>
    <w:rsid w:val="00B46E9E"/>
    <w:rsid w:val="00CE46B0"/>
    <w:rsid w:val="00CF204F"/>
    <w:rsid w:val="00DF0115"/>
    <w:rsid w:val="00E145CA"/>
    <w:rsid w:val="00F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D5CA"/>
  <w15:chartTrackingRefBased/>
  <w15:docId w15:val="{F63DDF9E-66A7-445B-8089-037F389A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RNazanin" w:eastAsiaTheme="minorHAnsi" w:hAnsi="IRNazani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9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0A56DB"/>
    <w:pPr>
      <w:numPr>
        <w:ilvl w:val="1"/>
      </w:numPr>
      <w:spacing w:after="0" w:line="276" w:lineRule="auto"/>
    </w:pPr>
    <w:rPr>
      <w:rFonts w:eastAsiaTheme="minorEastAsia"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0A56DB"/>
    <w:rPr>
      <w:rFonts w:ascii="IRNazanin" w:eastAsiaTheme="minorEastAsia" w:hAnsi="IRNazanin"/>
      <w:bCs/>
      <w:noProof/>
      <w:szCs w:val="28"/>
      <w:lang w:bidi="fa-I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213D4"/>
    <w:pPr>
      <w:spacing w:after="0"/>
    </w:pPr>
    <w:rPr>
      <w:rFonts w:asciiTheme="majorHAnsi" w:eastAsiaTheme="majorEastAsia" w:hAnsiTheme="majorHAnsi"/>
      <w:bCs/>
      <w:noProof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13D4"/>
    <w:rPr>
      <w:rFonts w:asciiTheme="majorHAnsi" w:eastAsiaTheme="majorEastAsia" w:hAnsiTheme="majorHAnsi"/>
      <w:bCs/>
      <w:noProof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51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mesbah</dc:creator>
  <cp:keywords/>
  <dc:description/>
  <cp:lastModifiedBy>leila mesbah</cp:lastModifiedBy>
  <cp:revision>1</cp:revision>
  <dcterms:created xsi:type="dcterms:W3CDTF">2023-04-28T06:12:00Z</dcterms:created>
  <dcterms:modified xsi:type="dcterms:W3CDTF">2023-05-02T11:19:00Z</dcterms:modified>
</cp:coreProperties>
</file>