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pStyle w:val="Title"/>
      </w:pPr>
      <w:r>
        <w:t>Enterprise IM</w:t>
        <w:br/>
        <w:t>集团型多组织需求与详细设计说明书</w:t>
      </w:r>
    </w:p>
    <w:p>
      <w:pPr>
        <w:spacing w:after="400"/>
      </w:pPr>
      <w:r>
        <w:rPr>
          <w:b/>
          <w:sz w:val="26"/>
        </w:rPr>
        <w:t>版本 2.1  集团版</w:t>
      </w:r>
    </w:p>
    <w:p>
      <w:r>
        <w:t>面向集团总部、子公司、分公司、事业部及跨法人协作的私有化即时通信平台。本文档为需求评审、技术设计、开发拆分和验收提供共同基线。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rPr>
          <w:tblHeader/>
          <w:cantSplit/>
        </w:trPr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文档属性</w:t>
            </w:r>
          </w:p>
        </w:tc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版本</w:t>
            </w:r>
          </w:p>
        </w:tc>
        <w:tc>
          <w:tcPr>
            <w:tcW w:type="dxa" w:w="74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v2.1 Group Edition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定位</w:t>
            </w:r>
          </w:p>
        </w:tc>
        <w:tc>
          <w:tcPr>
            <w:tcW w:type="dxa" w:w="74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企业级私有化部署；集团统一身份与多组织治理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读者</w:t>
            </w:r>
          </w:p>
        </w:tc>
        <w:tc>
          <w:tcPr>
            <w:tcW w:type="dxa" w:w="74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产品负责人、架构师、后端与前端研发、测试、运维及安全团队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设计范围</w:t>
            </w:r>
          </w:p>
        </w:tc>
        <w:tc>
          <w:tcPr>
            <w:tcW w:type="dxa" w:w="74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组织与身份、通信边界、会话与消息、文件、接口、部署、运维及页面原型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优先级</w:t>
            </w:r>
          </w:p>
        </w:tc>
        <w:tc>
          <w:tcPr>
            <w:tcW w:type="dxa" w:w="74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集团多组织基础能力为 P0；高级协作与开放集成为后续阶段</w:t>
            </w:r>
          </w:p>
        </w:tc>
      </w:tr>
    </w:tbl>
    <w:p>
      <w:pPr>
        <w:spacing w:after="20"/>
      </w:pPr>
    </w:p>
    <w:p>
      <w:pPr>
        <w:pStyle w:val="Heading1"/>
      </w:pPr>
      <w:r>
        <w:t>核心结论</w:t>
      </w:r>
    </w:p>
    <w:p>
      <w:r>
        <w:t>集团作为租户边界，用户是集团级统一主体；组织和部门通过成员关系承载一人多岗。所有通讯录查询、发起会话、建群、邀请成员、文件访问均经过同一策略判定。消息核心采用 client_msg_id 去重、会话内递增 seq、数据库事务写入消息与 Outbox、服务端 ACK 和可重放同步游标。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1F5F9"/>
            <w:tcBorders>
              <w:top w:val="single" w:sz="4" w:color="C6D2DE"/>
              <w:left w:val="single" w:sz="4" w:color="C6D2DE"/>
              <w:bottom w:val="single" w:sz="4" w:color="C6D2DE"/>
              <w:right w:val="single" w:sz="4" w:color="C6D2DE"/>
            </w:tcBorders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适用前提  此版以单集团私有化实例为主要部署形态；若未来托管多个集团，所有业务表与缓存键仍需显式带 tenant_id。</w:t>
            </w:r>
          </w:p>
        </w:tc>
      </w:tr>
    </w:tbl>
    <w:p>
      <w:pPr>
        <w:spacing w:after="20"/>
      </w:pPr>
    </w:p>
    <w:p>
      <w:pPr>
        <w:pStyle w:val="Heading1"/>
      </w:pPr>
      <w:r>
        <w:t>1 产品目标与范围</w:t>
      </w:r>
    </w:p>
    <w:p>
      <w:pPr>
        <w:pStyle w:val="Heading2"/>
      </w:pPr>
      <w:r>
        <w:t>1.1 目标</w:t>
      </w:r>
    </w:p>
    <w:p>
      <w:pPr>
        <w:pStyle w:val="ListBullet"/>
        <w:ind w:left="317" w:hanging="144"/>
      </w:pPr>
      <w:r>
        <w:t>让集团员工在明确的组织和通信边界内完成单聊、群聊、文件分享及多端同步。</w:t>
      </w:r>
    </w:p>
    <w:p>
      <w:pPr>
        <w:pStyle w:val="ListBullet"/>
        <w:ind w:left="317" w:hanging="144"/>
      </w:pPr>
      <w:r>
        <w:t>让总部、组织和部门管理员按授权范围管理人员、通讯录、策略和审计。</w:t>
      </w:r>
    </w:p>
    <w:p>
      <w:pPr>
        <w:pStyle w:val="ListBullet"/>
        <w:ind w:left="317" w:hanging="144"/>
      </w:pPr>
      <w:r>
        <w:t>支持兼岗、借调、调动、跨组织任职与单组织离职，避免把人员错误地绑定到一个 org_id。</w:t>
      </w:r>
    </w:p>
    <w:p>
      <w:pPr>
        <w:pStyle w:val="ListBullet"/>
        <w:ind w:left="317" w:hanging="144"/>
      </w:pPr>
      <w:r>
        <w:t>在多节点部署下提供消息不丢失、可去重、可追踪、可恢复的交付链路。</w:t>
      </w:r>
    </w:p>
    <w:p>
      <w:pPr>
        <w:pStyle w:val="Heading2"/>
      </w:pPr>
      <w:r>
        <w:t>1.2 功能边界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888"/>
        <w:gridCol w:w="3816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范围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纳入 v2.1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暂不纳入基础版本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身份组织</w:t>
            </w:r>
          </w:p>
        </w:tc>
        <w:tc>
          <w:tcPr>
            <w:tcW w:type="dxa" w:w="38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Tenant、Organization、Department、User、Membership、Scoped Role</w:t>
            </w:r>
          </w:p>
        </w:tc>
        <w:tc>
          <w:tcPr>
            <w:tcW w:type="dxa" w:w="38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复杂人事薪酬主数据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协作</w:t>
            </w:r>
          </w:p>
        </w:tc>
        <w:tc>
          <w:tcPr>
            <w:tcW w:type="dxa" w:w="388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单聊、群聊、消息状态、文件、搜索、通知</w:t>
            </w:r>
          </w:p>
        </w:tc>
        <w:tc>
          <w:tcPr>
            <w:tcW w:type="dxa" w:w="38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音视频会议、外部联系人联邦互通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治理</w:t>
            </w:r>
          </w:p>
        </w:tc>
        <w:tc>
          <w:tcPr>
            <w:tcW w:type="dxa" w:w="38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通信策略、通讯录可见、审计、离职和调动流程</w:t>
            </w:r>
          </w:p>
        </w:tc>
        <w:tc>
          <w:tcPr>
            <w:tcW w:type="dxa" w:w="38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全面 DLP 和内容合规智能判别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部署</w:t>
            </w:r>
          </w:p>
        </w:tc>
        <w:tc>
          <w:tcPr>
            <w:tcW w:type="dxa" w:w="388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私有化单集群、高可用、备份恢复、可观测</w:t>
            </w:r>
          </w:p>
        </w:tc>
        <w:tc>
          <w:tcPr>
            <w:tcW w:type="dxa" w:w="38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跨地域双活</w:t>
            </w:r>
          </w:p>
        </w:tc>
      </w:tr>
    </w:tbl>
    <w:p>
      <w:pPr>
        <w:spacing w:after="20"/>
      </w:pPr>
    </w:p>
    <w:p>
      <w:pPr>
        <w:pStyle w:val="Heading2"/>
      </w:pPr>
      <w:r>
        <w:t>1.3 关键业务术语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rPr>
          <w:tblHeader/>
          <w:cantSplit/>
        </w:trPr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术语</w:t>
            </w:r>
          </w:p>
        </w:tc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Tenant</w:t>
            </w:r>
          </w:p>
        </w:tc>
        <w:tc>
          <w:tcPr>
            <w:tcW w:type="dxa" w:w="74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一个集团客户的数据和策略隔离边界。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Organization</w:t>
            </w:r>
          </w:p>
        </w:tc>
        <w:tc>
          <w:tcPr>
            <w:tcW w:type="dxa" w:w="74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总部、法人公司、分公司、事业部或海外组织，可形成树。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Department</w:t>
            </w:r>
          </w:p>
        </w:tc>
        <w:tc>
          <w:tcPr>
            <w:tcW w:type="dxa" w:w="74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某一 Organization 内的部门树，不跨组织挂载。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Membership</w:t>
            </w:r>
          </w:p>
        </w:tc>
        <w:tc>
          <w:tcPr>
            <w:tcW w:type="dxa" w:w="74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用户在组织或部门的任职关系，携带状态、岗位与主任职标记。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Scope</w:t>
            </w:r>
          </w:p>
        </w:tc>
        <w:tc>
          <w:tcPr>
            <w:tcW w:type="dxa" w:w="74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管理员可操作的资源范围，集团、组织、部门或指定会话。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Communication Policy</w:t>
            </w:r>
          </w:p>
        </w:tc>
        <w:tc>
          <w:tcPr>
            <w:tcW w:type="dxa" w:w="74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判断人员是否可见、可发起通信、可建跨组织群的策略集合。</w:t>
            </w:r>
          </w:p>
        </w:tc>
      </w:tr>
    </w:tbl>
    <w:p>
      <w:pPr>
        <w:spacing w:after="20"/>
      </w:pPr>
    </w:p>
    <w:p>
      <w:pPr>
        <w:pStyle w:val="Heading1"/>
      </w:pPr>
      <w:r>
        <w:t>2 用户角色与关键场景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752"/>
        <w:gridCol w:w="2664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角色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主要能力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默认范围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普通员工</w:t>
            </w:r>
          </w:p>
        </w:tc>
        <w:tc>
          <w:tcPr>
            <w:tcW w:type="dxa" w:w="475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查找可见同事、单聊、加入获准群聊、发送文件</w:t>
            </w:r>
          </w:p>
        </w:tc>
        <w:tc>
          <w:tcPr>
            <w:tcW w:type="dxa" w:w="266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本人及策略允许的联系人和会话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群主与群管理员</w:t>
            </w:r>
          </w:p>
        </w:tc>
        <w:tc>
          <w:tcPr>
            <w:tcW w:type="dxa" w:w="475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邀请或移除成员、设置群资料、处理群内管理</w:t>
            </w:r>
          </w:p>
        </w:tc>
        <w:tc>
          <w:tcPr>
            <w:tcW w:type="dxa" w:w="266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获授权的会话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部门管理员</w:t>
            </w:r>
          </w:p>
        </w:tc>
        <w:tc>
          <w:tcPr>
            <w:tcW w:type="dxa" w:w="475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维护部门人员和基础信息</w:t>
            </w:r>
          </w:p>
        </w:tc>
        <w:tc>
          <w:tcPr>
            <w:tcW w:type="dxa" w:w="266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授权部门及子部门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组织管理员</w:t>
            </w:r>
          </w:p>
        </w:tc>
        <w:tc>
          <w:tcPr>
            <w:tcW w:type="dxa" w:w="475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管理本组织人员、部门和组织级策略</w:t>
            </w:r>
          </w:p>
        </w:tc>
        <w:tc>
          <w:tcPr>
            <w:tcW w:type="dxa" w:w="266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授权组织及其子树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集团管理员</w:t>
            </w:r>
          </w:p>
        </w:tc>
        <w:tc>
          <w:tcPr>
            <w:tcW w:type="dxa" w:w="475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管理组织树、集团策略、身份源和委派权限</w:t>
            </w:r>
          </w:p>
        </w:tc>
        <w:tc>
          <w:tcPr>
            <w:tcW w:type="dxa" w:w="266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本 Tenant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审计员</w:t>
            </w:r>
          </w:p>
        </w:tc>
        <w:tc>
          <w:tcPr>
            <w:tcW w:type="dxa" w:w="475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查询审计事件和授权范围内的消息元数据</w:t>
            </w:r>
          </w:p>
        </w:tc>
        <w:tc>
          <w:tcPr>
            <w:tcW w:type="dxa" w:w="266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独立授予的审计 Scope</w:t>
            </w:r>
          </w:p>
        </w:tc>
      </w:tr>
    </w:tbl>
    <w:p>
      <w:pPr>
        <w:spacing w:after="20"/>
      </w:pPr>
    </w:p>
    <w:p>
      <w:pPr>
        <w:pStyle w:val="Heading2"/>
      </w:pPr>
      <w:r>
        <w:t>2.1 必须覆盖的业务场景</w:t>
      </w:r>
    </w:p>
    <w:p>
      <w:pPr>
        <w:ind w:left="360" w:hanging="259"/>
      </w:pPr>
      <w:r>
        <w:t>1.  集团领导同时任职总部与子公司；两个任职均可在人员详情中展示，仅一个设为主任职。</w:t>
      </w:r>
    </w:p>
    <w:p>
      <w:pPr>
        <w:ind w:left="360" w:hanging="259"/>
      </w:pPr>
      <w:r>
        <w:t>2.  员工从 A 公司调至 B 公司：新任职先建立，再依规则撤销旧任职；历史消息主体不改变。</w:t>
      </w:r>
    </w:p>
    <w:p>
      <w:pPr>
        <w:ind w:left="360" w:hanging="259"/>
      </w:pPr>
      <w:r>
        <w:t>3.  A 子公司与 B 子公司默认隔离，但项目白名单允许指定人员跨组织单聊与建群。</w:t>
      </w:r>
    </w:p>
    <w:p>
      <w:pPr>
        <w:ind w:left="360" w:hanging="259"/>
      </w:pPr>
      <w:r>
        <w:t>4.  员工仅从一家子公司离职时保留集团账号及其他任职；集团离职时统一冻结账号与会话凭证。</w:t>
      </w:r>
    </w:p>
    <w:p>
      <w:pPr>
        <w:ind w:left="360" w:hanging="259"/>
      </w:pPr>
      <w:r>
        <w:t>5.  集团管理员可跨组织治理；组织管理员访问其他组织资源时应被拒绝并记录审计事件。</w:t>
      </w:r>
    </w:p>
    <w:p>
      <w:pPr>
        <w:pStyle w:val="Heading1"/>
      </w:pPr>
      <w:r>
        <w:t>3 集团组织与人员模型</w:t>
      </w:r>
    </w:p>
    <w:p>
      <w:pPr>
        <w:pStyle w:val="Heading2"/>
      </w:pPr>
      <w:r>
        <w:t>3.1 层级与关系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176"/>
        <w:gridCol w:w="3024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实体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关键字段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约束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tenants</w:t>
            </w:r>
          </w:p>
        </w:tc>
        <w:tc>
          <w:tcPr>
            <w:tcW w:type="dxa" w:w="41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id, code, name, status</w:t>
            </w:r>
          </w:p>
        </w:tc>
        <w:tc>
          <w:tcPr>
            <w:tcW w:type="dxa" w:w="302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tenant_id 是所有业务数据的顶层隔离键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organizations</w:t>
            </w:r>
          </w:p>
        </w:tc>
        <w:tc>
          <w:tcPr>
            <w:tcW w:type="dxa" w:w="41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id, tenant_id, parent_id, org_type, code, name, status</w:t>
            </w:r>
          </w:p>
        </w:tc>
        <w:tc>
          <w:tcPr>
            <w:tcW w:type="dxa" w:w="302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同租户内编码唯一；父节点须属于同租户；禁止树循环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departments</w:t>
            </w:r>
          </w:p>
        </w:tc>
        <w:tc>
          <w:tcPr>
            <w:tcW w:type="dxa" w:w="41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id, tenant_id, organization_id, parent_id, code, name</w:t>
            </w:r>
          </w:p>
        </w:tc>
        <w:tc>
          <w:tcPr>
            <w:tcW w:type="dxa" w:w="302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父部门必须在同一组织；不可跨组织挂载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users</w:t>
            </w:r>
          </w:p>
        </w:tc>
        <w:tc>
          <w:tcPr>
            <w:tcW w:type="dxa" w:w="41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id, tenant_id, global_employee_no, display_name, status</w:t>
            </w:r>
          </w:p>
        </w:tc>
        <w:tc>
          <w:tcPr>
            <w:tcW w:type="dxa" w:w="302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用户主体独立于任何单一组织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user_organizations</w:t>
            </w:r>
          </w:p>
        </w:tc>
        <w:tc>
          <w:tcPr>
            <w:tcW w:type="dxa" w:w="41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user_id, organization_id, employee_no, title, is_primary, status</w:t>
            </w:r>
          </w:p>
        </w:tc>
        <w:tc>
          <w:tcPr>
            <w:tcW w:type="dxa" w:w="302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支持多组织；同用户最多一个有效主组织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user_departments</w:t>
            </w:r>
          </w:p>
        </w:tc>
        <w:tc>
          <w:tcPr>
            <w:tcW w:type="dxa" w:w="41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user_id, department_id, is_primary, status</w:t>
            </w:r>
          </w:p>
        </w:tc>
        <w:tc>
          <w:tcPr>
            <w:tcW w:type="dxa" w:w="302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仅能挂在用户有效组织成员关系之下</w:t>
            </w:r>
          </w:p>
        </w:tc>
      </w:tr>
    </w:tbl>
    <w:p>
      <w:pPr>
        <w:spacing w:after="20"/>
      </w:pPr>
    </w:p>
    <w:p>
      <w:pPr>
        <w:pStyle w:val="Heading2"/>
      </w:pPr>
      <w:r>
        <w:t>3.2 组织树示例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744"/>
        <w:gridCol w:w="4176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层级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示例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设计含义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集团</w:t>
            </w:r>
          </w:p>
        </w:tc>
        <w:tc>
          <w:tcPr>
            <w:tcW w:type="dxa" w:w="37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XX 集团</w:t>
            </w:r>
          </w:p>
        </w:tc>
        <w:tc>
          <w:tcPr>
            <w:tcW w:type="dxa" w:w="41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一个 Tenant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总部</w:t>
            </w:r>
          </w:p>
        </w:tc>
        <w:tc>
          <w:tcPr>
            <w:tcW w:type="dxa" w:w="37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集团总部／信息中心</w:t>
            </w:r>
          </w:p>
        </w:tc>
        <w:tc>
          <w:tcPr>
            <w:tcW w:type="dxa" w:w="41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总部也是 Organization，信息中心是 Department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子公司</w:t>
            </w:r>
          </w:p>
        </w:tc>
        <w:tc>
          <w:tcPr>
            <w:tcW w:type="dxa" w:w="37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上海制造有限公司／生产部</w:t>
            </w:r>
          </w:p>
        </w:tc>
        <w:tc>
          <w:tcPr>
            <w:tcW w:type="dxa" w:w="41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子公司 Organization 与其部门独立管理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事业部</w:t>
            </w:r>
          </w:p>
        </w:tc>
        <w:tc>
          <w:tcPr>
            <w:tcW w:type="dxa" w:w="37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苏州精密科技有限公司／CNC 事业部</w:t>
            </w:r>
          </w:p>
        </w:tc>
        <w:tc>
          <w:tcPr>
            <w:tcW w:type="dxa" w:w="41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按管理与法人属性确定 org_type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海外组织</w:t>
            </w:r>
          </w:p>
        </w:tc>
        <w:tc>
          <w:tcPr>
            <w:tcW w:type="dxa" w:w="37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日本子公司／营业部</w:t>
            </w:r>
          </w:p>
        </w:tc>
        <w:tc>
          <w:tcPr>
            <w:tcW w:type="dxa" w:w="41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名称可多语言；身份与审计仍归属同一 Tenant</w:t>
            </w:r>
          </w:p>
        </w:tc>
      </w:tr>
    </w:tbl>
    <w:p>
      <w:pPr>
        <w:spacing w:after="20"/>
      </w:pPr>
    </w:p>
    <w:p>
      <w:pPr>
        <w:pStyle w:val="Heading2"/>
      </w:pPr>
      <w:r>
        <w:t>3.3 数据不变量</w:t>
      </w:r>
    </w:p>
    <w:p>
      <w:pPr>
        <w:pStyle w:val="ListBullet"/>
        <w:ind w:left="317" w:hanging="144"/>
      </w:pPr>
      <w:r>
        <w:t>外键关联必须保证 tenant_id 一致；跨租户 ID 即使存在也不可读取或写入。</w:t>
      </w:r>
    </w:p>
    <w:p>
      <w:pPr>
        <w:pStyle w:val="ListBullet"/>
        <w:ind w:left="317" w:hanging="144"/>
      </w:pPr>
      <w:r>
        <w:t>删除组织采用停用和历史保留，不级联删除用户、消息及审计。</w:t>
      </w:r>
    </w:p>
    <w:p>
      <w:pPr>
        <w:pStyle w:val="ListBullet"/>
        <w:ind w:left="317" w:hanging="144"/>
      </w:pPr>
      <w:r>
        <w:t>用户身份稳定，组织调动不重写历史消息的 sender_user_id。</w:t>
      </w:r>
    </w:p>
    <w:p>
      <w:pPr>
        <w:pStyle w:val="ListBullet"/>
        <w:ind w:left="317" w:hanging="144"/>
      </w:pPr>
      <w:r>
        <w:t>主任职变更与可见范围刷新应在同一管理流程内完成，并使缓存失效。</w:t>
      </w:r>
    </w:p>
    <w:p>
      <w:pPr>
        <w:pStyle w:val="Heading1"/>
      </w:pPr>
      <w:r>
        <w:t>4 任职生命周期与身份源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960"/>
        <w:gridCol w:w="3888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事件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事务动作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权限与会话后果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加入组织</w:t>
            </w:r>
          </w:p>
        </w:tc>
        <w:tc>
          <w:tcPr>
            <w:tcW w:type="dxa" w:w="396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创建 user_organizations；可选建立部门任职；写审计</w:t>
            </w:r>
          </w:p>
        </w:tc>
        <w:tc>
          <w:tcPr>
            <w:tcW w:type="dxa" w:w="38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计算新 Scope 和通讯录可见性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兼岗或借调</w:t>
            </w:r>
          </w:p>
        </w:tc>
        <w:tc>
          <w:tcPr>
            <w:tcW w:type="dxa" w:w="396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增加任职并记录生效区间与来源</w:t>
            </w:r>
          </w:p>
        </w:tc>
        <w:tc>
          <w:tcPr>
            <w:tcW w:type="dxa" w:w="388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依据组织策略授予有限跨组织能力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跨组织调动</w:t>
            </w:r>
          </w:p>
        </w:tc>
        <w:tc>
          <w:tcPr>
            <w:tcW w:type="dxa" w:w="396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建立目标任职，确认交接后停用来源任职</w:t>
            </w:r>
          </w:p>
        </w:tc>
        <w:tc>
          <w:tcPr>
            <w:tcW w:type="dxa" w:w="38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历史群成员资格按策略复核，禁止自动泄漏历史文件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单组织离职</w:t>
            </w:r>
          </w:p>
        </w:tc>
        <w:tc>
          <w:tcPr>
            <w:tcW w:type="dxa" w:w="396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仅停用对应任职和部门关系</w:t>
            </w:r>
          </w:p>
        </w:tc>
        <w:tc>
          <w:tcPr>
            <w:tcW w:type="dxa" w:w="388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撤销该组织管理权、通讯录可见及策略豁免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集团离职</w:t>
            </w:r>
          </w:p>
        </w:tc>
        <w:tc>
          <w:tcPr>
            <w:tcW w:type="dxa" w:w="396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冻结 user；吊销所有会话和设备令牌</w:t>
            </w:r>
          </w:p>
        </w:tc>
        <w:tc>
          <w:tcPr>
            <w:tcW w:type="dxa" w:w="38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禁止登录及收发消息，保留审计和历史记录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恢复任职</w:t>
            </w:r>
          </w:p>
        </w:tc>
        <w:tc>
          <w:tcPr>
            <w:tcW w:type="dxa" w:w="396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审批后重新激活任职</w:t>
            </w:r>
          </w:p>
        </w:tc>
        <w:tc>
          <w:tcPr>
            <w:tcW w:type="dxa" w:w="388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重新评估所有 Scope，不能无条件恢复旧白名单</w:t>
            </w:r>
          </w:p>
        </w:tc>
      </w:tr>
    </w:tbl>
    <w:p>
      <w:pPr>
        <w:spacing w:after="20"/>
      </w:pPr>
    </w:p>
    <w:p>
      <w:pPr>
        <w:pStyle w:val="Heading2"/>
      </w:pPr>
      <w:r>
        <w:t>4.1 多身份源映射</w:t>
      </w:r>
    </w:p>
    <w:p>
      <w:r>
        <w:t>identity_providers 记录 OIDC、LDAP 或 AD 配置及适用组织；external_identities 以 provider_id 和外部 subject 唯一映射内部 user_id。登录时先验证外部身份，再解析集团用户与有效任职。多个身份源映射到同一用户需管理员确认并留痕，不可仅凭姓名自动合并。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1F5F9"/>
            <w:tcBorders>
              <w:top w:val="single" w:sz="4" w:color="C6D2DE"/>
              <w:left w:val="single" w:sz="4" w:color="C6D2DE"/>
              <w:bottom w:val="single" w:sz="4" w:color="C6D2DE"/>
              <w:right w:val="single" w:sz="4" w:color="C6D2DE"/>
            </w:tcBorders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安全约束  停用身份源不删除用户；同步失败不自动扩大权限。管理员应能查看最近同步时间、失败量和映射冲突。</w:t>
            </w:r>
          </w:p>
        </w:tc>
      </w:tr>
    </w:tbl>
    <w:p>
      <w:pPr>
        <w:spacing w:after="20"/>
      </w:pPr>
    </w:p>
    <w:p>
      <w:pPr>
        <w:pStyle w:val="Heading1"/>
      </w:pPr>
      <w:r>
        <w:t>5 权限与资源范围</w:t>
      </w:r>
    </w:p>
    <w:p>
      <w:pPr>
        <w:pStyle w:val="Heading2"/>
      </w:pPr>
      <w:r>
        <w:t>5.1 授权模型</w:t>
      </w:r>
    </w:p>
    <w:p>
      <w:r>
        <w:t>权限由角色动作与 Scope 共同决定。判定输入为 tenant_id、actor_user_id、action、resource_type、resource_id 和当前组织上下文。先校验租户一致与账号状态，再求角色授权，最后应用通信策略及资源级限制。默认拒绝。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240"/>
        <w:gridCol w:w="4104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Scope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典型资源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TENANT</w:t>
            </w:r>
          </w:p>
        </w:tc>
        <w:tc>
          <w:tcPr>
            <w:tcW w:type="dxa" w:w="32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所有组织、集团策略</w:t>
            </w:r>
          </w:p>
        </w:tc>
        <w:tc>
          <w:tcPr>
            <w:tcW w:type="dxa" w:w="410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集团管理员创建子公司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ORGANIZATION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组织及允许的子树</w:t>
            </w:r>
          </w:p>
        </w:tc>
        <w:tc>
          <w:tcPr>
            <w:tcW w:type="dxa" w:w="410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子公司管理员维护本公司部门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DEPARTMENT</w:t>
            </w:r>
          </w:p>
        </w:tc>
        <w:tc>
          <w:tcPr>
            <w:tcW w:type="dxa" w:w="32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部门及允许的子部门</w:t>
            </w:r>
          </w:p>
        </w:tc>
        <w:tc>
          <w:tcPr>
            <w:tcW w:type="dxa" w:w="410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部门管理员查看本部门成员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CONVERSATION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指定群聊</w:t>
            </w:r>
          </w:p>
        </w:tc>
        <w:tc>
          <w:tcPr>
            <w:tcW w:type="dxa" w:w="410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群管理员移除群成员</w:t>
            </w:r>
          </w:p>
        </w:tc>
      </w:tr>
    </w:tbl>
    <w:p>
      <w:pPr>
        <w:spacing w:after="20"/>
      </w:pPr>
    </w:p>
    <w:p>
      <w:pPr>
        <w:pStyle w:val="Heading2"/>
      </w:pPr>
      <w:r>
        <w:t>5.2 权限矩阵摘要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584"/>
        <w:gridCol w:w="1584"/>
        <w:gridCol w:w="1584"/>
        <w:gridCol w:w="1728"/>
      </w:tblGrid>
      <w:tr>
        <w:trPr>
          <w:tblHeader/>
          <w:cantSplit/>
        </w:trPr>
        <w:tc>
          <w:tcPr>
            <w:tcW w:type="dxa" w:w="1976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操作</w:t>
            </w:r>
          </w:p>
        </w:tc>
        <w:tc>
          <w:tcPr>
            <w:tcW w:type="dxa" w:w="1976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集团管理员</w:t>
            </w:r>
          </w:p>
        </w:tc>
        <w:tc>
          <w:tcPr>
            <w:tcW w:type="dxa" w:w="1976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组织管理员</w:t>
            </w:r>
          </w:p>
        </w:tc>
        <w:tc>
          <w:tcPr>
            <w:tcW w:type="dxa" w:w="1976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部门管理员</w:t>
            </w:r>
          </w:p>
        </w:tc>
        <w:tc>
          <w:tcPr>
            <w:tcW w:type="dxa" w:w="1976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普通员工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修改组织结构</w:t>
            </w:r>
          </w:p>
        </w:tc>
        <w:tc>
          <w:tcPr>
            <w:tcW w:type="dxa" w:w="15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全集团</w:t>
            </w:r>
          </w:p>
        </w:tc>
        <w:tc>
          <w:tcPr>
            <w:tcW w:type="dxa" w:w="15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授权组织内</w:t>
            </w:r>
          </w:p>
        </w:tc>
        <w:tc>
          <w:tcPr>
            <w:tcW w:type="dxa" w:w="15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无</w:t>
            </w:r>
          </w:p>
        </w:tc>
        <w:tc>
          <w:tcPr>
            <w:tcW w:type="dxa" w:w="17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管理任职</w:t>
            </w:r>
          </w:p>
        </w:tc>
        <w:tc>
          <w:tcPr>
            <w:tcW w:type="dxa" w:w="15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全集团</w:t>
            </w:r>
          </w:p>
        </w:tc>
        <w:tc>
          <w:tcPr>
            <w:tcW w:type="dxa" w:w="15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授权组织内</w:t>
            </w:r>
          </w:p>
        </w:tc>
        <w:tc>
          <w:tcPr>
            <w:tcW w:type="dxa" w:w="15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授权部门内</w:t>
            </w:r>
          </w:p>
        </w:tc>
        <w:tc>
          <w:tcPr>
            <w:tcW w:type="dxa" w:w="172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维护通信策略</w:t>
            </w:r>
          </w:p>
        </w:tc>
        <w:tc>
          <w:tcPr>
            <w:tcW w:type="dxa" w:w="15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集团及委派</w:t>
            </w:r>
          </w:p>
        </w:tc>
        <w:tc>
          <w:tcPr>
            <w:tcW w:type="dxa" w:w="15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组织级委派</w:t>
            </w:r>
          </w:p>
        </w:tc>
        <w:tc>
          <w:tcPr>
            <w:tcW w:type="dxa" w:w="15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无</w:t>
            </w:r>
          </w:p>
        </w:tc>
        <w:tc>
          <w:tcPr>
            <w:tcW w:type="dxa" w:w="17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创建跨法人群</w:t>
            </w:r>
          </w:p>
        </w:tc>
        <w:tc>
          <w:tcPr>
            <w:tcW w:type="dxa" w:w="15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受策略约束</w:t>
            </w:r>
          </w:p>
        </w:tc>
        <w:tc>
          <w:tcPr>
            <w:tcW w:type="dxa" w:w="15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受策略约束</w:t>
            </w:r>
          </w:p>
        </w:tc>
        <w:tc>
          <w:tcPr>
            <w:tcW w:type="dxa" w:w="15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受策略约束</w:t>
            </w:r>
          </w:p>
        </w:tc>
        <w:tc>
          <w:tcPr>
            <w:tcW w:type="dxa" w:w="172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受策略约束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查询审计</w:t>
            </w:r>
          </w:p>
        </w:tc>
        <w:tc>
          <w:tcPr>
            <w:tcW w:type="dxa" w:w="15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需审计授权</w:t>
            </w:r>
          </w:p>
        </w:tc>
        <w:tc>
          <w:tcPr>
            <w:tcW w:type="dxa" w:w="15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需审计授权</w:t>
            </w:r>
          </w:p>
        </w:tc>
        <w:tc>
          <w:tcPr>
            <w:tcW w:type="dxa" w:w="15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无</w:t>
            </w:r>
          </w:p>
        </w:tc>
        <w:tc>
          <w:tcPr>
            <w:tcW w:type="dxa" w:w="17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无</w:t>
            </w:r>
          </w:p>
        </w:tc>
      </w:tr>
    </w:tbl>
    <w:p>
      <w:pPr>
        <w:spacing w:after="20"/>
      </w:pPr>
    </w:p>
    <w:p>
      <w:pPr>
        <w:pStyle w:val="ListBullet"/>
        <w:ind w:left="317" w:hanging="144"/>
      </w:pPr>
      <w:r>
        <w:t>管理员角色不能绕过 Tenant 隔离，也不能隐式绕过通信策略。</w:t>
      </w:r>
    </w:p>
    <w:p>
      <w:pPr>
        <w:pStyle w:val="ListBullet"/>
        <w:ind w:left="317" w:hanging="144"/>
      </w:pPr>
      <w:r>
        <w:t>每一次敏感管理操作记录操作者、对象、旧值摘要、新值摘要、时间和请求来源。</w:t>
      </w:r>
    </w:p>
    <w:p>
      <w:pPr>
        <w:pStyle w:val="ListBullet"/>
        <w:ind w:left="317" w:hanging="144"/>
      </w:pPr>
      <w:r>
        <w:t>授权缓存按用户、租户与权限版本管理，策略或任职改变时立即失效。</w:t>
      </w:r>
    </w:p>
    <w:p>
      <w:pPr>
        <w:pStyle w:val="Heading1"/>
      </w:pPr>
      <w:r>
        <w:t>6 通信边界策略引擎</w:t>
      </w:r>
    </w:p>
    <w:p>
      <w:pPr>
        <w:pStyle w:val="Heading2"/>
      </w:pPr>
      <w:r>
        <w:t>6.1 策略目标</w:t>
      </w:r>
    </w:p>
    <w:p>
      <w:r>
        <w:t>通讯录可见、搜索命中、发起单聊、发送消息、邀请进群、跨法人建群和文件下载必须调用统一的策略判定服务。策略版本随决策写入审计，便于解释“当时为何允许或拒绝”。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104"/>
        <w:gridCol w:w="3528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策略维度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可选规则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默认建议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人员可见</w:t>
            </w:r>
          </w:p>
        </w:tc>
        <w:tc>
          <w:tcPr>
            <w:tcW w:type="dxa" w:w="410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全集团／同组织／白名单／隐藏</w:t>
            </w:r>
          </w:p>
        </w:tc>
        <w:tc>
          <w:tcPr>
            <w:tcW w:type="dxa" w:w="35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同组织可见；跨组织显式授权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单聊</w:t>
            </w:r>
          </w:p>
        </w:tc>
        <w:tc>
          <w:tcPr>
            <w:tcW w:type="dxa" w:w="410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全集团／同组织／白名单／禁止</w:t>
            </w:r>
          </w:p>
        </w:tc>
        <w:tc>
          <w:tcPr>
            <w:tcW w:type="dxa" w:w="352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同组织允许；跨组织需策略允许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群聊</w:t>
            </w:r>
          </w:p>
        </w:tc>
        <w:tc>
          <w:tcPr>
            <w:tcW w:type="dxa" w:w="410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同组织／跨组织／跨法人审批</w:t>
            </w:r>
          </w:p>
        </w:tc>
        <w:tc>
          <w:tcPr>
            <w:tcW w:type="dxa" w:w="35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跨法人建群需显式允许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文件</w:t>
            </w:r>
          </w:p>
        </w:tc>
        <w:tc>
          <w:tcPr>
            <w:tcW w:type="dxa" w:w="410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沿用会话权限／额外密级限制</w:t>
            </w:r>
          </w:p>
        </w:tc>
        <w:tc>
          <w:tcPr>
            <w:tcW w:type="dxa" w:w="352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下载时重新校验当前会话与文件权限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外派人员</w:t>
            </w:r>
          </w:p>
        </w:tc>
        <w:tc>
          <w:tcPr>
            <w:tcW w:type="dxa" w:w="410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临时白名单与失效时间</w:t>
            </w:r>
          </w:p>
        </w:tc>
        <w:tc>
          <w:tcPr>
            <w:tcW w:type="dxa" w:w="35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必须设置有效期并可审计</w:t>
            </w:r>
          </w:p>
        </w:tc>
      </w:tr>
    </w:tbl>
    <w:p>
      <w:pPr>
        <w:spacing w:after="20"/>
      </w:pPr>
    </w:p>
    <w:p>
      <w:pPr>
        <w:pStyle w:val="Heading2"/>
      </w:pPr>
      <w:r>
        <w:t>6.2 决策顺序</w:t>
      </w:r>
    </w:p>
    <w:p>
      <w:pPr>
        <w:ind w:left="360" w:hanging="259"/>
      </w:pPr>
      <w:r>
        <w:t>1.  硬性拒绝：租户不一致、账号冻结、任职无效、目标资源停用。</w:t>
      </w:r>
    </w:p>
    <w:p>
      <w:pPr>
        <w:ind w:left="360" w:hanging="259"/>
      </w:pPr>
      <w:r>
        <w:t>2.  检查显式拒绝和组织隔离；拒绝规则优先于允许。</w:t>
      </w:r>
    </w:p>
    <w:p>
      <w:pPr>
        <w:ind w:left="360" w:hanging="259"/>
      </w:pPr>
      <w:r>
        <w:t>3.  检查指定白名单、组织间规则及会话内成员资格。</w:t>
      </w:r>
    </w:p>
    <w:p>
      <w:pPr>
        <w:ind w:left="360" w:hanging="259"/>
      </w:pPr>
      <w:r>
        <w:t>4.  应用操作级限制，例如跨法人建群审批、文件密级。</w:t>
      </w:r>
    </w:p>
    <w:p>
      <w:pPr>
        <w:ind w:left="360" w:hanging="259"/>
      </w:pPr>
      <w:r>
        <w:t>5.  返回 allow 或 deny、规则 ID、策略版本与可解释原因。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1F5F9"/>
            <w:tcBorders>
              <w:top w:val="single" w:sz="4" w:color="C6D2DE"/>
              <w:left w:val="single" w:sz="4" w:color="C6D2DE"/>
              <w:bottom w:val="single" w:sz="4" w:color="C6D2DE"/>
              <w:right w:val="single" w:sz="4" w:color="C6D2DE"/>
            </w:tcBorders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一致性  搜索和通讯录列表是可见性过滤；实际发消息与下载文件仍需实时复核，不能只信前端隐藏。</w:t>
            </w:r>
          </w:p>
        </w:tc>
      </w:tr>
    </w:tbl>
    <w:p>
      <w:pPr>
        <w:spacing w:after="20"/>
      </w:pPr>
    </w:p>
    <w:p>
      <w:pPr>
        <w:pStyle w:val="Heading1"/>
      </w:pPr>
      <w:r>
        <w:t>7 通讯录与用户体验</w:t>
      </w:r>
    </w:p>
    <w:p>
      <w:pPr>
        <w:pStyle w:val="ListBullet"/>
        <w:ind w:left="317" w:hanging="144"/>
      </w:pPr>
      <w:r>
        <w:t>集团通讯录按组织树浏览，可搜索姓名、工号、岗位和部门；结果仅显示当前用户可见范围。</w:t>
      </w:r>
    </w:p>
    <w:p>
      <w:pPr>
        <w:pStyle w:val="ListBullet"/>
        <w:ind w:left="317" w:hanging="144"/>
      </w:pPr>
      <w:r>
        <w:t>人员详情展示多个组织任职、主任职、职位、部门和可用联系入口；对不可见任职不展示。</w:t>
      </w:r>
    </w:p>
    <w:p>
      <w:pPr>
        <w:pStyle w:val="ListBullet"/>
        <w:ind w:left="317" w:hanging="144"/>
      </w:pPr>
      <w:r>
        <w:t>切换组织上下文改变管理操作的默认 Scope，但不复制用户账号或历史会话。</w:t>
      </w:r>
    </w:p>
    <w:p>
      <w:pPr>
        <w:pStyle w:val="ListBullet"/>
        <w:ind w:left="317" w:hanging="144"/>
      </w:pPr>
      <w:r>
        <w:t>组织停用、任职变更和策略更新后，搜索索引与缓存应在约定时限内刷新；敏感操作使用实时校验。</w:t>
      </w:r>
    </w:p>
    <w:p>
      <w:pPr>
        <w:pStyle w:val="ListBullet"/>
        <w:ind w:left="317" w:hanging="144"/>
      </w:pPr>
      <w:r>
        <w:t>被拒绝的跨组织联系给出清晰原因与申请路径，不泄露不可见人员的详细信息。</w:t>
      </w:r>
    </w:p>
    <w:p>
      <w:pPr>
        <w:pStyle w:val="Heading1"/>
      </w:pPr>
      <w:r>
        <w:t>8 即时通信功能需求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824"/>
        <w:gridCol w:w="3096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能力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核心要求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验收关注点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单聊</w:t>
            </w:r>
          </w:p>
        </w:tc>
        <w:tc>
          <w:tcPr>
            <w:tcW w:type="dxa" w:w="482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发起前做策略检查；同一参与者组合复用会话；消息按会话排序</w:t>
            </w:r>
          </w:p>
        </w:tc>
        <w:tc>
          <w:tcPr>
            <w:tcW w:type="dxa" w:w="309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重复请求不会生成重复会话或消息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群聊</w:t>
            </w:r>
          </w:p>
        </w:tc>
        <w:tc>
          <w:tcPr>
            <w:tcW w:type="dxa" w:w="482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创建、邀请、退群、解散、管理员委派；跨组织成员逐一校验</w:t>
            </w:r>
          </w:p>
        </w:tc>
        <w:tc>
          <w:tcPr>
            <w:tcW w:type="dxa" w:w="309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策略变化时阻止新增违规成员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消息</w:t>
            </w:r>
          </w:p>
        </w:tc>
        <w:tc>
          <w:tcPr>
            <w:tcW w:type="dxa" w:w="482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文本、图片、文件、撤回、引用、未读与搜索</w:t>
            </w:r>
          </w:p>
        </w:tc>
        <w:tc>
          <w:tcPr>
            <w:tcW w:type="dxa" w:w="309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撤回保留操作审计；服务端序号单调递增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状态</w:t>
            </w:r>
          </w:p>
        </w:tc>
        <w:tc>
          <w:tcPr>
            <w:tcW w:type="dxa" w:w="482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已发送、已送达、已读按设备和用户汇总</w:t>
            </w:r>
          </w:p>
        </w:tc>
        <w:tc>
          <w:tcPr>
            <w:tcW w:type="dxa" w:w="309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重连后状态可恢复，不倒退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多端</w:t>
            </w:r>
          </w:p>
        </w:tc>
        <w:tc>
          <w:tcPr>
            <w:tcW w:type="dxa" w:w="482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设备管理、登录态、离线补拉、同步游标</w:t>
            </w:r>
          </w:p>
        </w:tc>
        <w:tc>
          <w:tcPr>
            <w:tcW w:type="dxa" w:w="309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多设备消息顺序一致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文件</w:t>
            </w:r>
          </w:p>
        </w:tc>
        <w:tc>
          <w:tcPr>
            <w:tcW w:type="dxa" w:w="482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病毒扫描、类型限制、授权下载、到期清理</w:t>
            </w:r>
          </w:p>
        </w:tc>
        <w:tc>
          <w:tcPr>
            <w:tcW w:type="dxa" w:w="309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下载链接短期有效且访问可审计</w:t>
            </w:r>
          </w:p>
        </w:tc>
      </w:tr>
    </w:tbl>
    <w:p>
      <w:pPr>
        <w:spacing w:after="20"/>
      </w:pPr>
    </w:p>
    <w:p>
      <w:pPr>
        <w:pStyle w:val="Heading2"/>
      </w:pPr>
      <w:r>
        <w:t>8.1 群聊边界</w:t>
      </w:r>
    </w:p>
    <w:p>
      <w:r>
        <w:t>群会话存储创建组织、成员所属任职快照及当前有效成员关系。跨法人群的创建与邀请必须重新执行策略；群成员离职或账号冻结后不可继续读取新消息。历史消息是否保留由会话保留策略决定，不能通过重新入群自动扩大历史可见范围。</w:t>
      </w:r>
    </w:p>
    <w:p>
      <w:pPr>
        <w:pStyle w:val="Heading1"/>
      </w:pPr>
      <w:r>
        <w:t>9 可靠消息链路</w:t>
      </w:r>
    </w:p>
    <w:p>
      <w:pPr>
        <w:pStyle w:val="Heading2"/>
      </w:pPr>
      <w:r>
        <w:t>9.1 写入路径</w:t>
      </w:r>
    </w:p>
    <w:p>
      <w:pPr>
        <w:ind w:left="360" w:hanging="259"/>
      </w:pPr>
      <w:r>
        <w:t>1.  客户端生成 client_msg_id，与 sender_user_id 和 conversation_id 共同构成幂等键。</w:t>
      </w:r>
    </w:p>
    <w:p>
      <w:pPr>
        <w:ind w:left="360" w:hanging="259"/>
      </w:pPr>
      <w:r>
        <w:t>2.  服务端鉴权、策略检查、限流，随后在数据库事务中分配会话 seq、写入 message 和 outbox_event。</w:t>
      </w:r>
    </w:p>
    <w:p>
      <w:pPr>
        <w:ind w:left="360" w:hanging="259"/>
      </w:pPr>
      <w:r>
        <w:t>3.  事务提交后返回服务端 ACK，包含 message_id、conversation_id、seq 和服务器时间。</w:t>
      </w:r>
    </w:p>
    <w:p>
      <w:pPr>
        <w:ind w:left="360" w:hanging="259"/>
      </w:pPr>
      <w:r>
        <w:t>4.  Outbox worker 读取未发布事件并投递至事件总线；WebSocket Gateway 向在线设备推送。</w:t>
      </w:r>
    </w:p>
    <w:p>
      <w:pPr>
        <w:ind w:left="360" w:hanging="259"/>
      </w:pPr>
      <w:r>
        <w:t>5.  设备以 seq/游标确认送达和已读；离线设备重连后按游标补拉。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344"/>
      </w:tblGrid>
      <w:tr>
        <w:trPr>
          <w:tblHeader/>
          <w:cantSplit/>
        </w:trPr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故障情况</w:t>
            </w:r>
          </w:p>
        </w:tc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处理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客户端超时重试</w:t>
            </w:r>
          </w:p>
        </w:tc>
        <w:tc>
          <w:tcPr>
            <w:tcW w:type="dxa" w:w="73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相同 client_msg_id 返回原 message_id 与 seq，不重复落库。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事务失败</w:t>
            </w:r>
          </w:p>
        </w:tc>
        <w:tc>
          <w:tcPr>
            <w:tcW w:type="dxa" w:w="73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无 ACK；客户端可安全重试。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Outbox 发布失败</w:t>
            </w:r>
          </w:p>
        </w:tc>
        <w:tc>
          <w:tcPr>
            <w:tcW w:type="dxa" w:w="73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事件留在数据库，由 worker 重试；监控积压与最老事件年龄。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Gateway 重启或断线</w:t>
            </w:r>
          </w:p>
        </w:tc>
        <w:tc>
          <w:tcPr>
            <w:tcW w:type="dxa" w:w="73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客户端重连后以最近确认 seq 补拉；允许重复推送，客户端按 message_id 去重。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乱序或缺口</w:t>
            </w:r>
          </w:p>
        </w:tc>
        <w:tc>
          <w:tcPr>
            <w:tcW w:type="dxa" w:w="73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客户端按 seq 排序并检测缺口，缺口由同步接口补齐。</w:t>
            </w:r>
          </w:p>
        </w:tc>
      </w:tr>
    </w:tbl>
    <w:p>
      <w:pPr>
        <w:spacing w:after="20"/>
      </w:pPr>
    </w:p>
    <w:p>
      <w:pPr>
        <w:pStyle w:val="Heading2"/>
      </w:pPr>
      <w:r>
        <w:t>9.2 状态定义</w:t>
      </w:r>
    </w:p>
    <w:p>
      <w:r>
        <w:t>sent 表示服务端已持久化并 ACK；delivered 表示目标用户至少一台有效设备确认；read 表示用户在会话中推进已读游标。状态只能向前推进。群聊可展示人数汇总，明细查询需受权限和规模限制。</w:t>
      </w:r>
    </w:p>
    <w:p>
      <w:pPr>
        <w:pStyle w:val="Heading1"/>
      </w:pPr>
      <w:r>
        <w:t>10 技术架构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608"/>
        <w:gridCol w:w="3312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层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职责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主要组件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客户端</w:t>
            </w:r>
          </w:p>
        </w:tc>
        <w:tc>
          <w:tcPr>
            <w:tcW w:type="dxa" w:w="460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会话 UI、离线缓存、重试与游标</w:t>
            </w:r>
          </w:p>
        </w:tc>
        <w:tc>
          <w:tcPr>
            <w:tcW w:type="dxa" w:w="331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Web／桌面／移动端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接入层</w:t>
            </w:r>
          </w:p>
        </w:tc>
        <w:tc>
          <w:tcPr>
            <w:tcW w:type="dxa" w:w="460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TLS、认证、限流、长连接接入</w:t>
            </w:r>
          </w:p>
        </w:tc>
        <w:tc>
          <w:tcPr>
            <w:tcW w:type="dxa" w:w="331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API Gateway、WebSocket Gateway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领域服务</w:t>
            </w:r>
          </w:p>
        </w:tc>
        <w:tc>
          <w:tcPr>
            <w:tcW w:type="dxa" w:w="460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组织、权限、策略、会话、消息、文件</w:t>
            </w:r>
          </w:p>
        </w:tc>
        <w:tc>
          <w:tcPr>
            <w:tcW w:type="dxa" w:w="331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Go 服务模块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异步层</w:t>
            </w:r>
          </w:p>
        </w:tc>
        <w:tc>
          <w:tcPr>
            <w:tcW w:type="dxa" w:w="460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Outbox 发布、推送、索引与通知</w:t>
            </w:r>
          </w:p>
        </w:tc>
        <w:tc>
          <w:tcPr>
            <w:tcW w:type="dxa" w:w="331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Worker、Redis EventBus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存储层</w:t>
            </w:r>
          </w:p>
        </w:tc>
        <w:tc>
          <w:tcPr>
            <w:tcW w:type="dxa" w:w="460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事务数据、缓存、对象文件</w:t>
            </w:r>
          </w:p>
        </w:tc>
        <w:tc>
          <w:tcPr>
            <w:tcW w:type="dxa" w:w="331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PostgreSQL、Redis、MinIO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运维层</w:t>
            </w:r>
          </w:p>
        </w:tc>
        <w:tc>
          <w:tcPr>
            <w:tcW w:type="dxa" w:w="460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指标、追踪、日志、告警、备份</w:t>
            </w:r>
          </w:p>
        </w:tc>
        <w:tc>
          <w:tcPr>
            <w:tcW w:type="dxa" w:w="331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OpenTelemetry、Prometheus、日志平台</w:t>
            </w:r>
          </w:p>
        </w:tc>
      </w:tr>
    </w:tbl>
    <w:p>
      <w:pPr>
        <w:spacing w:after="20"/>
      </w:pPr>
    </w:p>
    <w:p>
      <w:pPr>
        <w:pStyle w:val="Heading2"/>
      </w:pPr>
      <w:r>
        <w:t>10.1 关键边界</w:t>
      </w:r>
    </w:p>
    <w:p>
      <w:pPr>
        <w:pStyle w:val="ListBullet"/>
        <w:ind w:left="317" w:hanging="144"/>
      </w:pPr>
      <w:r>
        <w:t>PostgreSQL 是组织、权限、会话、消息与 Outbox 的事实来源；Redis 不承载唯一持久副本。</w:t>
      </w:r>
    </w:p>
    <w:p>
      <w:pPr>
        <w:pStyle w:val="ListBullet"/>
        <w:ind w:left="317" w:hanging="144"/>
      </w:pPr>
      <w:r>
        <w:t>WebSocket Gateway 无会话业务状态的唯一副本，扩容或故障迁移后客户端可重连补拉。</w:t>
      </w:r>
    </w:p>
    <w:p>
      <w:pPr>
        <w:pStyle w:val="ListBullet"/>
        <w:ind w:left="317" w:hanging="144"/>
      </w:pPr>
      <w:r>
        <w:t>文件对象存于 MinIO，元数据和授权关系存数据库；对象路径不作为可公开访问地址。</w:t>
      </w:r>
    </w:p>
    <w:p>
      <w:pPr>
        <w:pStyle w:val="ListBullet"/>
        <w:ind w:left="317" w:hanging="144"/>
      </w:pPr>
      <w:r>
        <w:t>组织和策略服务提供统一判定 API；业务服务不得各自实现不同的跨组织判断。</w:t>
      </w:r>
    </w:p>
    <w:p>
      <w:pPr>
        <w:pStyle w:val="Heading1"/>
      </w:pPr>
      <w:r>
        <w:t>11 关系数据模型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384"/>
        <w:gridCol w:w="3600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表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主键或唯一约束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关键索引与说明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users</w:t>
            </w:r>
          </w:p>
        </w:tc>
        <w:tc>
          <w:tcPr>
            <w:tcW w:type="dxa" w:w="33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id；tenant_id + global_employee_no</w:t>
            </w:r>
          </w:p>
        </w:tc>
        <w:tc>
          <w:tcPr>
            <w:tcW w:type="dxa" w:w="360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tenant_id, status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organizations</w:t>
            </w:r>
          </w:p>
        </w:tc>
        <w:tc>
          <w:tcPr>
            <w:tcW w:type="dxa" w:w="33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id；tenant_id + code</w:t>
            </w:r>
          </w:p>
        </w:tc>
        <w:tc>
          <w:tcPr>
            <w:tcW w:type="dxa" w:w="360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tenant_id, parent_id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user_organizations</w:t>
            </w:r>
          </w:p>
        </w:tc>
        <w:tc>
          <w:tcPr>
            <w:tcW w:type="dxa" w:w="33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id；user_id + organization_id + 有效期</w:t>
            </w:r>
          </w:p>
        </w:tc>
        <w:tc>
          <w:tcPr>
            <w:tcW w:type="dxa" w:w="360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organization_id, status；主任职唯一约束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departments／user_departments</w:t>
            </w:r>
          </w:p>
        </w:tc>
        <w:tc>
          <w:tcPr>
            <w:tcW w:type="dxa" w:w="33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id；组织内 code 唯一</w:t>
            </w:r>
          </w:p>
        </w:tc>
        <w:tc>
          <w:tcPr>
            <w:tcW w:type="dxa" w:w="360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organization_id, parent_id；user_id, status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role_assignments</w:t>
            </w:r>
          </w:p>
        </w:tc>
        <w:tc>
          <w:tcPr>
            <w:tcW w:type="dxa" w:w="33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</w:t>
            </w:r>
          </w:p>
        </w:tc>
        <w:tc>
          <w:tcPr>
            <w:tcW w:type="dxa" w:w="360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subject_user_id, scope_type, scope_id, status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communication_policies</w:t>
            </w:r>
          </w:p>
        </w:tc>
        <w:tc>
          <w:tcPr>
            <w:tcW w:type="dxa" w:w="33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id；tenant_id + policy_code + version</w:t>
            </w:r>
          </w:p>
        </w:tc>
        <w:tc>
          <w:tcPr>
            <w:tcW w:type="dxa" w:w="360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priority, status, effective_at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conversations／members</w:t>
            </w:r>
          </w:p>
        </w:tc>
        <w:tc>
          <w:tcPr>
            <w:tcW w:type="dxa" w:w="33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id；会话成员唯一</w:t>
            </w:r>
          </w:p>
        </w:tc>
        <w:tc>
          <w:tcPr>
            <w:tcW w:type="dxa" w:w="360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tenant_id, type；user_id, status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messages</w:t>
            </w:r>
          </w:p>
        </w:tc>
        <w:tc>
          <w:tcPr>
            <w:tcW w:type="dxa" w:w="33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id；conversation_id + seq；发送方幂等键</w:t>
            </w:r>
          </w:p>
        </w:tc>
        <w:tc>
          <w:tcPr>
            <w:tcW w:type="dxa" w:w="360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conversation_id, seq DESC；sender_user_id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outbox_events</w:t>
            </w:r>
          </w:p>
        </w:tc>
        <w:tc>
          <w:tcPr>
            <w:tcW w:type="dxa" w:w="33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</w:t>
            </w:r>
          </w:p>
        </w:tc>
        <w:tc>
          <w:tcPr>
            <w:tcW w:type="dxa" w:w="360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status, next_retry_at, created_at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files／file_grants</w:t>
            </w:r>
          </w:p>
        </w:tc>
        <w:tc>
          <w:tcPr>
            <w:tcW w:type="dxa" w:w="33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</w:t>
            </w:r>
          </w:p>
        </w:tc>
        <w:tc>
          <w:tcPr>
            <w:tcW w:type="dxa" w:w="360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tenant_id, owner_id；conversation_id, file_id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audit_events</w:t>
            </w:r>
          </w:p>
        </w:tc>
        <w:tc>
          <w:tcPr>
            <w:tcW w:type="dxa" w:w="33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id</w:t>
            </w:r>
          </w:p>
        </w:tc>
        <w:tc>
          <w:tcPr>
            <w:tcW w:type="dxa" w:w="360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tenant_id, actor_id, created_at</w:t>
            </w:r>
          </w:p>
        </w:tc>
      </w:tr>
    </w:tbl>
    <w:p>
      <w:pPr>
        <w:spacing w:after="20"/>
      </w:pPr>
    </w:p>
    <w:p>
      <w:pPr>
        <w:pStyle w:val="Heading2"/>
      </w:pPr>
      <w:r>
        <w:t>11.1 数据保留与迁移</w:t>
      </w:r>
    </w:p>
    <w:p>
      <w:r>
        <w:t>消息、审计和文件采用不同保留策略。逻辑删除只影响业务可见性，不替代法定保留或备份。数据库迁移需要前向兼容：先加字段和双写、回填与校验，再切读，最后清理旧字段。来自单组织模型的数据迁移须生成默认组织成员关系，并检查 users.org_id 等历史字段的使用点。</w:t>
      </w:r>
    </w:p>
    <w:p>
      <w:pPr>
        <w:pStyle w:val="Heading1"/>
      </w:pPr>
      <w:r>
        <w:t>12 API 与 WebSocket 合约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1440"/>
        <w:gridCol w:w="4176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接口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方法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请求与返回重点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/api/v1/me/context</w:t>
            </w:r>
          </w:p>
        </w:tc>
        <w:tc>
          <w:tcPr>
            <w:tcW w:type="dxa" w:w="14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type="dxa" w:w="41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有效任职、Scope、策略版本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/api/v1/directory/search</w:t>
            </w:r>
          </w:p>
        </w:tc>
        <w:tc>
          <w:tcPr>
            <w:tcW w:type="dxa" w:w="14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type="dxa" w:w="41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按策略过滤的人员和组织结果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/api/v1/conversations</w:t>
            </w:r>
          </w:p>
        </w:tc>
        <w:tc>
          <w:tcPr>
            <w:tcW w:type="dxa" w:w="14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POST</w:t>
            </w:r>
          </w:p>
        </w:tc>
        <w:tc>
          <w:tcPr>
            <w:tcW w:type="dxa" w:w="41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创建或复用会话；校验成员与跨组织策略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/api/v1/conversations/{id}/messages</w:t>
            </w:r>
          </w:p>
        </w:tc>
        <w:tc>
          <w:tcPr>
            <w:tcW w:type="dxa" w:w="14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POST</w:t>
            </w:r>
          </w:p>
        </w:tc>
        <w:tc>
          <w:tcPr>
            <w:tcW w:type="dxa" w:w="41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client_msg_id、内容；返回 message_id 与 seq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/api/v1/conversations/{id}/messages</w:t>
            </w:r>
          </w:p>
        </w:tc>
        <w:tc>
          <w:tcPr>
            <w:tcW w:type="dxa" w:w="14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type="dxa" w:w="41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按 after_seq 分页补拉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/api/v1/conversations/{id}/read</w:t>
            </w:r>
          </w:p>
        </w:tc>
        <w:tc>
          <w:tcPr>
            <w:tcW w:type="dxa" w:w="14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PUT</w:t>
            </w:r>
          </w:p>
        </w:tc>
        <w:tc>
          <w:tcPr>
            <w:tcW w:type="dxa" w:w="41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推进已读 seq，幂等且单调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/api/v1/admin/policies</w:t>
            </w:r>
          </w:p>
        </w:tc>
        <w:tc>
          <w:tcPr>
            <w:tcW w:type="dxa" w:w="14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GET／POST</w:t>
            </w:r>
          </w:p>
        </w:tc>
        <w:tc>
          <w:tcPr>
            <w:tcW w:type="dxa" w:w="41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Scope 鉴权、版本与审计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/ws</w:t>
            </w:r>
          </w:p>
        </w:tc>
        <w:tc>
          <w:tcPr>
            <w:tcW w:type="dxa" w:w="144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WebSocket</w:t>
            </w:r>
          </w:p>
        </w:tc>
        <w:tc>
          <w:tcPr>
            <w:tcW w:type="dxa" w:w="417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鉴权、心跳、推送、ACK 与重连</w:t>
            </w:r>
          </w:p>
        </w:tc>
      </w:tr>
    </w:tbl>
    <w:p>
      <w:pPr>
        <w:spacing w:after="20"/>
      </w:pPr>
    </w:p>
    <w:p>
      <w:pPr>
        <w:pStyle w:val="Heading2"/>
      </w:pPr>
      <w:r>
        <w:t>12.1 事件格式摘要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888"/>
        <w:gridCol w:w="3384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事件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必要字段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语义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message.created</w:t>
            </w:r>
          </w:p>
        </w:tc>
        <w:tc>
          <w:tcPr>
            <w:tcW w:type="dxa" w:w="38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event_id, tenant_id, conversation_id, seq, message_id</w:t>
            </w:r>
          </w:p>
        </w:tc>
        <w:tc>
          <w:tcPr>
            <w:tcW w:type="dxa" w:w="33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服务端已持久化；可重复推送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receipt.delivered</w:t>
            </w:r>
          </w:p>
        </w:tc>
        <w:tc>
          <w:tcPr>
            <w:tcW w:type="dxa" w:w="388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conversation_id, user_id, seq, device_id</w:t>
            </w:r>
          </w:p>
        </w:tc>
        <w:tc>
          <w:tcPr>
            <w:tcW w:type="dxa" w:w="33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设备收取并向服务端确认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receipt.read</w:t>
            </w:r>
          </w:p>
        </w:tc>
        <w:tc>
          <w:tcPr>
            <w:tcW w:type="dxa" w:w="38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conversation_id, user_id, read_seq</w:t>
            </w:r>
          </w:p>
        </w:tc>
        <w:tc>
          <w:tcPr>
            <w:tcW w:type="dxa" w:w="338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用户已读游标推进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policy.changed</w:t>
            </w:r>
          </w:p>
        </w:tc>
        <w:tc>
          <w:tcPr>
            <w:tcW w:type="dxa" w:w="388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tenant_id, policy_version, affected_scope</w:t>
            </w:r>
          </w:p>
        </w:tc>
        <w:tc>
          <w:tcPr>
            <w:tcW w:type="dxa" w:w="338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客户端刷新权限及可见性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1F5F9"/>
            <w:tcBorders>
              <w:top w:val="single" w:sz="4" w:color="C6D2DE"/>
              <w:left w:val="single" w:sz="4" w:color="C6D2DE"/>
              <w:bottom w:val="single" w:sz="4" w:color="C6D2DE"/>
              <w:right w:val="single" w:sz="4" w:color="C6D2DE"/>
            </w:tcBorders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错误合约  统一返回 error_code、message、request_id。403 表示授权或策略拒绝；409 表示状态冲突；429 表示限流。前端不应把策略拒绝显示成系统故障。</w:t>
            </w:r>
          </w:p>
        </w:tc>
      </w:tr>
    </w:tbl>
    <w:p>
      <w:pPr>
        <w:spacing w:after="20"/>
      </w:pPr>
    </w:p>
    <w:p>
      <w:pPr>
        <w:pStyle w:val="Heading1"/>
      </w:pPr>
      <w:r>
        <w:t>13 安全与隐私设计</w:t>
      </w:r>
    </w:p>
    <w:p>
      <w:pPr>
        <w:pStyle w:val="ListBullet"/>
        <w:ind w:left="317" w:hanging="144"/>
      </w:pPr>
      <w:r>
        <w:t>所有对外连接使用 TLS；内部服务间身份和密钥由部署环境统一管理，禁止写入镜像或代码。</w:t>
      </w:r>
    </w:p>
    <w:p>
      <w:pPr>
        <w:pStyle w:val="ListBullet"/>
        <w:ind w:left="317" w:hanging="144"/>
      </w:pPr>
      <w:r>
        <w:t>OIDC／LDAP／AD 登录后签发短期访问凭证与可撤销会话；冻结和集团离职立即吊销。</w:t>
      </w:r>
    </w:p>
    <w:p>
      <w:pPr>
        <w:pStyle w:val="ListBullet"/>
        <w:ind w:left="317" w:hanging="144"/>
      </w:pPr>
      <w:r>
        <w:t>组织、会话、消息与文件 API 均做 Tenant 和 Scope 双重校验，防止通过猜测 ID 越权。</w:t>
      </w:r>
    </w:p>
    <w:p>
      <w:pPr>
        <w:pStyle w:val="ListBullet"/>
        <w:ind w:left="317" w:hanging="144"/>
      </w:pPr>
      <w:r>
        <w:t>上传文件检查扩展名、MIME、大小和恶意内容；下载使用短效授权，不暴露 MinIO 凭据。</w:t>
      </w:r>
    </w:p>
    <w:p>
      <w:pPr>
        <w:pStyle w:val="ListBullet"/>
        <w:ind w:left="317" w:hanging="144"/>
      </w:pPr>
      <w:r>
        <w:t>审计覆盖登录、管理变更、策略决策、跨组织建群、文件下载与权限拒绝。</w:t>
      </w:r>
    </w:p>
    <w:p>
      <w:pPr>
        <w:pStyle w:val="ListBullet"/>
        <w:ind w:left="317" w:hanging="144"/>
      </w:pPr>
      <w:r>
        <w:t>日志避免记录消息正文、访问令牌和明文敏感字段；排障时使用 request_id、message_id 与事件 ID。</w:t>
      </w:r>
    </w:p>
    <w:p>
      <w:pPr>
        <w:pStyle w:val="Heading1"/>
      </w:pPr>
      <w:r>
        <w:t>14 可用性、备份与可观测性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320"/>
        <w:gridCol w:w="3528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领域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建议设计基线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验证方式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高可用</w:t>
            </w:r>
          </w:p>
        </w:tc>
        <w:tc>
          <w:tcPr>
            <w:tcW w:type="dxa" w:w="432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Gateway 多节点；服务无状态扩容；数据库主备与故障转移</w:t>
            </w:r>
          </w:p>
        </w:tc>
        <w:tc>
          <w:tcPr>
            <w:tcW w:type="dxa" w:w="35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节点故障与重连演练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可靠性</w:t>
            </w:r>
          </w:p>
        </w:tc>
        <w:tc>
          <w:tcPr>
            <w:tcW w:type="dxa" w:w="432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数据库提交后才 ACK；Outbox 可重试；客户端可补拉</w:t>
            </w:r>
          </w:p>
        </w:tc>
        <w:tc>
          <w:tcPr>
            <w:tcW w:type="dxa" w:w="352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注入网络和节点故障验证无丢失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备份</w:t>
            </w:r>
          </w:p>
        </w:tc>
        <w:tc>
          <w:tcPr>
            <w:tcW w:type="dxa" w:w="432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PostgreSQL 定期全量和 WAL 归档；MinIO 对象与元数据一致备份</w:t>
            </w:r>
          </w:p>
        </w:tc>
        <w:tc>
          <w:tcPr>
            <w:tcW w:type="dxa" w:w="35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定期恢复演练并记录 RPO／RTO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监控</w:t>
            </w:r>
          </w:p>
        </w:tc>
        <w:tc>
          <w:tcPr>
            <w:tcW w:type="dxa" w:w="432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消息 ACK 延迟、投递延迟、Outbox 积压、WS 在线数与重连率</w:t>
            </w:r>
          </w:p>
        </w:tc>
        <w:tc>
          <w:tcPr>
            <w:tcW w:type="dxa" w:w="3528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仪表盘和阈值告警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审计</w:t>
            </w:r>
          </w:p>
        </w:tc>
        <w:tc>
          <w:tcPr>
            <w:tcW w:type="dxa" w:w="432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管理员操作、策略拒绝、身份同步冲突可查询</w:t>
            </w:r>
          </w:p>
        </w:tc>
        <w:tc>
          <w:tcPr>
            <w:tcW w:type="dxa" w:w="352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按 request_id 回溯完整事件链</w:t>
            </w:r>
          </w:p>
        </w:tc>
      </w:tr>
    </w:tbl>
    <w:p>
      <w:pPr>
        <w:spacing w:after="20"/>
      </w:pPr>
    </w:p>
    <w:p>
      <w:r>
        <w:t>正式 RPO、RTO、容量和延迟 SLO 应由目标客户的可用性等级与预算确认；部署时将约定值固化到验收方案。</w:t>
      </w:r>
    </w:p>
    <w:p>
      <w:pPr>
        <w:pStyle w:val="Heading1"/>
      </w:pPr>
      <w:r>
        <w:t>15 私有化部署与实施顺序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320"/>
        <w:gridCol w:w="3096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阶段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交付内容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退出条件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Phase 0 基础</w:t>
            </w:r>
          </w:p>
        </w:tc>
        <w:tc>
          <w:tcPr>
            <w:tcW w:type="dxa" w:w="432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Tenant、Organization、Department、User、Membership、Scope、通信策略</w:t>
            </w:r>
          </w:p>
        </w:tc>
        <w:tc>
          <w:tcPr>
            <w:tcW w:type="dxa" w:w="309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多组织与隔离场景验收通过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Phase 1 消息核心</w:t>
            </w:r>
          </w:p>
        </w:tc>
        <w:tc>
          <w:tcPr>
            <w:tcW w:type="dxa" w:w="432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会话、消息 seq、幂等 ACK、Outbox、补拉</w:t>
            </w:r>
          </w:p>
        </w:tc>
        <w:tc>
          <w:tcPr>
            <w:tcW w:type="dxa" w:w="309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故障注入下无重复落库和消息丢失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Phase 2 客户端</w:t>
            </w:r>
          </w:p>
        </w:tc>
        <w:tc>
          <w:tcPr>
            <w:tcW w:type="dxa" w:w="432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IM 主界面、通讯录、多任职详情、群聊管理</w:t>
            </w:r>
          </w:p>
        </w:tc>
        <w:tc>
          <w:tcPr>
            <w:tcW w:type="dxa" w:w="309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主要业务流可用，拒绝原因清晰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Phase 3 文件与搜索</w:t>
            </w:r>
          </w:p>
        </w:tc>
        <w:tc>
          <w:tcPr>
            <w:tcW w:type="dxa" w:w="432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文件授权、扫描、索引与搜索过滤</w:t>
            </w:r>
          </w:p>
        </w:tc>
        <w:tc>
          <w:tcPr>
            <w:tcW w:type="dxa" w:w="309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不可越权检索或下载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Phase 4 企业集成</w:t>
            </w:r>
          </w:p>
        </w:tc>
        <w:tc>
          <w:tcPr>
            <w:tcW w:type="dxa" w:w="432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多身份源、审计、管理后台与配置</w:t>
            </w:r>
          </w:p>
        </w:tc>
        <w:tc>
          <w:tcPr>
            <w:tcW w:type="dxa" w:w="309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同步冲突可处理，审计可追踪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Phase 5 生产准备</w:t>
            </w:r>
          </w:p>
        </w:tc>
        <w:tc>
          <w:tcPr>
            <w:tcW w:type="dxa" w:w="4320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HA、备份恢复、容量压测、告警与运行手册</w:t>
            </w:r>
          </w:p>
        </w:tc>
        <w:tc>
          <w:tcPr>
            <w:tcW w:type="dxa" w:w="309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演练与运行指标达到约定值</w:t>
            </w:r>
          </w:p>
        </w:tc>
      </w:tr>
    </w:tbl>
    <w:p>
      <w:pPr>
        <w:spacing w:after="20"/>
      </w:pPr>
    </w:p>
    <w:p>
      <w:pPr>
        <w:pStyle w:val="Heading2"/>
      </w:pPr>
      <w:r>
        <w:t>15.1 部署形态</w:t>
      </w:r>
    </w:p>
    <w:p>
      <w:r>
        <w:t>开发与验收环境可采用 Docker Compose 部署完整依赖；生产环境可采用高可用容器平台或等效方案。环境差异通过配置与密钥注入解决，业务代码保持一致。上线前必须执行数据迁移回滚预案、权限种子数据核查、备份恢复演练和故障切换演练。</w:t>
      </w:r>
    </w:p>
    <w:p>
      <w:pPr>
        <w:pStyle w:val="Heading1"/>
      </w:pPr>
      <w:r>
        <w:t>16 验收场景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4032"/>
        <w:gridCol w:w="4392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编号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场景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预期结果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G01</w:t>
            </w:r>
          </w:p>
        </w:tc>
        <w:tc>
          <w:tcPr>
            <w:tcW w:type="dxa" w:w="403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一人同时在总部与子公司任职</w:t>
            </w:r>
          </w:p>
        </w:tc>
        <w:tc>
          <w:tcPr>
            <w:tcW w:type="dxa" w:w="439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单一 user_id；多任职可见；主任职唯一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G02</w:t>
            </w:r>
          </w:p>
        </w:tc>
        <w:tc>
          <w:tcPr>
            <w:tcW w:type="dxa" w:w="403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组织管理员访问其他子公司人员数据</w:t>
            </w:r>
          </w:p>
        </w:tc>
        <w:tc>
          <w:tcPr>
            <w:tcW w:type="dxa" w:w="439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拒绝并记审计；不泄露人员详情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G03</w:t>
            </w:r>
          </w:p>
        </w:tc>
        <w:tc>
          <w:tcPr>
            <w:tcW w:type="dxa" w:w="403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白名单允许指定跨组织单聊</w:t>
            </w:r>
          </w:p>
        </w:tc>
        <w:tc>
          <w:tcPr>
            <w:tcW w:type="dxa" w:w="439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白名单生效时允许；到期后拒绝新消息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G04</w:t>
            </w:r>
          </w:p>
        </w:tc>
        <w:tc>
          <w:tcPr>
            <w:tcW w:type="dxa" w:w="403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跨法人群邀请未授权人员</w:t>
            </w:r>
          </w:p>
        </w:tc>
        <w:tc>
          <w:tcPr>
            <w:tcW w:type="dxa" w:w="439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邀请失败；群成员集合不变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G05</w:t>
            </w:r>
          </w:p>
        </w:tc>
        <w:tc>
          <w:tcPr>
            <w:tcW w:type="dxa" w:w="403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员工仅从一个组织离职</w:t>
            </w:r>
          </w:p>
        </w:tc>
        <w:tc>
          <w:tcPr>
            <w:tcW w:type="dxa" w:w="439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该组织权限撤销；其他组织任职和账号保留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G06</w:t>
            </w:r>
          </w:p>
        </w:tc>
        <w:tc>
          <w:tcPr>
            <w:tcW w:type="dxa" w:w="403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集团离职后旧设备尝试发送消息</w:t>
            </w:r>
          </w:p>
        </w:tc>
        <w:tc>
          <w:tcPr>
            <w:tcW w:type="dxa" w:w="439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会话失效；写入拒绝；历史审计保留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M01</w:t>
            </w:r>
          </w:p>
        </w:tc>
        <w:tc>
          <w:tcPr>
            <w:tcW w:type="dxa" w:w="403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同一 client_msg_id 重试多次</w:t>
            </w:r>
          </w:p>
        </w:tc>
        <w:tc>
          <w:tcPr>
            <w:tcW w:type="dxa" w:w="439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只生成一条消息和一个 seq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M02</w:t>
            </w:r>
          </w:p>
        </w:tc>
        <w:tc>
          <w:tcPr>
            <w:tcW w:type="dxa" w:w="403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事务提交后 Outbox 投递失败</w:t>
            </w:r>
          </w:p>
        </w:tc>
        <w:tc>
          <w:tcPr>
            <w:tcW w:type="dxa" w:w="439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ACK 保持有效；重试后最终投递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M03</w:t>
            </w:r>
          </w:p>
        </w:tc>
        <w:tc>
          <w:tcPr>
            <w:tcW w:type="dxa" w:w="403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Gateway 重启后客户端重连</w:t>
            </w:r>
          </w:p>
        </w:tc>
        <w:tc>
          <w:tcPr>
            <w:tcW w:type="dxa" w:w="439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以游标补齐缺口；顺序一致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F01</w:t>
            </w:r>
          </w:p>
        </w:tc>
        <w:tc>
          <w:tcPr>
            <w:tcW w:type="dxa" w:w="403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无权限用户持有文件链接</w:t>
            </w:r>
          </w:p>
        </w:tc>
        <w:tc>
          <w:tcPr>
            <w:tcW w:type="dxa" w:w="4392"/>
            <w:vAlign w:val="center"/>
            <w:shd w:fill="F8FAFC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下载拒绝并记审计</w:t>
            </w:r>
          </w:p>
        </w:tc>
      </w:tr>
    </w:tbl>
    <w:p>
      <w:pPr>
        <w:spacing w:after="20"/>
      </w:pPr>
    </w:p>
    <w:p>
      <w:pPr>
        <w:pStyle w:val="Heading1"/>
      </w:pPr>
      <w:r>
        <w:t>附录 A 页面原型</w:t>
      </w:r>
    </w:p>
    <w:p>
      <w:r>
        <w:t>以下原型用于确认信息结构和交互边界。视觉风格与移动端适配可在产品设计阶段进一步细化。</w:t>
      </w:r>
    </w:p>
    <w:p>
      <w:pPr>
        <w:pStyle w:val="Heading2"/>
      </w:pPr>
      <w:r>
        <w:t>A1 集团多组织结构</w:t>
      </w:r>
    </w:p>
    <w:p>
      <w:pPr>
        <w:keepNext/>
      </w:pPr>
      <w:r>
        <w:t>管理员从集团树进入各组织及部门，停用节点保留历史，组织类型和法人属性清晰显示。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5472"/>
      </w:tblGrid>
      <w:tr>
        <w:trPr>
          <w:tblHeader/>
          <w:cantSplit/>
        </w:trPr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左侧组织树</w:t>
            </w:r>
          </w:p>
        </w:tc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右侧组织详情与操作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XX 集团</w:t>
              <w:br/>
              <w:t xml:space="preserve">  集团总部</w:t>
              <w:br/>
              <w:t xml:space="preserve">    信息中心</w:t>
              <w:br/>
              <w:t xml:space="preserve">    财务中心</w:t>
              <w:br/>
              <w:t xml:space="preserve">  上海制造有限公司</w:t>
              <w:br/>
              <w:t xml:space="preserve">    生产部</w:t>
              <w:br/>
              <w:t xml:space="preserve">  苏州精密科技有限公司</w:t>
              <w:br/>
              <w:t xml:space="preserve">  日本子公司</w:t>
            </w:r>
          </w:p>
        </w:tc>
        <w:tc>
          <w:tcPr>
            <w:tcW w:type="dxa" w:w="547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名称  上海制造有限公司</w:t>
              <w:br/>
              <w:t>类型  法人子公司     状态  启用</w:t>
              <w:br/>
              <w:t>上级  XX 集团       编码  SH-MFG</w:t>
              <w:br/>
              <w:t>负责人  张某       成员  238 人</w:t>
              <w:br/>
              <w:t>操作  编辑组织｜新建部门｜任职管理｜停用</w:t>
            </w:r>
          </w:p>
        </w:tc>
      </w:tr>
    </w:tbl>
    <w:p>
      <w:pPr>
        <w:spacing w:after="20"/>
      </w:pPr>
    </w:p>
    <w:p>
      <w:pPr>
        <w:pStyle w:val="Heading2"/>
      </w:pPr>
      <w:r>
        <w:t>A2 集团通讯录与多任职详情</w:t>
      </w:r>
    </w:p>
    <w:p>
      <w:pPr>
        <w:keepNext/>
      </w:pPr>
      <w:r>
        <w:t>人员详情以用户主体为中心展示多个有效任职；通信按钮由策略决定是否可用。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5472"/>
      </w:tblGrid>
      <w:tr>
        <w:trPr>
          <w:tblHeader/>
          <w:cantSplit/>
        </w:trPr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通讯录与搜索</w:t>
            </w:r>
          </w:p>
        </w:tc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人员详情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搜索姓名／工号／部门</w:t>
              <w:br/>
              <w:t>组织筛选：全部可见组织</w:t>
              <w:br/>
              <w:t>张某  总部 信息中心</w:t>
              <w:br/>
              <w:t>李某  上海制造 生产部</w:t>
            </w:r>
          </w:p>
        </w:tc>
        <w:tc>
          <w:tcPr>
            <w:tcW w:type="dxa" w:w="547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张某  工号 G00128  状态 正常</w:t>
              <w:br/>
              <w:t>主任职  集团总部／信息中心  信息化总监</w:t>
              <w:br/>
              <w:t>兼任  上海制造有限公司／董事会  董事</w:t>
              <w:br/>
              <w:t>联系  发起单聊｜邀请进群</w:t>
              <w:br/>
              <w:t>说明  跨组织联系须按策略判定</w:t>
            </w:r>
          </w:p>
        </w:tc>
      </w:tr>
    </w:tbl>
    <w:p>
      <w:pPr>
        <w:spacing w:after="20"/>
      </w:pPr>
    </w:p>
    <w:p>
      <w:pPr>
        <w:pStyle w:val="Heading2"/>
      </w:pPr>
      <w:r>
        <w:t>A3 跨组织通信策略</w:t>
      </w:r>
    </w:p>
    <w:p>
      <w:pPr>
        <w:keepNext/>
      </w:pPr>
      <w:r>
        <w:t>策略后台应显示适用范围、优先级、有效期和命中结果，支持预览决策。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5472"/>
      </w:tblGrid>
      <w:tr>
        <w:trPr>
          <w:tblHeader/>
          <w:cantSplit/>
        </w:trPr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策略列表</w:t>
            </w:r>
          </w:p>
        </w:tc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编辑与测试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规则  同组织互聊  启用</w:t>
              <w:br/>
              <w:t>规则  项目白名单  启用</w:t>
              <w:br/>
              <w:t>规则  A/B 子公司隔离  启用</w:t>
              <w:br/>
              <w:t>规则  跨法人建群审批  启用</w:t>
            </w:r>
          </w:p>
        </w:tc>
        <w:tc>
          <w:tcPr>
            <w:tcW w:type="dxa" w:w="5472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操作  发起单聊</w:t>
              <w:br/>
              <w:t>来源  上海制造  目标  苏州精密</w:t>
              <w:br/>
              <w:t>优先级  30    有效期  2026-12-31</w:t>
              <w:br/>
              <w:t>测试结果  拒绝：跨组织需白名单</w:t>
              <w:br/>
              <w:t>操作  保存版本｜查看审计</w:t>
            </w:r>
          </w:p>
        </w:tc>
      </w:tr>
    </w:tbl>
    <w:p>
      <w:pPr>
        <w:spacing w:after="20"/>
      </w:pPr>
    </w:p>
    <w:p>
      <w:pPr>
        <w:pStyle w:val="Heading2"/>
      </w:pPr>
      <w:r>
        <w:t>A4 IM 主界面</w:t>
      </w:r>
    </w:p>
    <w:p>
      <w:pPr>
        <w:keepNext/>
      </w:pPr>
      <w:r>
        <w:t>三栏布局承载会话、消息与上下文；当前组织身份及策略提示始终可见。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4536"/>
        <w:gridCol w:w="2448"/>
      </w:tblGrid>
      <w:tr>
        <w:trPr>
          <w:tblHeader/>
          <w:cantSplit/>
        </w:trPr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会话列表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聊天区</w:t>
            </w:r>
          </w:p>
        </w:tc>
        <w:tc>
          <w:tcPr>
            <w:tcW w:type="dxa" w:w="3293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会话信息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搜索会话</w:t>
              <w:br/>
              <w:t>研发项目群  3 未读</w:t>
              <w:br/>
              <w:t>张某  今天 09:30</w:t>
              <w:br/>
              <w:t>制造协作群  昨天</w:t>
            </w:r>
          </w:p>
        </w:tc>
        <w:tc>
          <w:tcPr>
            <w:tcW w:type="dxa" w:w="453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研发项目群  跨组织群</w:t>
              <w:br/>
              <w:t>09:28 张某  需求已更新</w:t>
              <w:br/>
              <w:t>09:30 我  收到，稍后评审</w:t>
              <w:br/>
              <w:t>输入消息｜附件｜发送</w:t>
            </w:r>
          </w:p>
        </w:tc>
        <w:tc>
          <w:tcPr>
            <w:tcW w:type="dxa" w:w="2448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成员 12 人</w:t>
              <w:br/>
              <w:t>所属组织  3 个</w:t>
              <w:br/>
              <w:t>群主  张某</w:t>
              <w:br/>
              <w:t>文件｜搜索｜通知设置</w:t>
            </w:r>
          </w:p>
        </w:tc>
      </w:tr>
    </w:tbl>
    <w:p>
      <w:pPr>
        <w:spacing w:after="20"/>
      </w:pPr>
    </w:p>
    <w:p>
      <w:pPr>
        <w:pStyle w:val="Heading2"/>
      </w:pPr>
      <w:r>
        <w:t>A5 群聊管理</w:t>
      </w:r>
    </w:p>
    <w:p>
      <w:pPr>
        <w:keepNext/>
      </w:pPr>
      <w:r>
        <w:t>创建与邀请流程实时显示跨组织及跨法人校验结果，拒绝时给出处理路径。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4896"/>
      </w:tblGrid>
      <w:tr>
        <w:trPr>
          <w:tblHeader/>
          <w:cantSplit/>
        </w:trPr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成员管理</w:t>
            </w:r>
          </w:p>
        </w:tc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群设置与策略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成员 12 人</w:t>
              <w:br/>
              <w:t>张某  群主  总部</w:t>
              <w:br/>
              <w:t>李某  管理员  上海制造</w:t>
              <w:br/>
              <w:t>王某  成员  苏州精密</w:t>
              <w:br/>
              <w:t>操作  邀请｜移除｜转让群主</w:t>
            </w:r>
          </w:p>
        </w:tc>
        <w:tc>
          <w:tcPr>
            <w:tcW w:type="dxa" w:w="4896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群名  研发项目群</w:t>
              <w:br/>
              <w:t>跨组织  是    跨法人  是</w:t>
              <w:br/>
              <w:t>邀请校验  1 人通过，1 人拒绝</w:t>
              <w:br/>
              <w:t>拒绝原因  B 组织隔离规则</w:t>
              <w:br/>
              <w:t>操作  保存设置｜查看审批记录</w:t>
            </w:r>
          </w:p>
        </w:tc>
      </w:tr>
    </w:tbl>
    <w:p>
      <w:pPr>
        <w:spacing w:after="20"/>
      </w:pPr>
    </w:p>
    <w:p>
      <w:pPr>
        <w:pStyle w:val="Heading2"/>
      </w:pPr>
      <w:r>
        <w:t>A6 集团管理后台</w:t>
      </w:r>
    </w:p>
    <w:p>
      <w:pPr>
        <w:keepNext/>
      </w:pPr>
      <w:r>
        <w:t>将组织治理、身份源、策略、审计和运行状态集中展示；所有卡片按管理员 Scope 过滤。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120"/>
      </w:tblGrid>
      <w:tr>
        <w:trPr>
          <w:tblHeader/>
          <w:cantSplit/>
        </w:trPr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导航</w:t>
            </w:r>
          </w:p>
        </w:tc>
        <w:tc>
          <w:tcPr>
            <w:tcW w:type="dxa" w:w="4939"/>
            <w:vAlign w:val="center"/>
            <w:shd w:fill="E9EFF5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/>
                <w:sz w:val="16"/>
              </w:rPr>
              <w:t>概览与运营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组织与部门</w:t>
              <w:br/>
              <w:t>人员与任职</w:t>
              <w:br/>
              <w:t>角色和 Scope</w:t>
              <w:br/>
              <w:t>通信策略</w:t>
              <w:br/>
              <w:t>身份源</w:t>
              <w:br/>
              <w:t>审计日志</w:t>
              <w:br/>
              <w:t>系统运行</w:t>
            </w:r>
          </w:p>
        </w:tc>
        <w:tc>
          <w:tcPr>
            <w:tcW w:type="dxa" w:w="612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after="2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组织  12    活跃用户  8,420</w:t>
              <w:br/>
              <w:t>在线连接  6,130    待投递事件  3</w:t>
              <w:br/>
              <w:t>最近同步  AD 成功 / LDAP 冲突 2</w:t>
              <w:br/>
              <w:t>告警  Outbox 延迟 120 ms</w:t>
              <w:br/>
              <w:t>快捷操作  新建组织｜处理映射冲突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50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 xml:space="preserve">第 </w:t>
    </w:r>
    <w:fldSimple w:instr="PAGE"/>
    <w:r>
      <w:rPr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26D7B"/>
        <w:sz w:val="15"/>
      </w:rPr>
      <w:t>Enterprise IM  集团型多组织 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1" w:lineRule="auto"/>
    </w:pPr>
    <w:rPr>
      <w:rFonts w:ascii="Arial Unicode MS" w:hAnsi="Arial Unicode MS" w:eastAsia="Arial Unicode MS"/>
      <w:color w:val="1820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basedOn w:val="Normal"/>
    <w:pPr>
      <w:spacing w:after="80"/>
    </w:pPr>
    <w:rPr>
      <w:color w:val="586371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IM 集团型多组织需求与详细设计说明书</dc:title>
  <dc:subject>v2.1 Group Edition</dc:subject>
  <dc:creator>Enterprise IM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