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3600"/>
        <w:jc w:val="center"/>
      </w:pPr>
      <w:r>
        <w:rPr>
          <w:rFonts w:ascii="Times New Roman" w:cs="Times New Roman" w:eastAsia="SimSun" w:hAnsi="Times New Roman"/>
          <w:b/>
          <w:bCs/>
          <w:color w:val="1F2A37"/>
          <w:sz w:val="56"/>
          <w:szCs w:val="56"/>
        </w:rPr>
        <w:t xml:space="preserve">WebAPI 管理平台</w:t>
      </w:r>
    </w:p>
    <w:p>
      <w:pPr>
        <w:spacing w:after="600"/>
        <w:jc w:val="center"/>
      </w:pPr>
      <w:r>
        <w:rPr>
          <w:rFonts w:ascii="Times New Roman" w:cs="Times New Roman" w:eastAsia="SimSun" w:hAnsi="Times New Roman"/>
          <w:b/>
          <w:bCs/>
          <w:color w:val="1D4ED8"/>
          <w:sz w:val="40"/>
          <w:szCs w:val="40"/>
        </w:rPr>
        <w:t xml:space="preserve">外网部署安全自查清单</w:t>
      </w:r>
    </w:p>
    <w:p>
      <w:pPr>
        <w:spacing w:after="200"/>
        <w:jc w:val="center"/>
      </w:pPr>
      <w:r>
        <w:rPr>
          <w:rFonts w:ascii="Times New Roman" w:cs="Times New Roman" w:eastAsia="SimSun" w:hAnsi="Times New Roman"/>
          <w:color w:val="78909C"/>
          <w:sz w:val="24"/>
          <w:szCs w:val="24"/>
        </w:rPr>
        <w:t xml:space="preserve">适用版本：v1.3.2　|　适用对象：部署负责人 / 安全负责人</w:t>
      </w:r>
    </w:p>
    <w:p>
      <w:pPr>
        <w:spacing w:after="200"/>
        <w:jc w:val="center"/>
      </w:pPr>
      <w:r>
        <w:rPr>
          <w:rFonts w:ascii="Times New Roman" w:cs="Times New Roman" w:eastAsia="SimSun" w:hAnsi="Times New Roman"/>
          <w:color w:val="78909C"/>
          <w:sz w:val="24"/>
          <w:szCs w:val="24"/>
        </w:rPr>
        <w:t xml:space="preserve">文档日期：2026-09-20</w:t>
      </w:r>
    </w:p>
    <w:p>
      <w:pPr>
        <w:spacing w:after="160" w:line="300"/>
        <w:jc w:val="center"/>
      </w:pPr>
      <w:r>
        <w:rPr>
          <w:rFonts w:ascii="Times New Roman" w:cs="Times New Roman" w:eastAsia="SimSun" w:hAnsi="Times New Roman"/>
          <w:color w:val="78909C"/>
          <w:sz w:val="24"/>
          <w:szCs w:val="24"/>
        </w:rPr>
        <w:t xml:space="preserve">密级：内部资料</w:t>
      </w:r>
    </w:p>
    <w:p>
      <w:pPr>
        <w:pageBreakBefore/>
        <w:spacing w:after="16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/>
      </w:r>
    </w:p>
    <w:p>
      <w:pPr>
        <w:pStyle w:val="Heading1"/>
        <w:spacing w:after="240"/>
        <w:jc w:val="center"/>
      </w:pPr>
      <w:r>
        <w:rPr>
          <w:rFonts w:ascii="Times New Roman" w:cs="Times New Roman" w:eastAsia="SimSun" w:hAnsi="Times New Roman"/>
          <w:b/>
          <w:bCs/>
          <w:color w:val="1F2A37"/>
          <w:sz w:val="32"/>
          <w:szCs w:val="32"/>
        </w:rPr>
        <w:t xml:space="preserve">目  录</w:t>
      </w:r>
    </w:p>
    <w:p>
      <w:pPr>
        <w:spacing w:after="160" w:line="300"/>
      </w:pPr>
      <w:r>
        <w:rPr>
          <w:rFonts w:ascii="Times New Roman" w:cs="Times New Roman" w:eastAsia="SimSun" w:hAnsi="Times New Roman"/>
          <w:i/>
          <w:iCs/>
          <w:color w:val="78909C"/>
          <w:sz w:val="24"/>
          <w:szCs w:val="24"/>
        </w:rPr>
        <w:t xml:space="preserve">右键目录，选择“更新域”可刷新页码。</w:t>
      </w:r>
    </w:p>
    <w:sdt xmlns:w="http://schemas.openxmlformats.org/wordprocessingml/2006/main">
      <w:sdtPr>
        <w:alias w:val="目录"/>
      </w:sdtPr>
      <w:sdtContent>
        <w:p>
          <w:r>
            <w:fldChar w:fldCharType="begin" w:dirty="true"/>
            <w:instrText xml:space="preserve"> TOC \o "1-3" \h \z \u </w:instrText>
            <w:fldChar w:fldCharType="separate"/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一、使用说明</w:t>
          </w:r>
          <w:r>
            <w:tab/>
          </w:r>
          <w:r>
            <w:t>2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二、部署前：服务器与基础设施</w:t>
          </w:r>
          <w:r>
            <w:tab/>
          </w:r>
          <w:r>
            <w:t>3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三、HTTPS 与网络层</w:t>
          </w:r>
          <w:r>
            <w:tab/>
          </w:r>
          <w:r>
            <w:t>3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四、平台配置基线核对</w:t>
          </w:r>
          <w:r>
            <w:tab/>
          </w:r>
          <w:r>
            <w:t>4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五、账号与密钥管理</w:t>
          </w:r>
          <w:r>
            <w:tab/>
          </w:r>
          <w:r>
            <w:t>5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六、上线前安全验证（逐项实操）</w:t>
          </w:r>
          <w:r>
            <w:tab/>
          </w:r>
          <w:r>
            <w:t>6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七、上线后运维基线</w:t>
          </w:r>
          <w:r>
            <w:tab/>
          </w:r>
          <w:r>
            <w:t>7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八、安全事件应急处置</w:t>
          </w:r>
          <w:r>
            <w:tab/>
          </w:r>
          <w:r>
            <w:t>8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九、检查确认与签字</w:t>
          </w:r>
          <w:r>
            <w:tab/>
          </w:r>
          <w:r>
            <w:t>9</w:t>
          </w:r>
        </w:p>
        <w:p>
          <w:r>
            <w:fldChar w:fldCharType="end"/>
          </w:r>
        </w:p>
      </w:sdtContent>
    </w:sdt>
    <w:p>
      <w:pPr>
        <w:pageBreakBefore/>
        <w:spacing w:after="16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/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一、使用说明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本清单用于 WebAPI 管理平台部署到公网（或暴露面较大的网络）前的安全自查。平台自身已内置安全机制（scrypt 密码哈希、初始密码强制修改、双因子密钥鉴权、安全响应头、CORS 白名单、请求体上限、SSRF 防护等，见 v1.3.2 Release 说明），但外网安全是"平台 + 基础设施 + 运维流程"的整体工程，请逐项核对并在"结果"列打勾。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使用方式：按章节顺序执行；任何一项不通过，暂停上线并整改后复查；全部通过后由部署负责人与安全负责人在第九章签字确认。</w:t>
      </w:r>
    </w:p>
    <w:p>
      <w:pPr>
        <w:shd w:fill="EEF3F6" w:val="clear"/>
        <w:spacing w:after="160" w:line="300"/>
      </w:pPr>
      <w:r>
        <w:rPr>
          <w:rFonts w:ascii="Times New Roman" w:cs="Times New Roman" w:eastAsia="SimSun" w:hAnsi="Times New Roman"/>
          <w:color w:val="37474F"/>
          <w:sz w:val="24"/>
          <w:szCs w:val="24"/>
        </w:rPr>
        <w:t xml:space="preserve">提示：本清单与《系统部署手册》《操作手册（SOP）》配套使用，命令示例中的 localhost 在实际核查时请替换为服务器地址。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二、部署前：服务器与基础设施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100"/>
        <w:gridCol w:w="3800"/>
        <w:gridCol w:w="800"/>
      </w:tblGrid>
      <w:tr>
        <w:tc>
          <w:tcPr>
            <w:tcW w:type="dxa" w:w="7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编号</w:t>
            </w:r>
          </w:p>
        </w:tc>
        <w:tc>
          <w:tcPr>
            <w:tcW w:type="dxa" w:w="31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检查项</w:t>
            </w:r>
          </w:p>
        </w:tc>
        <w:tc>
          <w:tcPr>
            <w:tcW w:type="dxa" w:w="38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通过标准 / 检查方法</w:t>
            </w:r>
          </w:p>
        </w:tc>
        <w:tc>
          <w:tcPr>
            <w:tcW w:type="dxa" w:w="8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结果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2.1</w:t>
            </w:r>
          </w:p>
        </w:tc>
        <w:tc>
          <w:tcPr>
            <w:tcW w:type="dxa" w:w="3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Node.js 版本 ≥ 24</w:t>
            </w:r>
          </w:p>
        </w:tc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node -v 确认；低版本缺少内置 node:sqlite 与安全修复</w:t>
            </w:r>
          </w:p>
        </w:tc>
        <w:tc>
          <w:tcPr>
            <w:tcW w:type="dxa" w:w="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☐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2.2</w:t>
            </w:r>
          </w:p>
        </w:tc>
        <w:tc>
          <w:tcPr>
            <w:tcW w:type="dxa" w:w="3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操作系统补丁已更新</w:t>
            </w:r>
          </w:p>
        </w:tc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yum/apt 更新至最新，重点关注 OpenSSL、内核</w:t>
            </w:r>
          </w:p>
        </w:tc>
        <w:tc>
          <w:tcPr>
            <w:tcW w:type="dxa" w:w="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☐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2.3</w:t>
            </w:r>
          </w:p>
        </w:tc>
        <w:tc>
          <w:tcPr>
            <w:tcW w:type="dxa" w:w="3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防火墙最小化放行</w:t>
            </w:r>
          </w:p>
        </w:tc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仅放行 443（HTTPS）与必要的 22（SSH）；3100 不直接对公网开放，仅本机/内网可达</w:t>
            </w:r>
          </w:p>
        </w:tc>
        <w:tc>
          <w:tcPr>
            <w:tcW w:type="dxa" w:w="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☐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2.4</w:t>
            </w:r>
          </w:p>
        </w:tc>
        <w:tc>
          <w:tcPr>
            <w:tcW w:type="dxa" w:w="3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专用低权限账号运行服务</w:t>
            </w:r>
          </w:p>
        </w:tc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不使用 root 运行 node；创建如 webapi 普通用户</w:t>
            </w:r>
          </w:p>
        </w:tc>
        <w:tc>
          <w:tcPr>
            <w:tcW w:type="dxa" w:w="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☐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2.5</w:t>
            </w:r>
          </w:p>
        </w:tc>
        <w:tc>
          <w:tcPr>
            <w:tcW w:type="dxa" w:w="3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SSH 加固</w:t>
            </w:r>
          </w:p>
        </w:tc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禁用密码登录改用密钥；修改默认端口或限制来源 IP</w:t>
            </w:r>
          </w:p>
        </w:tc>
        <w:tc>
          <w:tcPr>
            <w:tcW w:type="dxa" w:w="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☐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2.6</w:t>
            </w:r>
          </w:p>
        </w:tc>
        <w:tc>
          <w:tcPr>
            <w:tcW w:type="dxa" w:w="3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服务器时间同步</w:t>
            </w:r>
          </w:p>
        </w:tc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NTP 同步正常（timedatectl 检查），否则日志/指标时间失真</w:t>
            </w:r>
          </w:p>
        </w:tc>
        <w:tc>
          <w:tcPr>
            <w:tcW w:type="dxa" w:w="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☐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2.7</w:t>
            </w:r>
          </w:p>
        </w:tc>
        <w:tc>
          <w:tcPr>
            <w:tcW w:type="dxa" w:w="3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磁盘空间与告警</w:t>
            </w:r>
          </w:p>
        </w:tc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数据目录所在盘剩余空间 ≥ 10GB 且有容量告警</w:t>
            </w:r>
          </w:p>
        </w:tc>
        <w:tc>
          <w:tcPr>
            <w:tcW w:type="dxa" w:w="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☐</w:t>
            </w:r>
          </w:p>
        </w:tc>
      </w:tr>
    </w:tbl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三、HTTPS 与网络层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平台本身为 HTTP 服务，公网部署必须在前方加 Nginx/Caddy 终结 TLS，登录口令与调用密钥才能避免明文传输。参考 Nginx 配置：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server {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    listen 443 ssl;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    server_name api-gw.example.com;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    ssl_certificate     /etc/nginx/ssl/api-gw.pem;     # 证书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    ssl_certificate_key /etc/nginx/ssl/api-gw.key;     # 私钥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    ssl_protocols TLSv1.2 TLSv1.3;                     # 禁用过时协议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    client_max_body_size 12m;                          # 略大于网关 GATEWAY_MAX_BODY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    location / {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        proxy_pass http://127.0.0.1:3100;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        proxy_set_header Host $host;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        proxy_set_header X-Forwarded-For $remote_addr;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    }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}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server { listen 80; server_name api-gw.example.com;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    return 301 https://$host$request_uri; }            # HTTP 强制跳转 HTTPS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100"/>
        <w:gridCol w:w="3800"/>
        <w:gridCol w:w="800"/>
      </w:tblGrid>
      <w:tr>
        <w:tc>
          <w:tcPr>
            <w:tcW w:type="dxa" w:w="7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编号</w:t>
            </w:r>
          </w:p>
        </w:tc>
        <w:tc>
          <w:tcPr>
            <w:tcW w:type="dxa" w:w="31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检查项</w:t>
            </w:r>
          </w:p>
        </w:tc>
        <w:tc>
          <w:tcPr>
            <w:tcW w:type="dxa" w:w="38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通过标准 / 检查方法</w:t>
            </w:r>
          </w:p>
        </w:tc>
        <w:tc>
          <w:tcPr>
            <w:tcW w:type="dxa" w:w="8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结果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3.1</w:t>
            </w:r>
          </w:p>
        </w:tc>
        <w:tc>
          <w:tcPr>
            <w:tcW w:type="dxa" w:w="3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HTTPS 已启用且证书有效</w:t>
            </w:r>
          </w:p>
        </w:tc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浏览器访问无警告；证书剩余有效期 &gt; 30 天</w:t>
            </w:r>
          </w:p>
        </w:tc>
        <w:tc>
          <w:tcPr>
            <w:tcW w:type="dxa" w:w="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☐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3.2</w:t>
            </w:r>
          </w:p>
        </w:tc>
        <w:tc>
          <w:tcPr>
            <w:tcW w:type="dxa" w:w="3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证书自动续期</w:t>
            </w:r>
          </w:p>
        </w:tc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certbot/acme.sh 定时任务已配置并实测续期成功</w:t>
            </w:r>
          </w:p>
        </w:tc>
        <w:tc>
          <w:tcPr>
            <w:tcW w:type="dxa" w:w="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☐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3.3</w:t>
            </w:r>
          </w:p>
        </w:tc>
        <w:tc>
          <w:tcPr>
            <w:tcW w:type="dxa" w:w="3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HTTP 自动跳转 HTTPS</w:t>
            </w:r>
          </w:p>
        </w:tc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curl -I http://域名 返回 301/308</w:t>
            </w:r>
          </w:p>
        </w:tc>
        <w:tc>
          <w:tcPr>
            <w:tcW w:type="dxa" w:w="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☐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3.4</w:t>
            </w:r>
          </w:p>
        </w:tc>
        <w:tc>
          <w:tcPr>
            <w:tcW w:type="dxa" w:w="3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TLS 1.0/1.1 已禁用</w:t>
            </w:r>
          </w:p>
        </w:tc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ssl_protocols 仅保留 TLSv1.2 TLSv1.3</w:t>
            </w:r>
          </w:p>
        </w:tc>
        <w:tc>
          <w:tcPr>
            <w:tcW w:type="dxa" w:w="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☐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3.5</w:t>
            </w:r>
          </w:p>
        </w:tc>
        <w:tc>
          <w:tcPr>
            <w:tcW w:type="dxa" w:w="3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3100 端口不对公网直接开放</w:t>
            </w:r>
          </w:p>
        </w:tc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从外网 telnet &lt;IP&gt; 3100 应超时；仅经 443 反代访问</w:t>
            </w:r>
          </w:p>
        </w:tc>
        <w:tc>
          <w:tcPr>
            <w:tcW w:type="dxa" w:w="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☐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3.6</w:t>
            </w:r>
          </w:p>
        </w:tc>
        <w:tc>
          <w:tcPr>
            <w:tcW w:type="dxa" w:w="3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反代后开启 TRUST_PROXY=1</w:t>
            </w:r>
          </w:p>
        </w:tc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平台经 Nginx/Caddy 反代时配置该环境变量，操作审计与登录日志才能记录真实客户端 IP（X-Forwarded-For 首跳）；直连部署严禁开启</w:t>
            </w:r>
          </w:p>
        </w:tc>
        <w:tc>
          <w:tcPr>
            <w:tcW w:type="dxa" w:w="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☐</w:t>
            </w:r>
          </w:p>
        </w:tc>
      </w:tr>
    </w:tbl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四、平台配置基线核对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100"/>
        <w:gridCol w:w="3800"/>
        <w:gridCol w:w="800"/>
      </w:tblGrid>
      <w:tr>
        <w:tc>
          <w:tcPr>
            <w:tcW w:type="dxa" w:w="7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编号</w:t>
            </w:r>
          </w:p>
        </w:tc>
        <w:tc>
          <w:tcPr>
            <w:tcW w:type="dxa" w:w="31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检查项</w:t>
            </w:r>
          </w:p>
        </w:tc>
        <w:tc>
          <w:tcPr>
            <w:tcW w:type="dxa" w:w="38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通过标准 / 检查方法</w:t>
            </w:r>
          </w:p>
        </w:tc>
        <w:tc>
          <w:tcPr>
            <w:tcW w:type="dxa" w:w="8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结果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4.1</w:t>
            </w:r>
          </w:p>
        </w:tc>
        <w:tc>
          <w:tcPr>
            <w:tcW w:type="dxa" w:w="3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ALLOW_LOCAL_TEST 未开启</w:t>
            </w:r>
          </w:p>
        </w:tc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启动命令/环境变量中无 ALLOW_LOCAL_TEST=1（该开关仅用于本机联调）</w:t>
            </w:r>
          </w:p>
        </w:tc>
        <w:tc>
          <w:tcPr>
            <w:tcW w:type="dxa" w:w="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☐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4.2</w:t>
            </w:r>
          </w:p>
        </w:tc>
        <w:tc>
          <w:tcPr>
            <w:tcW w:type="dxa" w:w="3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CORS_ORIGIN 按需配置</w:t>
            </w:r>
          </w:p>
        </w:tc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如有跨域前端需访问管理接口，配置精确域名白名单；否则保持为空</w:t>
            </w:r>
          </w:p>
        </w:tc>
        <w:tc>
          <w:tcPr>
            <w:tcW w:type="dxa" w:w="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☐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4.3</w:t>
            </w:r>
          </w:p>
        </w:tc>
        <w:tc>
          <w:tcPr>
            <w:tcW w:type="dxa" w:w="3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GATEWAY_MAX_BODY 符合预期</w:t>
            </w:r>
          </w:p>
        </w:tc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默认 10MB；业务有大报文需求时调大并同步 Nginx client_max_body_size</w:t>
            </w:r>
          </w:p>
        </w:tc>
        <w:tc>
          <w:tcPr>
            <w:tcW w:type="dxa" w:w="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☐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4.4</w:t>
            </w:r>
          </w:p>
        </w:tc>
        <w:tc>
          <w:tcPr>
            <w:tcW w:type="dxa" w:w="3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LOG_RETENTION_DAYS 已确认</w:t>
            </w:r>
          </w:p>
        </w:tc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默认 30 天；合规要求更长保留期时调大并确认磁盘容量</w:t>
            </w:r>
          </w:p>
        </w:tc>
        <w:tc>
          <w:tcPr>
            <w:tcW w:type="dxa" w:w="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☐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4.5</w:t>
            </w:r>
          </w:p>
        </w:tc>
        <w:tc>
          <w:tcPr>
            <w:tcW w:type="dxa" w:w="3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版本号核对</w:t>
            </w:r>
          </w:p>
        </w:tc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登录页/侧边栏显示的系统版本与本次部署目标版本一致（如 v1.3.2）</w:t>
            </w:r>
          </w:p>
        </w:tc>
        <w:tc>
          <w:tcPr>
            <w:tcW w:type="dxa" w:w="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☐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4.6</w:t>
            </w:r>
          </w:p>
        </w:tc>
        <w:tc>
          <w:tcPr>
            <w:tcW w:type="dxa" w:w="3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示例数据已清理</w:t>
            </w:r>
          </w:p>
        </w:tc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生产环境删除演示 API/应用（仅管理员可删，且需先废弃），避免 mock 数据暴露</w:t>
            </w:r>
          </w:p>
        </w:tc>
        <w:tc>
          <w:tcPr>
            <w:tcW w:type="dxa" w:w="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☐</w:t>
            </w:r>
          </w:p>
        </w:tc>
      </w:tr>
    </w:tbl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五、账号与密钥管理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100"/>
        <w:gridCol w:w="3800"/>
        <w:gridCol w:w="800"/>
      </w:tblGrid>
      <w:tr>
        <w:tc>
          <w:tcPr>
            <w:tcW w:type="dxa" w:w="7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编号</w:t>
            </w:r>
          </w:p>
        </w:tc>
        <w:tc>
          <w:tcPr>
            <w:tcW w:type="dxa" w:w="31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检查项</w:t>
            </w:r>
          </w:p>
        </w:tc>
        <w:tc>
          <w:tcPr>
            <w:tcW w:type="dxa" w:w="38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通过标准 / 检查方法</w:t>
            </w:r>
          </w:p>
        </w:tc>
        <w:tc>
          <w:tcPr>
            <w:tcW w:type="dxa" w:w="8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结果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5.1</w:t>
            </w:r>
          </w:p>
        </w:tc>
        <w:tc>
          <w:tcPr>
            <w:tcW w:type="dxa" w:w="3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admin 初始密码已修改</w:t>
            </w:r>
          </w:p>
        </w:tc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首次登录触发强制改密并完成；新密码 12 位以上、含大小写数字符号</w:t>
            </w:r>
          </w:p>
        </w:tc>
        <w:tc>
          <w:tcPr>
            <w:tcW w:type="dxa" w:w="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☐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5.2</w:t>
            </w:r>
          </w:p>
        </w:tc>
        <w:tc>
          <w:tcPr>
            <w:tcW w:type="dxa" w:w="3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按最小权限建号、无共享账号</w:t>
            </w:r>
          </w:p>
        </w:tc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每人一个账号；运维用操作员、访客用只读；SecretKey 仅存哈希，任何角色都看不到完整值，仅创建/重置时一次性展示</w:t>
            </w:r>
          </w:p>
        </w:tc>
        <w:tc>
          <w:tcPr>
            <w:tcW w:type="dxa" w:w="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☐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5.3</w:t>
            </w:r>
          </w:p>
        </w:tc>
        <w:tc>
          <w:tcPr>
            <w:tcW w:type="dxa" w:w="3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密钥分发渠道安全</w:t>
            </w:r>
          </w:p>
        </w:tc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AccessKey/SecretKey 不通过即时通讯、邮件明文群发；建议面对面或加密渠道点对点分发</w:t>
            </w:r>
          </w:p>
        </w:tc>
        <w:tc>
          <w:tcPr>
            <w:tcW w:type="dxa" w:w="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☐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5.4</w:t>
            </w:r>
          </w:p>
        </w:tc>
        <w:tc>
          <w:tcPr>
            <w:tcW w:type="dxa" w:w="3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调用方已适配双因子</w:t>
            </w:r>
          </w:p>
        </w:tc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所有调用方请求头同时携带 X-Access-Key 与 X-Secret-Key（v1.3.2 起仅带 AK 会返回 40102）</w:t>
            </w:r>
          </w:p>
        </w:tc>
        <w:tc>
          <w:tcPr>
            <w:tcW w:type="dxa" w:w="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☐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5.5</w:t>
            </w:r>
          </w:p>
        </w:tc>
        <w:tc>
          <w:tcPr>
            <w:tcW w:type="dxa" w:w="3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密钥轮换制度</w:t>
            </w:r>
          </w:p>
        </w:tc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约定轮换周期（建议 90 天）；轮换流程：停用应用 → 重置 SK → 分发新密钥 → 启用</w:t>
            </w:r>
          </w:p>
        </w:tc>
        <w:tc>
          <w:tcPr>
            <w:tcW w:type="dxa" w:w="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☐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5.6</w:t>
            </w:r>
          </w:p>
        </w:tc>
        <w:tc>
          <w:tcPr>
            <w:tcW w:type="dxa" w:w="3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闲置应用已停用</w:t>
            </w:r>
          </w:p>
        </w:tc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「应用与密钥」中无长期不使用但仍启用的应用</w:t>
            </w:r>
          </w:p>
        </w:tc>
        <w:tc>
          <w:tcPr>
            <w:tcW w:type="dxa" w:w="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☐</w:t>
            </w:r>
          </w:p>
        </w:tc>
      </w:tr>
    </w:tbl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六、上线前安全验证（逐项实操）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以下验证项对应平台内置安全机制，请在已部署的外网地址上逐项执行确认（把 https://域名 替换为实际地址）：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100"/>
        <w:gridCol w:w="3800"/>
        <w:gridCol w:w="800"/>
      </w:tblGrid>
      <w:tr>
        <w:tc>
          <w:tcPr>
            <w:tcW w:type="dxa" w:w="7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编号</w:t>
            </w:r>
          </w:p>
        </w:tc>
        <w:tc>
          <w:tcPr>
            <w:tcW w:type="dxa" w:w="31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检查项</w:t>
            </w:r>
          </w:p>
        </w:tc>
        <w:tc>
          <w:tcPr>
            <w:tcW w:type="dxa" w:w="38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通过标准 / 检查方法</w:t>
            </w:r>
          </w:p>
        </w:tc>
        <w:tc>
          <w:tcPr>
            <w:tcW w:type="dxa" w:w="8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结果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6.1</w:t>
            </w:r>
          </w:p>
        </w:tc>
        <w:tc>
          <w:tcPr>
            <w:tcW w:type="dxa" w:w="3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未登录访问管理接口被拒</w:t>
            </w:r>
          </w:p>
        </w:tc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curl https://域名/admin/state 返回 401</w:t>
            </w:r>
          </w:p>
        </w:tc>
        <w:tc>
          <w:tcPr>
            <w:tcW w:type="dxa" w:w="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☐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6.2</w:t>
            </w:r>
          </w:p>
        </w:tc>
        <w:tc>
          <w:tcPr>
            <w:tcW w:type="dxa" w:w="3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初始密码强制改密生效</w:t>
            </w:r>
          </w:p>
        </w:tc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若账号用初始密码登录，页面弹出不可关闭的「请修改初始密码」对话框；且除登录/改密/退出外所有管理接口被服务端阻断（返回 403，错误码 40310）</w:t>
            </w:r>
          </w:p>
        </w:tc>
        <w:tc>
          <w:tcPr>
            <w:tcW w:type="dxa" w:w="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☐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6.3</w:t>
            </w:r>
          </w:p>
        </w:tc>
        <w:tc>
          <w:tcPr>
            <w:tcW w:type="dxa" w:w="3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登录暴力破解锁定</w:t>
            </w:r>
          </w:p>
        </w:tc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连续 5 次错误密码后第 6 次返回锁定提示（429）</w:t>
            </w:r>
          </w:p>
        </w:tc>
        <w:tc>
          <w:tcPr>
            <w:tcW w:type="dxa" w:w="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☐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6.4</w:t>
            </w:r>
          </w:p>
        </w:tc>
        <w:tc>
          <w:tcPr>
            <w:tcW w:type="dxa" w:w="3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网关缺 SecretKey 被拒</w:t>
            </w:r>
          </w:p>
        </w:tc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curl 仅带 X-Access-Key 调用已发布 API 返回 401（错误码 40102）</w:t>
            </w:r>
          </w:p>
        </w:tc>
        <w:tc>
          <w:tcPr>
            <w:tcW w:type="dxa" w:w="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☐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6.5</w:t>
            </w:r>
          </w:p>
        </w:tc>
        <w:tc>
          <w:tcPr>
            <w:tcW w:type="dxa" w:w="3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SSRF 防护生效</w:t>
            </w:r>
          </w:p>
        </w:tc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管理员调用连通性测试 POST /admin/test，url 填 http://169.254.169.254/ 返回 403 拦截提示</w:t>
            </w:r>
          </w:p>
        </w:tc>
        <w:tc>
          <w:tcPr>
            <w:tcW w:type="dxa" w:w="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☐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6.6</w:t>
            </w:r>
          </w:p>
        </w:tc>
        <w:tc>
          <w:tcPr>
            <w:tcW w:type="dxa" w:w="3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安全响应头齐全</w:t>
            </w:r>
          </w:p>
        </w:tc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curl -sD- https://域名/ 含 Content-Security-Policy、X-Frame-Options: DENY、X-Content-Type-Options: nosniff</w:t>
            </w:r>
          </w:p>
        </w:tc>
        <w:tc>
          <w:tcPr>
            <w:tcW w:type="dxa" w:w="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☐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6.7</w:t>
            </w:r>
          </w:p>
        </w:tc>
        <w:tc>
          <w:tcPr>
            <w:tcW w:type="dxa" w:w="3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管理接口 CORS 已收敛</w:t>
            </w:r>
          </w:p>
        </w:tc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curl -X OPTIONS -H 'Origin: https://evil.example.com' https://域名/admin/state 响应不含 Access-Control-Allow-Origin</w:t>
            </w:r>
          </w:p>
        </w:tc>
        <w:tc>
          <w:tcPr>
            <w:tcW w:type="dxa" w:w="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☐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6.8</w:t>
            </w:r>
          </w:p>
        </w:tc>
        <w:tc>
          <w:tcPr>
            <w:tcW w:type="dxa" w:w="3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超大请求体被拒</w:t>
            </w:r>
          </w:p>
        </w:tc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向 /gw 或 /admin 发送超过上限的 body 返回 413</w:t>
            </w:r>
          </w:p>
        </w:tc>
        <w:tc>
          <w:tcPr>
            <w:tcW w:type="dxa" w:w="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☐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6.9</w:t>
            </w:r>
          </w:p>
        </w:tc>
        <w:tc>
          <w:tcPr>
            <w:tcW w:type="dxa" w:w="3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前端无版本以外的信息泄漏</w:t>
            </w:r>
          </w:p>
        </w:tc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查看页面源码无不必要的注释/调试信息；登录页不显示默认账号提示</w:t>
            </w:r>
          </w:p>
        </w:tc>
        <w:tc>
          <w:tcPr>
            <w:tcW w:type="dxa" w:w="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☐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6.10</w:t>
            </w:r>
          </w:p>
        </w:tc>
        <w:tc>
          <w:tcPr>
            <w:tcW w:type="dxa" w:w="3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操作审计正常落库</w:t>
            </w:r>
          </w:p>
        </w:tc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登录、发布、停用应用后，「系统管理 → 操作审计」可查到对应记录与来源 IP</w:t>
            </w:r>
          </w:p>
        </w:tc>
        <w:tc>
          <w:tcPr>
            <w:tcW w:type="dxa" w:w="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☐</w:t>
            </w:r>
          </w:p>
        </w:tc>
      </w:tr>
    </w:tbl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七、上线后运维基线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100"/>
        <w:gridCol w:w="3800"/>
        <w:gridCol w:w="800"/>
      </w:tblGrid>
      <w:tr>
        <w:tc>
          <w:tcPr>
            <w:tcW w:type="dxa" w:w="7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编号</w:t>
            </w:r>
          </w:p>
        </w:tc>
        <w:tc>
          <w:tcPr>
            <w:tcW w:type="dxa" w:w="31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检查项</w:t>
            </w:r>
          </w:p>
        </w:tc>
        <w:tc>
          <w:tcPr>
            <w:tcW w:type="dxa" w:w="38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通过标准 / 检查方法</w:t>
            </w:r>
          </w:p>
        </w:tc>
        <w:tc>
          <w:tcPr>
            <w:tcW w:type="dxa" w:w="8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结果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7.1</w:t>
            </w:r>
          </w:p>
        </w:tc>
        <w:tc>
          <w:tcPr>
            <w:tcW w:type="dxa" w:w="3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告警规则已配置</w:t>
            </w:r>
          </w:p>
        </w:tc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错误率/延迟/QPS 阈值规则已建并指派级别；告警确认责任到人</w:t>
            </w:r>
          </w:p>
        </w:tc>
        <w:tc>
          <w:tcPr>
            <w:tcW w:type="dxa" w:w="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☐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7.2</w:t>
            </w:r>
          </w:p>
        </w:tc>
        <w:tc>
          <w:tcPr>
            <w:tcW w:type="dxa" w:w="3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健康检查接入外部监控</w:t>
            </w:r>
          </w:p>
        </w:tc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/healthz 接入 Uptime 监控（1 分钟探测，连续失败告警）</w:t>
            </w:r>
          </w:p>
        </w:tc>
        <w:tc>
          <w:tcPr>
            <w:tcW w:type="dxa" w:w="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☐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7.3</w:t>
            </w:r>
          </w:p>
        </w:tc>
        <w:tc>
          <w:tcPr>
            <w:tcW w:type="dxa" w:w="3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每日数据备份</w:t>
            </w:r>
          </w:p>
        </w:tc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cron 定时下载 /admin/backup 快照或复制 server/data.db + server/archives/，异地存放</w:t>
            </w:r>
          </w:p>
        </w:tc>
        <w:tc>
          <w:tcPr>
            <w:tcW w:type="dxa" w:w="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☐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7.4</w:t>
            </w:r>
          </w:p>
        </w:tc>
        <w:tc>
          <w:tcPr>
            <w:tcW w:type="dxa" w:w="3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备份可恢复演练</w:t>
            </w:r>
          </w:p>
        </w:tc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每季度在测试环境执行一次恢复验证（含用户表场景）</w:t>
            </w:r>
          </w:p>
        </w:tc>
        <w:tc>
          <w:tcPr>
            <w:tcW w:type="dxa" w:w="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☐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7.5</w:t>
            </w:r>
          </w:p>
        </w:tc>
        <w:tc>
          <w:tcPr>
            <w:tcW w:type="dxa" w:w="3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备份来源可信</w:t>
            </w:r>
          </w:p>
        </w:tc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仅恢复本单位自行生成、传输链路可信的备份文件；含用户表的恢复会整体植入备份中的口令哈希，来源不明的备份可能夹带攻击者账号</w:t>
            </w:r>
          </w:p>
        </w:tc>
        <w:tc>
          <w:tcPr>
            <w:tcW w:type="dxa" w:w="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☐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7.6</w:t>
            </w:r>
          </w:p>
        </w:tc>
        <w:tc>
          <w:tcPr>
            <w:tcW w:type="dxa" w:w="3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审计日志定期审查</w:t>
            </w:r>
          </w:p>
        </w:tc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每周查看操作审计，关注异常登录（非常用 IP/时段）与批量删除操作</w:t>
            </w:r>
          </w:p>
        </w:tc>
        <w:tc>
          <w:tcPr>
            <w:tcW w:type="dxa" w:w="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☐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7.7</w:t>
            </w:r>
          </w:p>
        </w:tc>
        <w:tc>
          <w:tcPr>
            <w:tcW w:type="dxa" w:w="3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版本升级机制</w:t>
            </w:r>
          </w:p>
        </w:tc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订阅 GitHub Releases；安全版本（security 前缀提交）48 小时内完成升级</w:t>
            </w:r>
          </w:p>
        </w:tc>
        <w:tc>
          <w:tcPr>
            <w:tcW w:type="dxa" w:w="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☐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7.8</w:t>
            </w:r>
          </w:p>
        </w:tc>
        <w:tc>
          <w:tcPr>
            <w:tcW w:type="dxa" w:w="3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日志保留合规</w:t>
            </w:r>
          </w:p>
        </w:tc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归档文件（server/archives/）的保留期限符合本单位合规要求，到期安全销毁</w:t>
            </w:r>
          </w:p>
        </w:tc>
        <w:tc>
          <w:tcPr>
            <w:tcW w:type="dxa" w:w="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☐</w:t>
            </w:r>
          </w:p>
        </w:tc>
      </w:tr>
    </w:tbl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八、安全事件应急处置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8.1 应用密钥疑似泄露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立即处置：「应用与密钥」→ 停用该应用（网关即刻拒绝其全部调用）。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定位影响：「调用日志」按调用方应用筛选，导出泄露时段的全部调用记录。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轮换密钥：确认影响后重置 SecretKey，通过安全渠道分发新密钥，再启用应用。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复盘：在操作审计中确认密钥最后查看/复制时间，完善分发流程。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8.2 控制台账号疑似泄露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立即处置：管理员在「系统管理 → 用户管理」重置该账号密码（重置后其所有会话立即失效，且下次登录强制改密）。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定位影响：操作审计按该用户名筛选，核查泄露期间的全部管理操作。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加固：评估是否需要轮换受影响账号操作过的应用密钥。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8.3 发现异常调用流量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「监控告警」查看分钟级流量图确认异常时段与来源；「调用日志」按状态码/关键词定位。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必要时下调受影响 API 的 QPS 限流阈值，或临时下线 API（已授权启用中应用时需先解除授权）。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确认攻击来源 IP 后在防火墙/反代层封禁。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九、检查确认与签字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全部检查项通过后方可开放外网访问。检查结果留档备查。</w:t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1800"/>
        <w:gridCol w:w="1800"/>
      </w:tblGrid>
      <w:tr>
        <w:tc>
          <w:tcPr>
            <w:tcW w:type="dxa" w:w="22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角色</w:t>
            </w:r>
          </w:p>
        </w:tc>
        <w:tc>
          <w:tcPr>
            <w:tcW w:type="dxa" w:w="18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姓名</w:t>
            </w:r>
          </w:p>
        </w:tc>
        <w:tc>
          <w:tcPr>
            <w:tcW w:type="dxa" w:w="18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签字</w:t>
            </w:r>
          </w:p>
        </w:tc>
        <w:tc>
          <w:tcPr>
            <w:tcW w:type="dxa" w:w="18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日期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部署负责人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安全负责人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运维负责人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/>
            </w:r>
          </w:p>
        </w:tc>
      </w:tr>
    </w:tbl>
    <w:p>
      <w:pPr>
        <w:spacing w:before="24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本清单基于 WebAPI 管理平台 v1.3.2 编写；平台升级后请核对 Release 说明中是否引入新的安全配置项，并同步更新本清单。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60" w:line="300"/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160" w:line="300"/>
      <w:jc w:val="center"/>
    </w:pPr>
    <w:r>
      <w:rPr>
        <w:rFonts w:ascii="Times New Roman" w:cs="Times New Roman" w:eastAsia="SimSun" w:hAnsi="Times New Roman"/>
        <w:b/>
        <w:bCs/>
        <w:color w:val="37474F"/>
        <w:sz w:val="24"/>
        <w:szCs w:val="24"/>
      </w:rPr>
      <w:t xml:space="preserve">WebAPI 管理平台 · 外网部署安全自查清单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2026-09-22T07:07:28.004Z</dcterms:created>
  <dcterms:modified xsi:type="dcterms:W3CDTF">2026-09-22T07:07:28.005Z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