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外网部署安全自查清单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适用版本：v1.3.2　|　适用对象：部署负责人 / 安全负责人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文档日期：2026-09-20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一、使用说明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二、部署前：服务器与基础设施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三、HTTPS 与网络层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四、平台配置基线核对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五、账号与密钥管理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六、上线前安全验证（逐项实操）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七、上线后运维基线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八、安全事件应急处置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九、检查确认与签字</w:t>
          </w:r>
          <w:r>
            <w:tab/>
          </w:r>
          <w:r>
            <w:t>9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一、使用说明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本清单用于 WebAPI 管理平台部署到公网（或暴露面较大的网络）前的安全自查。平台自身已内置安全机制（scrypt 密码哈希、初始密码强制修改、双因子密钥鉴权、安全响应头、CORS 白名单、请求体上限、SSRF 防护等，见 v1.3.2 Release 说明），但外网安全是"平台 + 基础设施 + 运维流程"的整体工程，请逐项核对并在"结果"列打勾。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使用方式：按章节顺序执行；任何一项不通过，暂停上线并整改后复查；全部通过后由部署负责人与安全负责人在第九章签字确认。</w:t>
      </w:r>
    </w:p>
    <w:p>
      <w:pPr>
        <w:shd w:fill="EEF3F6" w:val="clear"/>
        <w:spacing w:after="160" w:line="300"/>
      </w:pPr>
      <w:r>
        <w:rPr>
          <w:rFonts w:ascii="Times New Roman" w:cs="Times New Roman" w:eastAsia="SimSun" w:hAnsi="Times New Roman"/>
          <w:color w:val="37474F"/>
          <w:sz w:val="24"/>
          <w:szCs w:val="24"/>
        </w:rPr>
        <w:t xml:space="preserve">提示：本清单与《系统部署手册》《操作手册（SOP）》配套使用，命令示例中的 localhost 在实际核查时请替换为服务器地址。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二、部署前：服务器与基础设施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 版本 ≥ 24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 -v 确认；低版本缺少内置 node:sqlite 与安全修复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操作系统补丁已更新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yum/apt 更新至最新，重点关注 OpenSSL、内核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防火墙最小化放行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仅放行 443（HTTPS）与必要的 22（SSH）；3100 不直接对公网开放，仅本机/内网可达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专用低权限账号运行服务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不使用 root 运行 node；创建如 webapi 普通用户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SSH 加固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禁用密码登录改用密钥；修改默认端口或限制来源 IP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服务器时间同步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NTP 同步正常（timedatectl 检查），否则日志/指标时间失真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2.7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磁盘空间与告警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数据目录所在盘剩余空间 ≥ 10GB 且有容量告警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三、HTTPS 与网络层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平台本身为 HTTP 服务，公网部署必须在前方加 Nginx/Caddy 终结 TLS，登录口令与调用密钥才能避免明文传输。参考 Nginx 配置：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server {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listen 443 ssl;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server_name api-gw.example.com;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ssl_certificate     /etc/nginx/ssl/api-gw.pem;     # 证书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ssl_certificate_key /etc/nginx/ssl/api-gw.key;     # 私钥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ssl_protocols TLSv1.2 TLSv1.3;                     # 禁用过时协议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client_max_body_size 12m;                          # 略大于网关 GATEWAY_MAX_BODY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location / {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    proxy_pass http://127.0.0.1:3100;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    proxy_set_header Host $host;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    proxy_set_header X-Forwarded-For $remote_addr;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server { listen 80; server_name api-gw.example.com;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  return 301 https://$host$request_uri; }            # HTTP 强制跳转 HTTPS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HTTPS 已启用且证书有效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浏览器访问无警告；证书剩余有效期 &gt; 30 天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证书自动续期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certbot/acme.sh 定时任务已配置并实测续期成功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HTTP 自动跳转 HTTPS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-I http://域名 返回 301/308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TLS 1.0/1.1 已禁用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ssl_protocols 仅保留 TLSv1.2 TLSv1.3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 端口不对公网直接开放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从外网 telnet &lt;IP&gt; 3100 应超时；仅经 443 反代访问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反代后开启 TRUST_PROXY=1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平台经 Nginx/Caddy 反代时配置该环境变量，操作审计与登录日志才能记录真实客户端 IP（X-Forwarded-For 首跳）；直连部署严禁开启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四、平台配置基线核对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 未开启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启动命令/环境变量中无 ALLOW_LOCAL_TEST=1（该开关仅用于本机联调）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 按需配置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如有跨域前端需访问管理接口，配置精确域名白名单；否则保持为空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 符合预期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默认 10MB；业务有大报文需求时调大并同步 Nginx client_max_body_size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 已确认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默认 30 天；合规要求更长保留期时调大并确认磁盘容量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版本号核对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登录页/侧边栏显示的系统版本与本次部署目标版本一致（如 v1.3.2）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示例数据已清理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生产环境删除演示 API/应用（仅管理员可删，且需先废弃），避免 mock 数据暴露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五、账号与密钥管理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admin 初始密码已修改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首次登录触发强制改密并完成；新密码 12 位以上、含大小写数字符号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按最小权限建号、无共享账号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每人一个账号；运维用操作员、访客用只读；只读角色看到的 SecretKey 为掩码属正常现象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密钥分发渠道安全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AccessKey/SecretKey 不通过即时通讯、邮件明文群发；建议面对面或加密渠道点对点分发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调用方已适配双因子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所有调用方请求头同时携带 X-Access-Key 与 X-Secret-Key（v1.3.2 起仅带 AK 会返回 40102）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密钥轮换制度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约定轮换周期（建议 90 天）；轮换流程：停用应用 → 重置 SK → 分发新密钥 → 启用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闲置应用已停用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「应用与密钥」中无长期不使用但仍启用的应用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六、上线前安全验证（逐项实操）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以下验证项对应平台内置安全机制，请在已部署的外网地址上逐项执行确认（把 https://域名 替换为实际地址）：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未登录访问管理接口被拒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https://域名/admin/state 返回 401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初始密码强制改密生效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若账号用初始密码登录，页面弹出不可关闭的「请修改初始密码」对话框；且除登录/改密/退出外所有管理接口被服务端阻断（返回 403，错误码 40310）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登录暴力破解锁定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连续 5 次错误密码后第 6 次返回锁定提示（429）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网关缺 SecretKey 被拒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仅带 X-Access-Key 调用已发布 API 返回 401（错误码 40102）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SSRF 防护生效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管理员调用连通性测试 POST /admin/test，url 填 http://169.254.169.254/ 返回 403 拦截提示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安全响应头齐全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-sD- https://域名/ 含 Content-Security-Policy、X-Frame-Options: DENY、X-Content-Type-Options: nosniff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6.7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 CORS 已收敛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curl -X OPTIONS -H 'Origin: https://evil.example.com' https://域名/admin/state 响应不含 Access-Control-Allow-Origin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6.8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超大请求体被拒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向 /gw 或 /admin 发送超过上限的 body 返回 413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6.9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前端无版本以外的信息泄漏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查看页面源码无不必要的注释/调试信息；登录页不显示默认账号提示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6.10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操作审计正常落库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登录、发布、停用应用后，「系统管理 → 操作审计」可查到对应记录与来源 IP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七、上线后运维基线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3800"/>
        <w:gridCol w:w="800"/>
      </w:tblGrid>
      <w:tr>
        <w:tc>
          <w:tcPr>
            <w:tcW w:type="dxa" w:w="7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编号</w:t>
            </w:r>
          </w:p>
        </w:tc>
        <w:tc>
          <w:tcPr>
            <w:tcW w:type="dxa" w:w="3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检查项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通过标准 / 检查方法</w:t>
            </w:r>
          </w:p>
        </w:tc>
        <w:tc>
          <w:tcPr>
            <w:tcW w:type="dxa" w:w="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结果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7.1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告警规则已配置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错误率/延迟/QPS 阈值规则已建并指派级别；告警确认责任到人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7.2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健康检查接入外部监控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 接入 Uptime 监控（1 分钟探测，连续失败告警）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7.3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每日数据备份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cron 定时下载 /admin/backup 快照或复制 server/data.db + server/archives/，异地存放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7.4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备份可恢复演练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每季度在测试环境执行一次恢复验证（含用户表场景）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7.5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备份来源可信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仅恢复本单位自行生成、传输链路可信的备份文件；含用户表的恢复会整体植入备份中的口令哈希，来源不明的备份可能夹带攻击者账号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7.6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审计日志定期审查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每周查看操作审计，关注异常登录（非常用 IP/时段）与批量删除操作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7.7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版本升级机制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订阅 GitHub Releases；安全版本（security 前缀提交）48 小时内完成升级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7.8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日志保留合规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归档文件（server/archives/）的保留期限符合本单位合规要求，到期安全销毁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八、安全事件应急处置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8.1 应用密钥疑似泄露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立即处置：「应用与密钥」→ 停用该应用（网关即刻拒绝其全部调用）。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定位影响：「调用日志」按调用方应用筛选，导出泄露时段的全部调用记录。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轮换密钥：确认影响后重置 SecretKey，通过安全渠道分发新密钥，再启用应用。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复盘：在操作审计中确认密钥最后查看/复制时间，完善分发流程。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8.2 控制台账号疑似泄露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立即处置：管理员在「系统管理 → 用户管理」重置该账号密码（重置后其所有会话立即失效，且下次登录强制改密）。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定位影响：操作审计按该用户名筛选，核查泄露期间的全部管理操作。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加固：评估是否需要轮换受影响账号操作过的应用密钥。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8.3 发现异常调用流量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「监控告警」查看分钟级流量图确认异常时段与来源；「调用日志」按状态码/关键词定位。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必要时下调受影响 API 的 QPS 限流阈值，或临时下线 API（已授权启用中应用时需先解除授权）。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确认攻击来源 IP 后在防火墙/反代层封禁。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九、检查确认与签字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全部检查项通过后方可开放外网访问。检查结果留档备查。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姓名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签字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日期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部署负责人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安全负责人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运维负责人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本清单基于 WebAPI 管理平台 v1.3.2 编写；平台升级后请核对 Release 说明中是否引入新的安全配置项，并同步更新本清单。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外网部署安全自查清单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2026-09-20T11:46:28.697Z</dcterms:created>
  <dcterms:modified xsi:type="dcterms:W3CDTF">2026-09-20T11:46:28.697Z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