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w14:paraId="7DB1625A">
      <w:pPr>
        <w:spacing w:after="200" w:before="3600"/>
        <w:jc w:val="center"/>
      </w:pPr>
      <w:r>
        <w:rPr>
          <w:rFonts w:ascii="Times New Roman" w:cs="Times New Roman" w:eastAsia="SimSun" w:hAnsi="Times New Roman"/>
          <w:b/>
          <w:bCs/>
          <w:color w:val="1F2A37"/>
          <w:sz w:val="56"/>
          <w:szCs w:val="56"/>
        </w:rPr>
        <w:t xml:space="preserve">WebAPI 管理平台</w:t>
      </w:r>
    </w:p>
    <w:p w14:paraId="59327232">
      <w:pPr>
        <w:spacing w:after="600"/>
        <w:jc w:val="center"/>
      </w:pPr>
      <w:r>
        <w:rPr>
          <w:rFonts w:ascii="Times New Roman" w:cs="Times New Roman" w:eastAsia="SimSun" w:hAnsi="Times New Roman"/>
          <w:b/>
          <w:bCs/>
          <w:color w:val="1D4ED8"/>
          <w:sz w:val="40"/>
          <w:szCs w:val="40"/>
        </w:rPr>
        <w:t xml:space="preserve">系 统 部 署 手 册</w:t>
      </w:r>
    </w:p>
    <w:p w14:paraId="7E1F2DDE">
      <w:pPr>
        <w:spacing w:after="2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适用版本：v1.0（含网关转发、监控告警、调用日志、控制台认证）</w:t>
      </w:r>
    </w:p>
    <w:p w14:paraId="4F2A2422">
      <w:pPr>
        <w:spacing w:after="2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文档日期：2026-08-18</w:t>
      </w:r>
    </w:p>
    <w:p w14:paraId="63874AB0">
      <w:pPr>
        <w:spacing w:after="160" w:line="3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密级：内部资料</w:t>
      </w:r>
    </w:p>
    <w:p w14:paraId="36740CAA">
      <w:pPr>
        <w:pageBreakBefore/>
        <w:spacing w:after="16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/>
      </w:r>
    </w:p>
    <w:p w14:paraId="7189051E">
      <w:pPr>
        <w:pStyle w:val="Heading1"/>
        <w:spacing w:after="240"/>
        <w:jc w:val="center"/>
      </w:pPr>
      <w:r>
        <w:rPr>
          <w:rFonts w:ascii="Times New Roman" w:cs="Times New Roman" w:eastAsia="SimSun" w:hAnsi="Times New Roman"/>
          <w:b/>
          <w:bCs/>
          <w:color w:val="1F2A37"/>
          <w:sz w:val="32"/>
          <w:szCs w:val="32"/>
        </w:rPr>
        <w:t xml:space="preserve">目  录</w:t>
      </w:r>
    </w:p>
    <w:p w14:paraId="622A86FE">
      <w:pPr>
        <w:spacing w:after="160" w:line="300"/>
      </w:pPr>
      <w:r>
        <w:rPr>
          <w:rFonts w:ascii="Times New Roman" w:cs="Times New Roman" w:eastAsia="SimSun" w:hAnsi="Times New Roman"/>
          <w:i/>
          <w:iCs/>
          <w:color w:val="78909C"/>
          <w:sz w:val="24"/>
          <w:szCs w:val="24"/>
        </w:rPr>
        <w:t xml:space="preserve">右键目录，选择“更新域”可刷新页码。</w:t>
      </w:r>
    </w:p>
    <w:sdt xmlns:w="http://schemas.openxmlformats.org/wordprocessingml/2006/main">
      <w:sdtPr>
        <w:alias w:val="目录"/>
      </w:sdtPr>
      <w:sdtContent>
        <w:p w14:paraId="60E8944E">
          <w:r>
            <w:fldChar w:fldCharType="begin" w:dirty="true"/>
            <w:instrText xml:space="preserve"> TOC \o "1-3" \h \z \u </w:instrText>
            <w:fldChar w:fldCharType="separate"/>
          </w:r>
        </w:p>
        <w:p w14:paraId="1E6B5BB4">
          <w:pPr>
            <w:pStyle w:val="TOC1"/>
            <w:tabs>
              <w:tab w:val="right" w:leader="dot" w:pos="9000"/>
            </w:tabs>
            <w:ind w:left="0"/>
          </w:pPr>
          <w:r>
            <w:t>一、系统概述</w:t>
          </w:r>
          <w:r>
            <w:tab/>
          </w:r>
          <w:r>
            <w:t>2</w:t>
          </w:r>
        </w:p>
        <w:p w14:paraId="757FA2A8">
          <w:pPr>
            <w:pStyle w:val="TOC2"/>
            <w:tabs>
              <w:tab w:val="right" w:leader="dot" w:pos="9000"/>
            </w:tabs>
            <w:ind w:left="360"/>
          </w:pPr>
          <w:r>
            <w:t>1.1 系统简介</w:t>
          </w:r>
          <w:r>
            <w:tab/>
          </w:r>
          <w:r>
            <w:t>2</w:t>
          </w:r>
        </w:p>
        <w:p w14:paraId="7DC2AC3E">
          <w:pPr>
            <w:pStyle w:val="TOC2"/>
            <w:tabs>
              <w:tab w:val="right" w:leader="dot" w:pos="9000"/>
            </w:tabs>
            <w:ind w:left="360"/>
          </w:pPr>
          <w:r>
            <w:t>1.2 架构说明</w:t>
          </w:r>
          <w:r>
            <w:tab/>
          </w:r>
          <w:r>
            <w:t>2</w:t>
          </w:r>
        </w:p>
        <w:p w14:paraId="792B9FAE">
          <w:pPr>
            <w:pStyle w:val="TOC1"/>
            <w:tabs>
              <w:tab w:val="right" w:leader="dot" w:pos="9000"/>
            </w:tabs>
            <w:ind w:left="0"/>
          </w:pPr>
          <w:r>
            <w:t>二、环境要求</w:t>
          </w:r>
          <w:r>
            <w:tab/>
          </w:r>
          <w:r>
            <w:t>3</w:t>
          </w:r>
        </w:p>
        <w:p w14:paraId="6ECD1332">
          <w:pPr>
            <w:pStyle w:val="TOC1"/>
            <w:tabs>
              <w:tab w:val="right" w:leader="dot" w:pos="9000"/>
            </w:tabs>
            <w:ind w:left="0"/>
          </w:pPr>
          <w:r>
            <w:t>三、获取代码与安装</w:t>
          </w:r>
          <w:r>
            <w:tab/>
          </w:r>
          <w:r>
            <w:t>4</w:t>
          </w:r>
        </w:p>
        <w:p w14:paraId="3C1538EE">
          <w:pPr>
            <w:pStyle w:val="TOC1"/>
            <w:tabs>
              <w:tab w:val="right" w:leader="dot" w:pos="9000"/>
            </w:tabs>
            <w:ind w:left="0"/>
          </w:pPr>
          <w:r>
            <w:t>四、启动与运行</w:t>
          </w:r>
          <w:r>
            <w:tab/>
          </w:r>
          <w:r>
            <w:t>5</w:t>
          </w:r>
        </w:p>
        <w:p w14:paraId="42015744">
          <w:pPr>
            <w:pStyle w:val="TOC2"/>
            <w:tabs>
              <w:tab w:val="right" w:leader="dot" w:pos="9000"/>
            </w:tabs>
            <w:ind w:left="360"/>
          </w:pPr>
          <w:r>
            <w:t>4.1 开发模式</w:t>
          </w:r>
          <w:r>
            <w:tab/>
          </w:r>
          <w:r>
            <w:t>5</w:t>
          </w:r>
        </w:p>
        <w:p w14:paraId="521B225A">
          <w:pPr>
            <w:pStyle w:val="TOC2"/>
            <w:tabs>
              <w:tab w:val="right" w:leader="dot" w:pos="9000"/>
            </w:tabs>
            <w:ind w:left="360"/>
          </w:pPr>
          <w:r>
            <w:t>4.2 生产模式</w:t>
          </w:r>
          <w:r>
            <w:tab/>
          </w:r>
          <w:r>
            <w:t>5</w:t>
          </w:r>
        </w:p>
        <w:p w14:paraId="34BFA436">
          <w:pPr>
            <w:pStyle w:val="TOC1"/>
            <w:tabs>
              <w:tab w:val="right" w:leader="dot" w:pos="9000"/>
            </w:tabs>
            <w:ind w:left="0"/>
          </w:pPr>
          <w:r>
            <w:t>五、配置说明</w:t>
          </w:r>
          <w:r>
            <w:tab/>
          </w:r>
          <w:r>
            <w:t>6</w:t>
          </w:r>
        </w:p>
        <w:p w14:paraId="47622E94">
          <w:pPr>
            <w:pStyle w:val="TOC1"/>
            <w:tabs>
              <w:tab w:val="right" w:leader="dot" w:pos="9000"/>
            </w:tabs>
            <w:ind w:left="0"/>
          </w:pPr>
          <w:r>
            <w:t>六、初始账号、用户角色与安全设置</w:t>
          </w:r>
          <w:r>
            <w:tab/>
          </w:r>
          <w:r>
            <w:t>7</w:t>
          </w:r>
        </w:p>
        <w:p w14:paraId="335154FA">
          <w:pPr>
            <w:pStyle w:val="TOC1"/>
            <w:tabs>
              <w:tab w:val="right" w:leader="dot" w:pos="9000"/>
            </w:tabs>
            <w:ind w:left="0"/>
          </w:pPr>
          <w:r>
            <w:t>七、部署验证</w:t>
          </w:r>
          <w:r>
            <w:tab/>
          </w:r>
          <w:r>
            <w:t>8</w:t>
          </w:r>
        </w:p>
        <w:p w14:paraId="20ED1BE4">
          <w:pPr>
            <w:pStyle w:val="TOC1"/>
            <w:tabs>
              <w:tab w:val="right" w:leader="dot" w:pos="9000"/>
            </w:tabs>
            <w:ind w:left="0"/>
          </w:pPr>
          <w:r>
            <w:t>八、数据与备份</w:t>
          </w:r>
          <w:r>
            <w:tab/>
          </w:r>
          <w:r>
            <w:t>9</w:t>
          </w:r>
        </w:p>
        <w:p w14:paraId="6F5A6570">
          <w:pPr>
            <w:pStyle w:val="TOC1"/>
            <w:tabs>
              <w:tab w:val="right" w:leader="dot" w:pos="9000"/>
            </w:tabs>
            <w:ind w:left="0"/>
          </w:pPr>
          <w:r>
            <w:t>九、运维管理</w:t>
          </w:r>
          <w:r>
            <w:tab/>
          </w:r>
          <w:r>
            <w:t>10</w:t>
          </w:r>
        </w:p>
        <w:p w14:paraId="706839B6">
          <w:pPr>
            <w:pStyle w:val="TOC1"/>
            <w:tabs>
              <w:tab w:val="right" w:leader="dot" w:pos="9000"/>
            </w:tabs>
            <w:ind w:left="0"/>
          </w:pPr>
          <w:r>
            <w:t>十、常见问题（FAQ）</w:t>
          </w:r>
          <w:r>
            <w:tab/>
          </w:r>
          <w:r>
            <w:t>11</w:t>
          </w:r>
        </w:p>
        <w:p w14:paraId="5979E3A2">
          <w:pPr>
            <w:pStyle w:val="TOC1"/>
            <w:tabs>
              <w:tab w:val="right" w:leader="dot" w:pos="9000"/>
            </w:tabs>
            <w:ind w:left="0"/>
          </w:pPr>
          <w:r>
            <w:t>附录 A：管理 API 接口一览</w:t>
          </w:r>
          <w:r>
            <w:tab/>
          </w:r>
          <w:r>
            <w:t>12</w:t>
          </w:r>
        </w:p>
        <w:p w14:paraId="501EE450">
          <w:r>
            <w:fldChar w:fldCharType="end"/>
          </w:r>
        </w:p>
      </w:sdtContent>
    </w:sdt>
    <w:p w14:paraId="7D88F740">
      <w:pPr>
        <w:pageBreakBefore/>
        <w:spacing w:after="16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/>
      </w:r>
    </w:p>
    <w:p w14:paraId="1926379A"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一、系统概述</w:t>
      </w:r>
    </w:p>
    <w:p w14:paraId="49B1146C"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1.1 系统简介</w:t>
      </w:r>
    </w:p>
    <w:p w14:paraId="7F41F470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WebAPI 管理平台是一套全栈 API 网关管理控制台，覆盖 API 从注册、发布、监控到废弃的完整生命周期。系统由管理控制台（前端）与网关服务（后端）两部分组成，提供 API 注册与管理（含后端地址连通性测试）、分组管理、应用密钥（AccessKey/SecretKey）授权、真实网关转发（鉴权、限流、超时重试、熔断）、运行监控与告警、调用日志审计、多用户角色权限（管理员/操作员/只读）、操作审计、调用日志自动归档、登录认证等功能。</w:t>
      </w:r>
    </w:p>
    <w:p w14:paraId="70193264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系统零第三方后端依赖，后端仅使用 Node.js 原生模块（node:http + node:sqlite），数据存储于本地 SQLite 文件，部署简单、资源占用低，适合中小规模团队内网部署使用。</w:t>
      </w:r>
    </w:p>
    <w:p w14:paraId="6E7E151C"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1.2 架构说明</w:t>
      </w:r>
    </w:p>
    <w:p w14:paraId="57BBB53A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系统采用前后端分离架构：</w:t>
      </w:r>
    </w:p>
    <w:p w14:paraId="3A3F4DD2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管理控制台（前端）：React 19 + TypeScript + Vite + Tailwind CSS + shadcn/ui，构建后为纯静态资源。</w:t>
      </w:r>
    </w:p>
    <w:p w14:paraId="6FC74670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网关服务（后端）：Node.js 原生 HTTP 服务，监听 3100 端口，同时承担三个角色——管理 API（/admin/*）、流量网关（/gw/*）、内置 mock 上游（/upstream/*）。</w:t>
      </w:r>
    </w:p>
    <w:p w14:paraId="4D5B9B50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数据存储：SQLite 单文件数据库（server/data.db），包含 API、分组、应用、告警规则、告警记录、按天聚合指标、调用日志、管理员账号等表。</w:t>
      </w:r>
    </w:p>
    <w:p w14:paraId="48F53258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调用方请求链路：调用方 → 网关 /gw/*（鉴权 → 限流 → 熔断检查 → 转发）→ 后端服务（注册的 backendUrl），每一次请求都会记录指标与审计日志。</w:t>
      </w:r>
    </w:p>
    <w:p w14:paraId="36F1CBAA"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二、环境要求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2600"/>
      </w:tblGrid>
      <w:tr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B21C4E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项目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8B3D8F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要求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C9CC55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说明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D29A02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操作系统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E9DC9C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macOS / Linux / Windows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300201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支持 Node.js 运行的常见系统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CCC4D7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Node.js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1D58A1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≥ 24（推荐）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CA479B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node:sqlite 在 Node 24 可直接使用；Node 22.5~23 需加 --experimental-sqlite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3E696F8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内存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3E8CD6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≥ 512 MB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E20973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SQLite 嵌入式存储，无独立数据库服务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1FBF2D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磁盘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DB9DEA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≥ 500 MB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BB2F4A8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含依赖安装与日志数据增长空间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60CA3E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浏览器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CA748A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Chrome / Edge 最新版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276558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管理控制台访问</w:t>
            </w:r>
          </w:p>
        </w:tc>
      </w:tr>
    </w:tbl>
    <w:p w14:paraId="3D267F28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端口占用要求：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2600"/>
      </w:tblGrid>
      <w:tr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D31563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端口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B1A949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用途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1BFA6C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是否可修改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38BF6C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3100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53D232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一体化服务：控制台 + 管理 API + 网关 + mock 上游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A29652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可通过环境变量 PORT 修改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A50A1D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3000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22E8BE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前端开发服务器（开发模式）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656D6C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可通过 --port 参数修改</w:t>
            </w:r>
          </w:p>
        </w:tc>
      </w:tr>
    </w:tbl>
    <w:p w14:paraId="19D5D576"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三、获取代码与安装</w:t>
      </w:r>
    </w:p>
    <w:p w14:paraId="4E7A3166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从 Git 仓库拉取代码：</w:t>
      </w:r>
    </w:p>
    <w:p w14:paraId="41D4DAA2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git clone https://github.com/leileipei/webapi-platform.git</w:t>
      </w:r>
    </w:p>
    <w:p w14:paraId="7AD12F3C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cd webapi-platform</w:t>
      </w:r>
    </w:p>
    <w:p w14:paraId="5FA78184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安装前端依赖（后端无第三方依赖，无需单独安装）：</w:t>
      </w:r>
    </w:p>
    <w:p w14:paraId="702B2FCC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install</w:t>
      </w:r>
    </w:p>
    <w:p w14:paraId="0BAB795E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依赖安装完成后即可启动。首次启动后端时，系统会自动创建 SQLite 数据库文件并灌入示例数据（11 个示例 API、4 个分组、3 个应用、3 条告警规则及 30 天历史指标），同时创建默认管理员账号。</w:t>
      </w:r>
    </w:p>
    <w:p w14:paraId="3ED8A536"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四、启动与运行</w:t>
      </w:r>
    </w:p>
    <w:p w14:paraId="10478AE8"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4.1 开发模式</w:t>
      </w:r>
    </w:p>
    <w:p w14:paraId="0EECBE5E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一条命令同时启动后端（3100）与前端开发服务器（默认 3000）：</w:t>
      </w:r>
    </w:p>
    <w:p w14:paraId="55FA7512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run dev</w:t>
      </w:r>
    </w:p>
    <w:p w14:paraId="5F26BC54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仅启动后端：npm run server</w:t>
      </w:r>
    </w:p>
    <w:p w14:paraId="379A5F9A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仅启动前端：npm run dev:web</w:t>
      </w:r>
    </w:p>
    <w:p w14:paraId="6B4A60D6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指定前端端口：npm run dev -- --port 8080</w:t>
      </w:r>
    </w:p>
    <w:p w14:paraId="7C78EE4C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开发模式下，Vite 已将 /admin 与 /gw 路径代理到 3100 端口，前端页面直接访问同源地址即可。</w:t>
      </w:r>
    </w:p>
    <w:p w14:paraId="36D52E16"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4.2 生产模式（局域网 / 服务器部署）</w:t>
      </w:r>
    </w:p>
    <w:p w14:paraId="3934C50E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步骤一：构建前端静态资源。</w:t>
      </w:r>
    </w:p>
    <w:p w14:paraId="3E78BBC0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run build</w:t>
      </w:r>
    </w:p>
    <w:p w14:paraId="0F5B36A8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步骤二：启动一体化服务。后端默认绑定 0.0.0.0（所有网卡），并直接托管 dist/ 前端静态资源，无需 Nginx：</w:t>
      </w:r>
    </w:p>
    <w:p w14:paraId="2CE6F132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run server</w:t>
      </w:r>
    </w:p>
    <w:p w14:paraId="7AC29064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# 或自定义监听地址与端口</w:t>
      </w:r>
    </w:p>
    <w:p w14:paraId="6D5A7AB8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HOST=0.0.0.0 PORT=3100 node server/index.js</w:t>
      </w:r>
    </w:p>
    <w:p w14:paraId="5D1B06CE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启动后，同一局域网内的任意计算机通过 http://&lt;服务器IP&gt;:3100 即可访问完整系统（管理控制台、管理 API、网关入口均为同一端口）。查看服务器 IP：macOS/Linux 执行 ipconfig getifaddr en0 或 ip addr，Windows 执行 ipconfig。</w:t>
      </w:r>
    </w:p>
    <w:p w14:paraId="0CAEFE12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防火墙提示：若其他计算机无法访问，请确认服务器防火墙已放行监听端口（macOS：系统设置 → 网络 → 防火墙；Linux：firewalld/ufw 放行端口；Windows：入站规则）。</w:t>
      </w:r>
    </w:p>
    <w:p w14:paraId="5E59B894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如需公网访问或 HTTPS，可在前方再加一层 Nginx 反向代理，将 80/443 转发到 3100 端口即可（控制台、/admin、/gw 均为同端口同源，无需分别配置）。</w:t>
      </w:r>
    </w:p>
    <w:p w14:paraId="5AFEF016"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五、配置说明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3000"/>
      </w:tblGrid>
      <w:tr>
        <w:tc>
          <w:tcPr>
            <w:tcW w:type="dxa" w:w="24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4B29C7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配置项</w:t>
            </w:r>
          </w:p>
        </w:tc>
        <w:tc>
          <w:tcPr>
            <w:tcW w:type="dxa" w:w="24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19C108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默认值</w:t>
            </w:r>
          </w:p>
        </w:tc>
        <w:tc>
          <w:tcPr>
            <w:tcW w:type="dxa" w:w="30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4B8DB9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说明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6F727E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PORT（环境变量）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B2EF60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3100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33820E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服务监听端口（控制台/管理 API/网关同端口）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606739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HOST（环境变量）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B38D6C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0.0.0.0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3E8071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监听地址，默认绑定所有网卡，局域网可直接访问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B91163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LOG_RETENTION_DAYS（环境变量）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C64691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30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F82157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调用日志与操作审计日志保留天数，超期自动压缩归档（gzip NDJSON）到 server/archives/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30BEFA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数据库文件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7D72B7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server/data.db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C9311D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SQLite 单文件，自动创建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7A7297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会话有效期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8B2A07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12 小时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56E393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登录令牌过期时间（server/auth.js SESSION_TTL）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EBC75F8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登录失败锁定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D167AA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5 次 / 锁 5 分钟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4191F0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防暴力破解（server/auth.js MAX_ATTEMPTS / LOCK_DURATION）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944DF8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调用日志容量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CCE85E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20000 条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5D7C08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超出后自动修剪最旧记录（server/db.js MAX_LOGS）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D551FC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前端代理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7A2EF5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vite.config.ts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B69C28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开发模式下 /admin、/gw 代理目标</w:t>
            </w:r>
          </w:p>
        </w:tc>
      </w:tr>
    </w:tbl>
    <w:p w14:paraId="7693F2B8"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六、初始账号、用户角色与安全设置</w:t>
      </w:r>
    </w:p>
    <w:p w14:paraId="0747A9C2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首次启动后端时自动创建默认管理员账号：</w:t>
      </w:r>
    </w:p>
    <w:p w14:paraId="2AEA1BD0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用户名：admin</w:t>
      </w:r>
    </w:p>
    <w:p w14:paraId="3ED36964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初始密码：Admin@123</w:t>
      </w:r>
    </w:p>
    <w:p w14:paraId="34241924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重要：生产环境部署后，请第一时间登录控制台，通过左侧边栏底部的"修改密码"功能修改初始密码。修改密码后该账号所有已登录会话会立即失效，需重新登录。</w:t>
      </w:r>
    </w:p>
    <w:p w14:paraId="79B56218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系统支持多用户与三级角色，管理员可在"系统管理"页面创建和维护用户：</w:t>
      </w:r>
    </w:p>
    <w:p w14:paraId="16DD639E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管理员（admin）：全部权限，含用户管理、删除 API/分组/应用/规则、日志归档与数据重置。</w:t>
      </w:r>
    </w:p>
    <w:p w14:paraId="37C3FF08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操作员（operator）：可注册、发布、编辑 API，管理分组/应用/告警规则，确认告警，执行连通性测试。</w:t>
      </w:r>
    </w:p>
    <w:p w14:paraId="2D0CB6EE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只读（viewer）：仅可查看各页面与日志，所有写操作会被后端拒绝（HTTP 403）。</w:t>
      </w:r>
    </w:p>
    <w:p w14:paraId="7880A49E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角色变更或重置密码后，该用户的已登录会话立即失效；系统禁止删除当前登录账号，并保证至少保留一名管理员。建议按最小权限原则为运维人员分配操作员角色、为访客分配只读角色。</w:t>
      </w:r>
    </w:p>
    <w:p w14:paraId="32237DF8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系统内置操作审计：登录成功/失败、退出登录、修改密码、用户增删改、API/分组/应用/告警规则的保存与删除、API 状态流转、告警确认、清除已处理告警、日志归档与下载、数据重置等管理操作全部记录（操作人、角色、对象、详情、来源 IP），管理员可在"系统管理 → 操作审计"中按用户或关键词筛选查询；审计日志容量上限 5 万条，超出自动修剪最旧记录。</w:t>
      </w:r>
    </w:p>
    <w:p w14:paraId="081E3516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其他安全建议：</w:t>
      </w:r>
    </w:p>
    <w:p w14:paraId="22A4BF66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调用方应用的 SecretKey 仅授权人员可见。重置密钥受严格管控：启用中的应用不允许重置 SecretKey，需先在"应用与密钥"页面停用该应用，再执行重置并在弹窗中二次确认；重置后旧 SecretKey 立即失效，使用该密钥的调用方将无法通过网关校验。SecretKey 泄露时请按此流程立即轮换。</w:t>
      </w:r>
    </w:p>
    <w:p w14:paraId="723FFB84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停用不再使用的应用，网关会立即拒绝其全部调用。</w:t>
      </w:r>
    </w:p>
    <w:p w14:paraId="43A53AFC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建议通过 Nginx 启用 HTTPS，避免 AccessKey 与登录口令明文传输。</w:t>
      </w:r>
    </w:p>
    <w:p w14:paraId="7904A06C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控制台会话有效期 12 小时，连续登录失败 5 次账号锁定 5 分钟。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API 下线、废弃、删除均需弹窗二次确认；仅"已废弃"状态的 API 允许删除（后端同步强制校验，返回 409），删除后联动清理应用授权。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对已授权给启用中应用的 API 执行下线/废弃时，确认弹窗会列出受影响的应用清单，请先通知相关调用方再执行操作。</w:t>
      </w:r>
    </w:p>
    <w:p w14:paraId="1C3A064C"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七、部署验证</w:t>
      </w:r>
    </w:p>
    <w:p w14:paraId="0E9F1E04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以下命令在服务器本机执行使用 localhost 即可；从其他计算机验证时，将 localhost 替换为服务器 IP 地址。</w:t>
      </w:r>
    </w:p>
    <w:p w14:paraId="6EB37BAA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步骤一：后端健康检查。</w:t>
      </w:r>
    </w:p>
    <w:p w14:paraId="187128E0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curl http://localhost:3100/healthz</w:t>
      </w:r>
    </w:p>
    <w:p w14:paraId="0121D486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# 期望输出：{"ok":true,"uptime":...}</w:t>
      </w:r>
    </w:p>
    <w:p w14:paraId="25B90AF4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步骤二：管理员登录并获取令牌。</w:t>
      </w:r>
    </w:p>
    <w:p w14:paraId="4B62933A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curl -X POST http://localhost:3100/admin/auth/login \</w:t>
      </w:r>
    </w:p>
    <w:p w14:paraId="51CADD2E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 -H "Content-Type: application/json" \</w:t>
      </w:r>
    </w:p>
    <w:p w14:paraId="04853246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 -d '{"username":"admin","password":"Admin@123"}'</w:t>
      </w:r>
    </w:p>
    <w:p w14:paraId="14DF6768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步骤三：通过网关发起一次真实调用。登录控制台，在"应用与密钥"页面复制任一启用中应用的 AccessKey，然后：</w:t>
      </w:r>
    </w:p>
    <w:p w14:paraId="646DCF12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curl -H "X-Access-Key: &lt;AccessKey&gt;" http://localhost:3100/gw/api/v1/users/123</w:t>
      </w:r>
    </w:p>
    <w:p w14:paraId="23D19274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预期返回 code 为 0 的 JSON 响应。随后在控制台"监控告警"页可看到实时流量曲线出现调用记录，在"调用日志"页可看到该次请求的审计记录，即表示部署成功。</w:t>
      </w:r>
    </w:p>
    <w:p w14:paraId="626F3C5C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提示：后续注册新 API 时，填写"后端服务地址"后可直接点击旁边的"测试连接"按钮，由服务器真实探测目标地址的可达性（返回 HTTP 状态码与延迟），确认连通后再保存，可有效避免注册无效接口。</w:t>
      </w:r>
    </w:p>
    <w:p w14:paraId="35E49008"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八、数据与备份</w:t>
      </w:r>
    </w:p>
    <w:p w14:paraId="3E8165BA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系统全部业务数据存储于单个 SQLite 文件 server/data.db，包括：API 定义、分组、应用密钥、告警规则与记录、按天聚合指标、调用日志、操作审计日志、用户账号（密码为加盐哈希，不含明文）。</w:t>
      </w:r>
    </w:p>
    <w:p w14:paraId="3E3D4B08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方式一（推荐）：管理员在控制台"系统管理 → 数据备份与恢复"中点击"下载备份"，系统使用 SQLite VACUUM INTO 生成运行中的一致性快照文件，无需停止服务；同页面可上传备份文件执行恢复（可选是否连同用户账号一并恢复，恢复后所有登录会话失效需重新登录）。</w:t>
      </w:r>
    </w:p>
    <w:p w14:paraId="032915AE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方式二（命令行）：停止后端服务后直接复制该文件即可；运行中备份请使用 SQLite 在线备份命令：</w:t>
      </w:r>
    </w:p>
    <w:p w14:paraId="6411D388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sqlite3 server/data.db ".backup backup/data-$(date +%F).db"</w:t>
      </w:r>
    </w:p>
    <w:p w14:paraId="3C5847D8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恢复方式：停止后端服务，用备份文件替换 server/data.db 后重新启动。</w:t>
      </w:r>
    </w:p>
    <w:p w14:paraId="3B3F9386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注意事项：</w:t>
      </w:r>
    </w:p>
    <w:p w14:paraId="3E13750C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限流计数与熔断状态保存在内存中，重启后端后自动清零，不影响持久化数据。</w:t>
      </w:r>
    </w:p>
    <w:p w14:paraId="4B455C7C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如需恢复出厂示例数据，可登录后调用管理接口 POST /admin/reset（会清空业务数据，但不影响用户账号与密码），仅管理员可调用。</w:t>
      </w:r>
    </w:p>
    <w:p w14:paraId="4FD2A6D2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调用日志与操作审计日志超过保留期（默认 30 天，LOG_RETENTION_DAYS 可调）后，系统启动时与每 24 小时自动分别压缩归档到 server/archives/（logs-archive-* 为调用日志、audit-archive-* 为审计日志，gzip NDJSON 格式）并从库中清除；管理员可在"系统管理"页面手动触发归档或下载归档文件。备份时请连同 server/archives/ 目录一并复制。</w:t>
      </w:r>
    </w:p>
    <w:p w14:paraId="2FBFF1AE"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九、运维管理</w:t>
      </w:r>
    </w:p>
    <w:p w14:paraId="609FEA6E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生产环境建议使用进程管理器守护后端服务。以 pm2 为例：</w:t>
      </w:r>
    </w:p>
    <w:p w14:paraId="0444AF2C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install -g pm2</w:t>
      </w:r>
    </w:p>
    <w:p w14:paraId="15CF3F98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pm2 start server/index.js --name webapi-gateway</w:t>
      </w:r>
    </w:p>
    <w:p w14:paraId="094C847A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pm2 save &amp;&amp; pm2 startup</w:t>
      </w:r>
    </w:p>
    <w:p w14:paraId="4F2A5B24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或以 systemd 守护（Linux）：</w:t>
      </w:r>
    </w:p>
    <w:p w14:paraId="4FCE0986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[Unit]</w:t>
      </w:r>
    </w:p>
    <w:p w14:paraId="397F733A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Description=WebAPI Gateway</w:t>
      </w:r>
    </w:p>
    <w:p w14:paraId="07DCE7B0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After=network.target</w:t>
      </w:r>
    </w:p>
    <w:p w14:paraId="044EE36A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</w:t>
      </w:r>
    </w:p>
    <w:p w14:paraId="02B5F8A4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[Service]</w:t>
      </w:r>
    </w:p>
    <w:p w14:paraId="7A64B3D2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WorkingDirectory=/opt/webapi-platform</w:t>
      </w:r>
    </w:p>
    <w:p w14:paraId="13E23916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ExecStart=/usr/bin/node server/index.js</w:t>
      </w:r>
    </w:p>
    <w:p w14:paraId="379B19DE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Restart=always</w:t>
      </w:r>
    </w:p>
    <w:p w14:paraId="35992584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Environment=PORT=3100</w:t>
      </w:r>
    </w:p>
    <w:p w14:paraId="599FAEC4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</w:t>
      </w:r>
    </w:p>
    <w:p w14:paraId="3296243C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[Install]</w:t>
      </w:r>
    </w:p>
    <w:p w14:paraId="3541F6EC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WantedBy=multi-user.target</w:t>
      </w:r>
    </w:p>
    <w:p w14:paraId="2BF48A00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日常运维事项：</w:t>
      </w:r>
    </w:p>
    <w:p w14:paraId="66A60BEC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关注控制台"监控告警"页的实时流量与告警记录，严重级别告警应及时处理并在页面标记。告警记录默认仅显示未处理项，可切换"全部告警"查看历史；已处理记录可通过"重置"按钮一键清除（仅管理员，需二次确认），清除操作计入审计。</w:t>
      </w:r>
    </w:p>
    <w:p w14:paraId="07D444C4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健康度基于最近 5 分钟真实调用错误率计算；性能下降或不可用的 API 会在列表与看板中突出显示。</w:t>
      </w:r>
    </w:p>
    <w:p w14:paraId="717DCB94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定期通过"调用日志"页审计异常调用（4xx/5xx 筛选），识别未授权访问尝试。</w:t>
      </w:r>
    </w:p>
    <w:p w14:paraId="7963BFC2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后端运行日志输出到标准输出，建议通过 pm2 logs webapi-gateway 或 journalctl -u 服务名 查看。</w:t>
      </w:r>
    </w:p>
    <w:p w14:paraId="493FC8A2"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十、常见问题（FAQ）</w:t>
      </w:r>
    </w:p>
    <w:p w14:paraId="752F7F54"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Q：控制台提示“无法连接后端服务”</w:t>
      </w:r>
    </w:p>
    <w:p w14:paraId="305DB536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A：后端未启动或端口被修改。确认 npm run server 已运行，且 vite.config.ts 中代理目标与后端端口一致。</w:t>
      </w:r>
    </w:p>
    <w:p w14:paraId="6C04CB38"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Q：登录提示“失败次数过多，账号已锁定”</w:t>
      </w:r>
    </w:p>
    <w:p w14:paraId="2FC08F26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A：连续输错密码 5 次会锁定 5 分钟。等待锁定解除，或重启后端服务立即清除内存中的锁定状态。</w:t>
      </w:r>
    </w:p>
    <w:p w14:paraId="6D1B8CC0"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Q：调用网关返回 401</w:t>
      </w:r>
    </w:p>
    <w:p w14:paraId="01F6208A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A：请求头缺少 X-Access-Key，或对应应用已被停用。在“应用与密钥”页面检查应用状态与密钥。</w:t>
      </w:r>
    </w:p>
    <w:p w14:paraId="696FAC72"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Q：调用网关返回 403</w:t>
      </w:r>
    </w:p>
    <w:p w14:paraId="45ADB60C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A：API 未处于“已发布”状态，或当前应用未被授权该 API。在 API 管理页发布，并在应用授权中勾选。</w:t>
      </w:r>
    </w:p>
    <w:p w14:paraId="4E66068E"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Q：调用网关返回 429 / 503</w:t>
      </w:r>
    </w:p>
    <w:p w14:paraId="3A68EB30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A：429 表示触发 QPS 限流，503 表示熔断开启（后端错误率超阈值）。可在 API 编辑页调整限流与熔断配置。</w:t>
      </w:r>
    </w:p>
    <w:p w14:paraId="5A4BABD6"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Q：启动报 EADDRINUSE</w:t>
      </w:r>
    </w:p>
    <w:p w14:paraId="54B5E59E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A：端口被占用。使用 lsof -iTCP:3100 -sTCP:LISTEN 找到占用进程并停止，或通过 PORT 环境变量更换端口。</w:t>
      </w:r>
    </w:p>
    <w:p w14:paraId="0F5DE430"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Q：Node 版本低于 24 无法启动</w:t>
      </w:r>
    </w:p>
    <w:p w14:paraId="601F90CA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A：node:sqlite 在 Node 22.5~23 需加 --experimental-sqlite 启动参数；更低版本请升级 Node。</w:t>
      </w:r>
    </w:p>
    <w:p w14:paraId="72A38D30"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Q：部署到 IIS 后页面能打开但登录/加载报 405（Method Not Allowed）</w:t>
      </w:r>
    </w:p>
    <w:p w14:paraId="6316DACE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A：本系统不是纯静态站点，/admin/* 与 /gw/* 请求必须由 Node 后端处理。确认服务器上已运行 node server/index.js，并将 dist/ 中的 web.config 保留在 IIS 站点根目录（需安装 URL Rewrite 与 ARR 扩展并在 ARR 中启用 Enable proxy）。也可以不使用 IIS，直接运行 npm run server 一体化服务，访问 http://服务器IP:3100。</w:t>
      </w:r>
    </w:p>
    <w:p w14:paraId="2CAD2584"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附录 A：管理 API 接口一览</w:t>
      </w:r>
    </w:p>
    <w:p w14:paraId="2842C4CC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以下接口均需登录会话（Authorization: Bearer &lt;token&gt;），登录接口除外。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800"/>
        <w:gridCol w:w="3200"/>
      </w:tblGrid>
      <w:tr>
        <w:tc>
          <w:tcPr>
            <w:tcW w:type="dxa" w:w="2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83B4DD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路径</w:t>
            </w:r>
          </w:p>
        </w:tc>
        <w:tc>
          <w:tcPr>
            <w:tcW w:type="dxa" w:w="1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244639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方法</w:t>
            </w:r>
          </w:p>
        </w:tc>
        <w:tc>
          <w:tcPr>
            <w:tcW w:type="dxa" w:w="32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E0B01B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说明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3CC72A8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/admin/auth/login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B11737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B9BD70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登录（公开），返回会话令牌与角色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FAAEA1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/admin/auth/me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C7A62A8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DAC247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查询当前登录用户与角色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F42802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/admin/auth/logout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4D1228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292F3A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退出登录，注销会话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C193B4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/admin/auth/password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421AA5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E797DD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修改密码（修改后全部会话失效）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34F5A3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/admin/users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7DF558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GET/POST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098BFC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用户列表 / 新建或更新用户（角色、重置密码），仅管理员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EC1794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/admin/users/:username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226971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DELETE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ACBF44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删除用户（不能删自己，至少保留一名管理员），仅管理员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B921C8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/admin/archives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EC0930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BF59CD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归档文件列表与保留天数，仅管理员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31DCCF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/admin/archives/run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5644D5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60431C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手动触发一次日志归档，仅管理员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1C7FEC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/admin/archives/download?file=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4D38868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84026C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下载归档文件（gzip NDJSON），仅管理员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1F3EE1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/admin/audit-logs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D8F1ED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5E6C47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操作审计分页查询，参数 username/keyword/page，仅管理员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C7BE3D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/admin/backup/download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1919B7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088DCF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下载数据库一致性备份（VACUUM INTO 快照），仅管理员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90C641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/admin/backup/restore?users=0|1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0658D2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18B461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上传备份文件恢复业务数据，users=1 时连同用户表恢复并注销全部会话，仅管理员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3D7CC9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/admin/state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A5C378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547F1F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获取全量状态（API/分组/应用/规则/告警）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8DF569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/admin/metrics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CF3D3B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A1EE14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按天聚合指标，参数 apiId、days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18B1C9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/admin/logs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956E21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9A62E1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调用日志分页查询，参数 apiId/statusClass/appName/keyword/page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1D1860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/admin/logs/minutes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E6F3C0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3A78A4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分钟级实时流量聚合，参数 minutes、apiId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9B5011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/admin/apis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3AD527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B0E7C0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注册或更新 API（需操作员及以上）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1A6BF5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/admin/apis/:id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B7B747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DELETE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A2DE40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删除 API（仅废弃状态可删除，联动清理应用授权），仅管理员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7D60F2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/admin/apis/:id/status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525A56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9F66B6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API 状态流转（发布/下线/废弃/草稿），需操作员及以上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860B7C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/admin/groups、/admin/apps、/admin/rules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42CF39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POST/DELETE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A996D9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分组、应用、告警规则的保存（操作员及以上）与删除（仅管理员）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F92335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/admin/alerts/:id/ack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1B0DCD8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A430F5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标记告警已处理（需操作员及以上）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/admin/alerts/clear-acked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清除全部已处理告警记录，仅管理员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7753CA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/admin/reset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BB175E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7B644E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重置为出厂示例数据（不影响用户账号），仅管理员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84BB98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/admin/test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A47B4E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8EF88A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后端地址连通性测试，参数 url/method/timeoutMs，需操作员及以上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D0AD0D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/gw/*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7B449A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任意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A15C8D8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数据面网关入口（AccessKey 鉴权，无需控制台会话）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FF1C7F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/upstream/*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E6FEAD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任意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C3F075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内置 mock 上游，支持 ?__fail=500 与 ?__delay=ms 故障注入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B521D6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/healthz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F9DFEF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C237B08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健康检查（公开）</w:t>
            </w:r>
          </w:p>
        </w:tc>
      </w:tr>
    </w:tbl>
    <w:p w14:paraId="3F0F87B6">
      <w:pPr>
        <w:spacing w:before="24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以上为部署手册全部内容。如遇到问题，请先查阅第十章 FAQ，再结合后端标准输出日志定位。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206B64C"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 w14:paraId="33347B64"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 w14:paraId="238B01B8">
    <w:pPr>
      <w:spacing w:after="160" w:line="300"/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0AA52CE"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 w14:paraId="517E727A"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 w14:paraId="55EF2FA8">
    <w:pPr>
      <w:spacing w:after="160" w:line="300"/>
      <w:jc w:val="center"/>
    </w:pPr>
    <w:r>
      <w:rPr>
        <w:rFonts w:ascii="Times New Roman" w:cs="Times New Roman" w:eastAsia="SimSun" w:hAnsi="Times New Roman"/>
        <w:b/>
        <w:bCs/>
        <w:color w:val="37474F"/>
        <w:sz w:val="24"/>
        <w:szCs w:val="24"/>
      </w:rPr>
      <w:t xml:space="preserve">WebAPI 管理平台 · 系统部署手册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2026-09-05T09:26:36.615Z</dcterms:created>
  <dcterms:modified xsi:type="dcterms:W3CDTF">2026-09-05T09:26:36.616Z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