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left"/>
      </w:pPr>
      <w:r>
        <w:rPr>
          <w:rFonts w:ascii="Source Han Sans CN" w:hAnsi="Source Han Sans CN" w:eastAsia="Source Han Sans CN" w:cs="Source Han Sans CN"/>
          <w:b/>
          <w:color w:val="2E74B5"/>
          <w:sz w:val="22"/>
        </w:rPr>
        <w:t>ENTERPRISE SRM BLUEPRINT</w:t>
      </w:r>
    </w:p>
    <w:p>
      <w:pPr>
        <w:spacing w:after="200"/>
      </w:pPr>
      <w:r>
        <w:rPr>
          <w:rFonts w:ascii="Source Han Sans CN" w:hAnsi="Source Han Sans CN" w:eastAsia="Source Han Sans CN" w:cs="Source Han Sans CN"/>
          <w:b/>
          <w:color w:val="17365D"/>
          <w:sz w:val="58"/>
        </w:rPr>
        <w:t>SRM 供应商协同管理系统</w:t>
      </w:r>
    </w:p>
    <w:p>
      <w:pPr>
        <w:spacing w:after="640"/>
      </w:pPr>
      <w:r>
        <w:rPr>
          <w:rFonts w:ascii="Source Han Sans CN" w:hAnsi="Source Han Sans CN" w:eastAsia="Source Han Sans CN" w:cs="Source Han Sans CN"/>
          <w:b/>
          <w:color w:val="1F4E78"/>
          <w:sz w:val="42"/>
        </w:rPr>
        <w:t>蓝图与总体设计说明书</w:t>
      </w:r>
    </w:p>
    <w:p>
      <w:pPr>
        <w:spacing w:after="840" w:line="300" w:lineRule="auto"/>
      </w:pPr>
      <w:r>
        <w:rPr>
          <w:rFonts w:ascii="Source Han Sans CN" w:hAnsi="Source Han Sans CN" w:eastAsia="Source Han Sans CN" w:cs="Source Han Sans CN"/>
          <w:color w:val="475467"/>
          <w:sz w:val="27"/>
        </w:rPr>
        <w:t>面向制造业直接物料采购与供应商全生命周期协同</w:t>
        <w:br/>
        <w:t>双入口 · 双循环 · 多场景 · 分层治理</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7800"/>
      </w:tblGrid>
      <w:tr>
        <w:trPr>
          <w:tblHeader w:val="true"/>
          <w:cantSplit/>
        </w:trPr>
        <w:tc>
          <w:tcPr>
            <w:tcW w:type="dxa" w:w="1800"/>
            <w:shd w:fill="F2F4F7"/>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9"/>
              </w:rPr>
              <w:t>文档属性</w:t>
            </w:r>
          </w:p>
        </w:tc>
        <w:tc>
          <w:tcPr>
            <w:tcW w:type="dxa" w:w="7800"/>
            <w:shd w:fill="F2F4F7"/>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9"/>
              </w:rPr>
              <w:t>内容</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9"/>
              </w:rPr>
              <w:t>文档版本</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9"/>
              </w:rPr>
              <w:t>V1.0</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9"/>
              </w:rPr>
              <w:t>文档状态</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9"/>
              </w:rPr>
              <w:t>评审稿</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9"/>
              </w:rPr>
              <w:t>编制日期</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9"/>
              </w:rPr>
              <w:t>2026年7月22日</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9"/>
              </w:rPr>
              <w:t>目标读者</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9"/>
              </w:rPr>
              <w:t>业务负责人、采购/质量/供应链团队、产品与研发团队</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9"/>
              </w:rPr>
              <w:t>设计定位</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9"/>
              </w:rPr>
              <w:t>独立建设的新一代制造业 SRM，不沿用旧 SCM 模块结构</w:t>
            </w:r>
          </w:p>
        </w:tc>
      </w:tr>
    </w:tbl>
    <w:p>
      <w:pPr>
        <w:spacing w:after="40"/>
      </w:pPr>
    </w:p>
    <w:p>
      <w:pPr>
        <w:spacing w:before="720"/>
        <w:jc w:val="left"/>
      </w:pPr>
      <w:r>
        <w:rPr>
          <w:rFonts w:ascii="Source Han Sans CN" w:hAnsi="Source Han Sans CN" w:eastAsia="Source Han Sans CN" w:cs="Source Han Sans CN"/>
          <w:b/>
          <w:color w:val="1F4E78"/>
          <w:sz w:val="20"/>
        </w:rPr>
        <w:t>设计基线</w:t>
      </w:r>
    </w:p>
    <w:p>
      <w:pPr>
        <w:spacing w:after="0" w:line="288" w:lineRule="auto"/>
      </w:pPr>
      <w:r>
        <w:rPr>
          <w:rFonts w:ascii="Source Han Sans CN" w:hAnsi="Source Han Sans CN" w:eastAsia="Source Han Sans CN" w:cs="Source Han Sans CN"/>
          <w:color w:val="475467"/>
          <w:sz w:val="20"/>
        </w:rPr>
        <w:t>批准供应源是资源开发与采购执行的连接中心；工作台是统一首页；ERP 保留财务与正式交易记账边界。</w:t>
      </w:r>
    </w:p>
    <w:p>
      <w:r>
        <w:br w:type="page"/>
      </w:r>
    </w:p>
    <w:p>
      <w:pPr>
        <w:pStyle w:val="Heading1"/>
        <w:keepNext/>
        <w:keepLines/>
      </w:pPr>
      <w:r>
        <w:rPr>
          <w:rFonts w:ascii="Source Han Sans CN" w:hAnsi="Source Han Sans CN" w:eastAsia="Source Han Sans CN" w:cs="Source Han Sans CN"/>
          <w:b/>
          <w:color w:val="1F4E78"/>
          <w:sz w:val="32"/>
        </w:rPr>
        <w:t>文档控制</w:t>
      </w:r>
    </w:p>
    <w:p>
      <w:pPr>
        <w:pStyle w:val="Heading2"/>
      </w:pPr>
      <w:r>
        <w:rPr>
          <w:rFonts w:ascii="Source Han Sans CN" w:hAnsi="Source Han Sans CN" w:eastAsia="Source Han Sans CN" w:cs="Source Han Sans CN"/>
          <w:b/>
          <w:color w:val="1F4E78"/>
          <w:sz w:val="26"/>
        </w:rPr>
        <w:t>版本记录</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100"/>
        <w:gridCol w:w="1700"/>
        <w:gridCol w:w="1500"/>
        <w:gridCol w:w="5300"/>
      </w:tblGrid>
      <w:tr>
        <w:trPr>
          <w:tblHeader w:val="true"/>
          <w:cantSplit/>
        </w:trPr>
        <w:tc>
          <w:tcPr>
            <w:tcW w:type="dxa" w:w="1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版本</w:t>
            </w:r>
          </w:p>
        </w:tc>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日期</w:t>
            </w:r>
          </w:p>
        </w:tc>
        <w:tc>
          <w:tcPr>
            <w:tcW w:type="dxa" w:w="1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状态</w:t>
            </w:r>
          </w:p>
        </w:tc>
        <w:tc>
          <w:tcPr>
            <w:tcW w:type="dxa" w:w="5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主要说明</w:t>
            </w:r>
          </w:p>
        </w:tc>
      </w:tr>
      <w:tr>
        <w:trPr>
          <w:cantSplit/>
        </w:trPr>
        <w:tc>
          <w:tcPr>
            <w:tcW w:type="dxa" w:w="1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V1.0</w:t>
            </w:r>
          </w:p>
        </w:tc>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2026-07-22</w:t>
            </w:r>
          </w:p>
        </w:tc>
        <w:tc>
          <w:tcPr>
            <w:tcW w:type="dxa" w:w="1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评审稿</w:t>
            </w:r>
          </w:p>
        </w:tc>
        <w:tc>
          <w:tcPr>
            <w:tcW w:type="dxa" w:w="5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按12个一级业务域、双入口双循环、多场景与分层治理重写总体蓝图。</w:t>
            </w:r>
          </w:p>
        </w:tc>
      </w:tr>
    </w:tbl>
    <w:p>
      <w:pPr>
        <w:spacing w:after="40"/>
      </w:pPr>
    </w:p>
    <w:p>
      <w:pPr>
        <w:pStyle w:val="Heading2"/>
      </w:pPr>
      <w:r>
        <w:rPr>
          <w:rFonts w:ascii="Source Han Sans CN" w:hAnsi="Source Han Sans CN" w:eastAsia="Source Han Sans CN" w:cs="Source Han Sans CN"/>
          <w:b/>
          <w:color w:val="1F4E78"/>
          <w:sz w:val="26"/>
        </w:rPr>
        <w:t>本次评审重点</w:t>
      </w:r>
    </w:p>
    <w:p>
      <w:pPr>
        <w:numPr>
          <w:ilvl w:val="0"/>
          <w:numId w:val="10"/>
        </w:numPr>
        <w:spacing w:before="0" w:after="80" w:line="293" w:lineRule="auto"/>
        <w:keepLines/>
      </w:pPr>
      <w:r>
        <w:rPr>
          <w:rFonts w:ascii="Source Han Sans CN" w:hAnsi="Source Han Sans CN" w:eastAsia="Source Han Sans CN" w:cs="Source Han Sans CN"/>
          <w:color w:val="1F2937"/>
          <w:sz w:val="21"/>
        </w:rPr>
        <w:t>确认系统定位是否聚焦制造业直接物料 SRM，而不是通用 ERP、计划系统或采购商城。</w:t>
      </w:r>
    </w:p>
    <w:p>
      <w:pPr>
        <w:numPr>
          <w:ilvl w:val="0"/>
          <w:numId w:val="10"/>
        </w:numPr>
        <w:spacing w:before="0" w:after="80" w:line="293" w:lineRule="auto"/>
        <w:keepLines/>
      </w:pPr>
      <w:r>
        <w:rPr>
          <w:rFonts w:ascii="Source Han Sans CN" w:hAnsi="Source Han Sans CN" w:eastAsia="Source Han Sans CN" w:cs="Source Han Sans CN"/>
          <w:color w:val="1F2937"/>
          <w:sz w:val="21"/>
        </w:rPr>
        <w:t>确认12个一级业务域及角色可见菜单是否合理，尤其是供应商质量与物料资格、采购协同与需求分配的合并方式。</w:t>
      </w:r>
    </w:p>
    <w:p>
      <w:pPr>
        <w:numPr>
          <w:ilvl w:val="0"/>
          <w:numId w:val="10"/>
        </w:numPr>
        <w:spacing w:before="0" w:after="80" w:line="293" w:lineRule="auto"/>
        <w:keepLines/>
      </w:pPr>
      <w:r>
        <w:rPr>
          <w:rFonts w:ascii="Source Han Sans CN" w:hAnsi="Source Han Sans CN" w:eastAsia="Source Han Sans CN" w:cs="Source Han Sans CN"/>
          <w:color w:val="1F2937"/>
          <w:sz w:val="21"/>
        </w:rPr>
        <w:t>确认批准供应源作为核心治理对象，且供应商主体状态不能代替物料/工厂维度的下单资格。</w:t>
      </w:r>
    </w:p>
    <w:p>
      <w:pPr>
        <w:numPr>
          <w:ilvl w:val="0"/>
          <w:numId w:val="10"/>
        </w:numPr>
        <w:spacing w:before="0" w:after="80" w:line="293" w:lineRule="auto"/>
        <w:keepLines/>
      </w:pPr>
      <w:r>
        <w:rPr>
          <w:rFonts w:ascii="Source Han Sans CN" w:hAnsi="Source Han Sans CN" w:eastAsia="Source Han Sans CN" w:cs="Source Han Sans CN"/>
          <w:color w:val="1F2937"/>
          <w:sz w:val="21"/>
        </w:rPr>
        <w:t>确认寻源、准入、资格、采购依据和供应源转化采用策略驱动的并行关口，而不是固定串行流程。</w:t>
      </w:r>
    </w:p>
    <w:p>
      <w:pPr>
        <w:numPr>
          <w:ilvl w:val="0"/>
          <w:numId w:val="10"/>
        </w:numPr>
        <w:spacing w:before="0" w:after="80" w:line="293" w:lineRule="auto"/>
        <w:keepLines/>
      </w:pPr>
      <w:r>
        <w:rPr>
          <w:rFonts w:ascii="Source Han Sans CN" w:hAnsi="Source Han Sans CN" w:eastAsia="Source Han Sans CN" w:cs="Source Han Sans CN"/>
          <w:color w:val="1F2937"/>
          <w:sz w:val="21"/>
        </w:rPr>
        <w:t>确认 ERP、PLM、QMS、WMS、财务等系统的职责边界及正式 PO 主数据权属建议。</w:t>
      </w:r>
    </w:p>
    <w:p>
      <w:pPr>
        <w:numPr>
          <w:ilvl w:val="0"/>
          <w:numId w:val="10"/>
        </w:numPr>
        <w:spacing w:before="0" w:after="80" w:line="293" w:lineRule="auto"/>
        <w:keepLines/>
      </w:pPr>
      <w:r>
        <w:rPr>
          <w:rFonts w:ascii="Source Han Sans CN" w:hAnsi="Source Han Sans CN" w:eastAsia="Source Han Sans CN" w:cs="Source Han Sans CN"/>
          <w:color w:val="1F2937"/>
          <w:sz w:val="21"/>
        </w:rPr>
        <w:t>确认分期建设顺序能支持新系统从零开始逐步落地，而非一次性开发全部高级能力。</w:t>
      </w:r>
    </w:p>
    <w:p>
      <w:pPr>
        <w:pStyle w:val="Heading2"/>
      </w:pPr>
      <w:r>
        <w:rPr>
          <w:rFonts w:ascii="Source Han Sans CN" w:hAnsi="Source Han Sans CN" w:eastAsia="Source Han Sans CN" w:cs="Source Han Sans CN"/>
          <w:b/>
          <w:color w:val="1F4E78"/>
          <w:sz w:val="26"/>
        </w:rPr>
        <w:t>使用约定</w:t>
      </w:r>
    </w:p>
    <w:p>
      <w:pPr>
        <w:spacing w:before="120" w:after="200" w:line="283" w:lineRule="auto"/>
        <w:ind w:left="173" w:right="115"/>
        <w:shd w:fill="F4F7FB"/>
        <w:pBdr>
          <w:left w:val="single" w:sz="20" w:space="8" w:color="1F4E78"/>
        </w:pBdr>
        <w:keepLines/>
      </w:pPr>
      <w:r>
        <w:rPr>
          <w:rFonts w:ascii="Source Han Sans CN" w:hAnsi="Source Han Sans CN" w:eastAsia="Source Han Sans CN" w:cs="Source Han Sans CN"/>
          <w:b/>
          <w:color w:val="1F4E78"/>
          <w:sz w:val="20"/>
        </w:rPr>
        <w:t xml:space="preserve">设计层级　</w:t>
      </w:r>
      <w:r>
        <w:rPr>
          <w:rFonts w:ascii="Source Han Sans CN" w:hAnsi="Source Han Sans CN" w:eastAsia="Source Han Sans CN" w:cs="Source Han Sans CN"/>
          <w:color w:val="1F2937"/>
          <w:sz w:val="20"/>
        </w:rPr>
        <w:t>本文属于蓝图与总体设计，不替代后续业务需求规格、领域模型、接口规格、权限矩阵、数据库设计及详细开发任务书。</w:t>
      </w:r>
    </w:p>
    <w:p>
      <w:pPr>
        <w:spacing w:before="120" w:after="200" w:line="283" w:lineRule="auto"/>
        <w:ind w:left="173" w:right="115"/>
        <w:shd w:fill="FFF8E6"/>
        <w:pBdr>
          <w:left w:val="single" w:sz="20" w:space="8" w:color="8A6116"/>
        </w:pBdr>
        <w:keepLines/>
      </w:pPr>
      <w:r>
        <w:rPr>
          <w:rFonts w:ascii="Source Han Sans CN" w:hAnsi="Source Han Sans CN" w:eastAsia="Source Han Sans CN" w:cs="Source Han Sans CN"/>
          <w:b/>
          <w:color w:val="8A6116"/>
          <w:sz w:val="20"/>
        </w:rPr>
        <w:t xml:space="preserve">状态说明　</w:t>
      </w:r>
      <w:r>
        <w:rPr>
          <w:rFonts w:ascii="Source Han Sans CN" w:hAnsi="Source Han Sans CN" w:eastAsia="Source Han Sans CN" w:cs="Source Han Sans CN"/>
          <w:color w:val="1F2937"/>
          <w:sz w:val="20"/>
        </w:rPr>
        <w:t>“确定”表示建议作为项目基线；“建议”表示总体方向已给出但可在详细设计中调整；“待决策”表示需要结合实际企业制度或外围系统条件确认。</w:t>
      </w:r>
    </w:p>
    <w:p>
      <w:r>
        <w:br w:type="page"/>
      </w:r>
    </w:p>
    <w:p>
      <w:pPr>
        <w:spacing w:before="0" w:after="240" w:line="293" w:lineRule="auto"/>
        <w:jc w:val="left"/>
        <w:keepLines/>
      </w:pPr>
      <w:r>
        <w:rPr>
          <w:rFonts w:ascii="Source Han Sans CN" w:hAnsi="Source Han Sans CN" w:eastAsia="Source Han Sans CN" w:cs="Source Han Sans CN"/>
          <w:b/>
          <w:i w:val="0"/>
          <w:color w:val="17365D"/>
          <w:sz w:val="36"/>
        </w:rPr>
        <w:t>目录</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4800"/>
        <w:gridCol w:w="4800"/>
      </w:tblGrid>
      <w:tr>
        <w:trPr>
          <w:tblHeader w:val="true"/>
          <w:cantSplit/>
        </w:trPr>
        <w:tc>
          <w:tcPr>
            <w:tcW w:type="dxa" w:w="4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业务与产品设计</w:t>
            </w:r>
          </w:p>
        </w:tc>
        <w:tc>
          <w:tcPr>
            <w:tcW w:type="dxa" w:w="4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架构、实施与附录</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　文档概述</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17　绩效与风险管理总体设计</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　建设背景、问题与目标</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18　基础数据中心与系统管理总体设计</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3　行业参考与设计取舍</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19　信息架构与核心数据模型</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4　系统定位、边界与设计原则</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20　应用与技术架构总体设计</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5　参与方、组织与权限模型</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21　集成与数据交换总体设计</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6　总体业务能力与菜单蓝图</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22　安全、权限与审计总体设计</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7　端到端业务流程蓝图</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23　非功能设计基线</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8　工作台总体设计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24　产品体验与供应商门户设计</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9　供应商管理总体设计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25　分阶段实施路线图</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10　战略寻源总体设计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26　验收框架与业务指标</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11　合同与价格管理总体设计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27　设计结论、待决策事项与下一步</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12　供应源管理总体设计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附录A　核心对象状态摘要</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13　采购协同总体设计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附录B　关键业务规则摘要</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14　交付与收货协同总体设计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附录C　公开参考资料</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15　供应商质量管理总体设计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附录D　后续高级能力储备</w:t>
            </w:r>
          </w:p>
        </w:tc>
      </w:tr>
      <w:tr>
        <w:trPr>
          <w:cantSplit/>
        </w:trPr>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16　对账与结算协同总体设计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r>
          </w:p>
        </w:tc>
      </w:tr>
    </w:tbl>
    <w:p>
      <w:pPr>
        <w:spacing w:after="40"/>
      </w:pPr>
    </w:p>
    <w:p>
      <w:pPr>
        <w:spacing w:before="0" w:after="0" w:line="293" w:lineRule="auto"/>
        <w:jc w:val="left"/>
        <w:keepLines/>
      </w:pPr>
      <w:r>
        <w:rPr>
          <w:rFonts w:ascii="Source Han Sans CN" w:hAnsi="Source Han Sans CN" w:eastAsia="Source Han Sans CN" w:cs="Source Han Sans CN"/>
          <w:b w:val="0"/>
          <w:i w:val="0"/>
          <w:color w:val="475467"/>
          <w:sz w:val="18"/>
        </w:rPr>
        <w:t>提示：Word/WPS 可通过“导航窗格”按一级至三级标题快速跳转。</w:t>
      </w:r>
    </w:p>
    <w:p>
      <w:r>
        <w:br w:type="page"/>
      </w:r>
    </w:p>
    <w:p>
      <w:pPr>
        <w:pStyle w:val="Heading1"/>
      </w:pPr>
      <w:r>
        <w:rPr>
          <w:rFonts w:ascii="Source Han Sans CN" w:hAnsi="Source Han Sans CN" w:eastAsia="Source Han Sans CN" w:cs="Source Han Sans CN"/>
          <w:b/>
          <w:color w:val="1F4E78"/>
          <w:sz w:val="32"/>
        </w:rPr>
        <w:t>1. 文档概述</w:t>
      </w:r>
    </w:p>
    <w:p>
      <w:pPr>
        <w:pStyle w:val="Heading2"/>
      </w:pPr>
      <w:r>
        <w:rPr>
          <w:rFonts w:ascii="Source Han Sans CN" w:hAnsi="Source Han Sans CN" w:eastAsia="Source Han Sans CN" w:cs="Source Han Sans CN"/>
          <w:b/>
          <w:color w:val="1F4E78"/>
          <w:sz w:val="26"/>
        </w:rPr>
        <w:t>1.1 编制目的</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本说明书用于定义新建“SRM 供应商协同管理系统”的业务蓝图与总体设计基线。它回答系统为什么建设、服务哪些业务、与外围系统如何分工、采用哪些核心业务对象、各业务域如何协同，以及项目应如何分阶段落地。</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本文不是对旧 SCM 供应链计划系统的改名或菜单重排，而是以制造业直接物料供应资源开发和供应商协同为核心重新建立产品模型。旧系统中可复用的通用技术能力可以评估迁移，但旧模块结构、单据模型和串行业务假设不构成新系统设计约束。</w:t>
      </w:r>
    </w:p>
    <w:p>
      <w:pPr>
        <w:spacing w:before="120" w:after="200" w:line="283" w:lineRule="auto"/>
        <w:ind w:left="173" w:right="115"/>
        <w:shd w:fill="ECFDF3"/>
        <w:pBdr>
          <w:left w:val="single" w:sz="20" w:space="8" w:color="166534"/>
        </w:pBdr>
        <w:keepLines/>
      </w:pPr>
      <w:r>
        <w:rPr>
          <w:rFonts w:ascii="Source Han Sans CN" w:hAnsi="Source Han Sans CN" w:eastAsia="Source Han Sans CN" w:cs="Source Han Sans CN"/>
          <w:b/>
          <w:color w:val="166534"/>
          <w:sz w:val="20"/>
        </w:rPr>
        <w:t xml:space="preserve">总体结论　</w:t>
      </w:r>
      <w:r>
        <w:rPr>
          <w:rFonts w:ascii="Source Han Sans CN" w:hAnsi="Source Han Sans CN" w:eastAsia="Source Han Sans CN" w:cs="Source Han Sans CN"/>
          <w:color w:val="1F2937"/>
          <w:sz w:val="20"/>
        </w:rPr>
        <w:t>新 SRM 采用“供应资源开发＋采购执行协同”双入口，以批准供应源为连接中心；采购需求是执行入口之一，但不是整个 SRM 的唯一业务起点。</w:t>
      </w:r>
    </w:p>
    <w:p>
      <w:pPr>
        <w:pStyle w:val="Heading2"/>
      </w:pPr>
      <w:r>
        <w:rPr>
          <w:rFonts w:ascii="Source Han Sans CN" w:hAnsi="Source Han Sans CN" w:eastAsia="Source Han Sans CN" w:cs="Source Han Sans CN"/>
          <w:b/>
          <w:color w:val="1F4E78"/>
          <w:sz w:val="26"/>
        </w:rPr>
        <w:t>1.2 适用范围与读者</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4800"/>
        <w:gridCol w:w="30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读者</w:t>
            </w:r>
          </w:p>
        </w:tc>
        <w:tc>
          <w:tcPr>
            <w:tcW w:type="dxa" w:w="4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关注内容</w:t>
            </w:r>
          </w:p>
        </w:tc>
        <w:tc>
          <w:tcPr>
            <w:tcW w:type="dxa" w:w="3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使用方式</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管理层／业务负责人</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系统定位、业务价值、职责边界、关键决策和实施路线</w:t>
            </w:r>
          </w:p>
        </w:tc>
        <w:tc>
          <w:tcPr>
            <w:tcW w:type="dxa" w:w="3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批准建设范围与阶段目标</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采购与供应链团队</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供应商、寻源、供应源、需求分配、PO、交付和绩效流程</w:t>
            </w:r>
          </w:p>
        </w:tc>
        <w:tc>
          <w:tcPr>
            <w:tcW w:type="dxa" w:w="3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确认真实业务及例外场景</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质量／工程团队</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供应商审核、物料资格、样件试制、量产认可、来料质量与整改</w:t>
            </w:r>
          </w:p>
        </w:tc>
        <w:tc>
          <w:tcPr>
            <w:tcW w:type="dxa" w:w="3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确认质量关口和数据来源</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财务／法务团队</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采购依据、合同价格、对账、发票、付款边界和审计</w:t>
            </w:r>
          </w:p>
        </w:tc>
        <w:tc>
          <w:tcPr>
            <w:tcW w:type="dxa" w:w="3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确认合规与系统分工</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产品／研发／测试团队</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能力地图、领域边界、对象状态、数据、接口、权限和非功能要求</w:t>
            </w:r>
          </w:p>
        </w:tc>
        <w:tc>
          <w:tcPr>
            <w:tcW w:type="dxa" w:w="3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拆解详细设计与迭代任务</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实施／运维团队</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集成、迁移、部署、监控、审计和验收框架</w:t>
            </w:r>
          </w:p>
        </w:tc>
        <w:tc>
          <w:tcPr>
            <w:tcW w:type="dxa" w:w="3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制定实施及运行方案</w:t>
            </w:r>
          </w:p>
        </w:tc>
      </w:tr>
    </w:tbl>
    <w:p>
      <w:pPr>
        <w:spacing w:after="40"/>
      </w:pPr>
    </w:p>
    <w:p>
      <w:pPr>
        <w:pStyle w:val="Heading2"/>
      </w:pPr>
      <w:r>
        <w:rPr>
          <w:rFonts w:ascii="Source Han Sans CN" w:hAnsi="Source Han Sans CN" w:eastAsia="Source Han Sans CN" w:cs="Source Han Sans CN"/>
          <w:b/>
          <w:color w:val="1F4E78"/>
          <w:sz w:val="26"/>
        </w:rPr>
        <w:t>1.3 文档范围</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4100"/>
        <w:gridCol w:w="38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范围层级</w:t>
            </w:r>
          </w:p>
        </w:tc>
        <w:tc>
          <w:tcPr>
            <w:tcW w:type="dxa" w:w="4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本说明书覆盖</w:t>
            </w:r>
          </w:p>
        </w:tc>
        <w:tc>
          <w:tcPr>
            <w:tcW w:type="dxa" w:w="3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后续文档继续细化</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业务</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目标流程、场景路径、治理关口、领域职责和异常闭环</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逐字段业务需求、页面原型、审批矩阵</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产品</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12个一级业务域、二级功能、工作台、供应商门户和产品体验原则</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菜单按钮权限、交互稿、报表口径</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数据</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核心业务对象、状态、权属、版本及追溯原则</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逻辑/物理数据模型、字段字典、编码规则</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技术</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目标应用架构、集成模式、安全和非功能基线</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接口协议、部署拓扑、容量和灾备方案</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实施</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分期路线、依赖、验收框架和待决策事项</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迭代任务书、测试方案、切换与培训计划</w:t>
            </w:r>
          </w:p>
        </w:tc>
      </w:tr>
    </w:tbl>
    <w:p>
      <w:pPr>
        <w:spacing w:after="40"/>
      </w:pPr>
    </w:p>
    <w:p>
      <w:pPr>
        <w:pStyle w:val="Heading2"/>
      </w:pPr>
      <w:r>
        <w:rPr>
          <w:rFonts w:ascii="Source Han Sans CN" w:hAnsi="Source Han Sans CN" w:eastAsia="Source Han Sans CN" w:cs="Source Han Sans CN"/>
          <w:b/>
          <w:color w:val="1F4E78"/>
          <w:sz w:val="26"/>
        </w:rPr>
        <w:t>1.4 关键术语</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200"/>
        <w:gridCol w:w="7400"/>
      </w:tblGrid>
      <w:tr>
        <w:trPr>
          <w:tblHeader w:val="true"/>
          <w:cantSplit/>
        </w:trPr>
        <w:tc>
          <w:tcPr>
            <w:tcW w:type="dxa" w:w="2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术语</w:t>
            </w:r>
          </w:p>
        </w:tc>
        <w:tc>
          <w:tcPr>
            <w:tcW w:type="dxa" w:w="7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本文定义</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供应商主体</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依法承担交易责任的供应商法律实体，不等同于某个联系人、账号或供货地点。</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供应商站点</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供应商的生产、发货、开票或收款地点；同一主体可以有多个站点。</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寻源参与资格</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允许供应商参与特定采购组织或品类的 RFI、RFQ、招投标或谈判，不代表可以正式下单。</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物料资格</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供应商特定站点对指定物料、版本、工艺及适用工厂的技术与质量认可结论。</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采购依据</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企业认可并能支撑采购交易的法律与商务依据，如框架协议、专项合同、价格协议、经批准的PO通用条款或例外审批。</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批准供应源</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在供应商＋站点＋物料/品类＋采购组织/工厂＋有效期范围内，被允许参与需求分配或下单的业务关系。</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定标份额</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寻源决策中拟给予供应商的目标商务份额，不等于长期供应配额或某次实际分配。</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供应配额</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某一有效期内用于供应源确定的策略比例或上限。</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实际分配</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对某一次具体采购需求，结合能力、交期、风险等因素最终分配给各供应商的数量。</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正式PO</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对外具备交易效力的采购订单；其主数据权属由企业集成架构决定，目标方案默认 ERP 为权威源。</w:t>
            </w:r>
          </w:p>
        </w:tc>
      </w:tr>
    </w:tbl>
    <w:p>
      <w:pPr>
        <w:spacing w:after="40"/>
      </w:pPr>
    </w:p>
    <w:p>
      <w:pPr>
        <w:pStyle w:val="Heading1"/>
      </w:pPr>
      <w:r>
        <w:rPr>
          <w:rFonts w:ascii="Source Han Sans CN" w:hAnsi="Source Han Sans CN" w:eastAsia="Source Han Sans CN" w:cs="Source Han Sans CN"/>
          <w:b/>
          <w:color w:val="1F4E78"/>
          <w:sz w:val="32"/>
        </w:rPr>
        <w:t>2. 建设背景、问题与目标</w:t>
      </w:r>
    </w:p>
    <w:p>
      <w:pPr>
        <w:pStyle w:val="Heading2"/>
      </w:pPr>
      <w:r>
        <w:rPr>
          <w:rFonts w:ascii="Source Han Sans CN" w:hAnsi="Source Han Sans CN" w:eastAsia="Source Han Sans CN" w:cs="Source Han Sans CN"/>
          <w:b/>
          <w:color w:val="1F4E78"/>
          <w:sz w:val="26"/>
        </w:rPr>
        <w:t>2.1 目标企业与业务背景</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系统面向中大型制造企业，重点覆盖消费电子、装备、汽车零部件及相近的直接物料采购场景。此类企业通常存在多法律主体、多采购组织、多工厂、多物料版本、多供应商站点和跨部门质量评审，供应连续性、成本、质量、合规和交期之间需要动态平衡。</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SRM 的价值不只是把邮件、Excel 和线下签字搬到线上，而是把供应商主体资格、物料技术质量资格、交易依据、供应能力、供货范围和执行结果连接为可治理、可追溯的数据链。</w:t>
      </w:r>
    </w:p>
    <w:p>
      <w:pPr>
        <w:pStyle w:val="Heading2"/>
      </w:pPr>
      <w:r>
        <w:rPr>
          <w:rFonts w:ascii="Source Han Sans CN" w:hAnsi="Source Han Sans CN" w:eastAsia="Source Han Sans CN" w:cs="Source Han Sans CN"/>
          <w:b/>
          <w:color w:val="1F4E78"/>
          <w:sz w:val="26"/>
        </w:rPr>
        <w:t>2.2 需要解决的核心问题</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200"/>
        <w:gridCol w:w="7400"/>
      </w:tblGrid>
      <w:tr>
        <w:trPr>
          <w:tblHeader w:val="true"/>
          <w:cantSplit/>
        </w:trPr>
        <w:tc>
          <w:tcPr>
            <w:tcW w:type="dxa" w:w="2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问题域</w:t>
            </w:r>
          </w:p>
        </w:tc>
        <w:tc>
          <w:tcPr>
            <w:tcW w:type="dxa" w:w="7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典型表现</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资源发现与准入脱节</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新供应商能报价但其基础合规、技术能力和正式交易资格没有分层，定标后大量线下补手续。</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供应商状态过度概括</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用“合格/不合格”替代主体、站点、物料、工厂、合同和有效期等多维资格，无法支撑真实下单控制。</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寻源与采购执行割裂</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定标价格、份额和承诺不能稳定转化为价格条件、供应源、配额和后续订单。</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需求分配缺少治理</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实际分配依赖采购人员经验，未系统校验资格、采购依据、价格、能力、风险和冻结状态。</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交付与质量反馈滞后</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PO承诺、ASN、收货差异、IQC和整改散落在不同系统或线下，无法形成闭环。</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绩效无法反向驱动</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评分停留在报表，不能形成改善、份额调整、限制、冻结、淘汰或第二供应源建设任务。</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门户与内部流程不一致</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供应商看到的报价、订单、交付、质量和结算状态与企业内部口径不一致。</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系统边界模糊</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SRM试图承担MRP、库存总账、财务记账或付款等ERP职责，导致模型臃肿且难以集成。</w:t>
            </w:r>
          </w:p>
        </w:tc>
      </w:tr>
    </w:tbl>
    <w:p>
      <w:pPr>
        <w:spacing w:after="40"/>
      </w:pPr>
    </w:p>
    <w:p>
      <w:pPr>
        <w:pStyle w:val="Heading2"/>
      </w:pPr>
      <w:r>
        <w:rPr>
          <w:rFonts w:ascii="Source Han Sans CN" w:hAnsi="Source Han Sans CN" w:eastAsia="Source Han Sans CN" w:cs="Source Han Sans CN"/>
          <w:b/>
          <w:color w:val="1F4E78"/>
          <w:sz w:val="26"/>
        </w:rPr>
        <w:t>2.3 建设目标</w:t>
      </w:r>
    </w:p>
    <w:p>
      <w:pPr>
        <w:numPr>
          <w:ilvl w:val="0"/>
          <w:numId w:val="10"/>
        </w:numPr>
        <w:spacing w:before="0" w:after="80" w:line="293" w:lineRule="auto"/>
        <w:keepLines/>
      </w:pPr>
      <w:r>
        <w:rPr>
          <w:rFonts w:ascii="Source Han Sans CN" w:hAnsi="Source Han Sans CN" w:eastAsia="Source Han Sans CN" w:cs="Source Han Sans CN"/>
          <w:color w:val="1F2937"/>
          <w:sz w:val="21"/>
        </w:rPr>
        <w:t>建立统一、分层的供应商资源与准入模型，使“可参与寻源”和“可正式交易”可区分、可复审。</w:t>
      </w:r>
    </w:p>
    <w:p>
      <w:pPr>
        <w:numPr>
          <w:ilvl w:val="0"/>
          <w:numId w:val="10"/>
        </w:numPr>
        <w:spacing w:before="0" w:after="80" w:line="293" w:lineRule="auto"/>
        <w:keepLines/>
      </w:pPr>
      <w:r>
        <w:rPr>
          <w:rFonts w:ascii="Source Han Sans CN" w:hAnsi="Source Han Sans CN" w:eastAsia="Source Han Sans CN" w:cs="Source Han Sans CN"/>
          <w:color w:val="1F2937"/>
          <w:sz w:val="21"/>
        </w:rPr>
        <w:t>建立供应商—站点—物料—工厂维度的批准供应源，成为需求分配和PO发布的核心依据。</w:t>
      </w:r>
    </w:p>
    <w:p>
      <w:pPr>
        <w:numPr>
          <w:ilvl w:val="0"/>
          <w:numId w:val="10"/>
        </w:numPr>
        <w:spacing w:before="0" w:after="80" w:line="293" w:lineRule="auto"/>
        <w:keepLines/>
      </w:pPr>
      <w:r>
        <w:rPr>
          <w:rFonts w:ascii="Source Han Sans CN" w:hAnsi="Source Han Sans CN" w:eastAsia="Source Han Sans CN" w:cs="Source Han Sans CN"/>
          <w:color w:val="1F2937"/>
          <w:sz w:val="21"/>
        </w:rPr>
        <w:t>支持正常补货、NPI新物料、第二供应源、年度议价、风险替代、试制和紧急采购等不同路径。</w:t>
      </w:r>
    </w:p>
    <w:p>
      <w:pPr>
        <w:numPr>
          <w:ilvl w:val="0"/>
          <w:numId w:val="10"/>
        </w:numPr>
        <w:spacing w:before="0" w:after="80" w:line="293" w:lineRule="auto"/>
        <w:keepLines/>
      </w:pPr>
      <w:r>
        <w:rPr>
          <w:rFonts w:ascii="Source Han Sans CN" w:hAnsi="Source Han Sans CN" w:eastAsia="Source Han Sans CN" w:cs="Source Han Sans CN"/>
          <w:color w:val="1F2937"/>
          <w:sz w:val="21"/>
        </w:rPr>
        <w:t>贯通定标、价格、采购依据、供应源、实际分配、订单承诺、交付、质量、结算、绩效与风险。</w:t>
      </w:r>
    </w:p>
    <w:p>
      <w:pPr>
        <w:numPr>
          <w:ilvl w:val="0"/>
          <w:numId w:val="10"/>
        </w:numPr>
        <w:spacing w:before="0" w:after="80" w:line="293" w:lineRule="auto"/>
        <w:keepLines/>
      </w:pPr>
      <w:r>
        <w:rPr>
          <w:rFonts w:ascii="Source Han Sans CN" w:hAnsi="Source Han Sans CN" w:eastAsia="Source Han Sans CN" w:cs="Source Han Sans CN"/>
          <w:color w:val="1F2937"/>
          <w:sz w:val="21"/>
        </w:rPr>
        <w:t>建设统一内部工作台和独立供应商门户，让任务、异常、证据和状态在同一业务对象上协同。</w:t>
      </w:r>
    </w:p>
    <w:p>
      <w:pPr>
        <w:numPr>
          <w:ilvl w:val="0"/>
          <w:numId w:val="10"/>
        </w:numPr>
        <w:spacing w:before="0" w:after="80" w:line="293" w:lineRule="auto"/>
        <w:keepLines/>
      </w:pPr>
      <w:r>
        <w:rPr>
          <w:rFonts w:ascii="Source Han Sans CN" w:hAnsi="Source Han Sans CN" w:eastAsia="Source Han Sans CN" w:cs="Source Han Sans CN"/>
          <w:color w:val="1F2937"/>
          <w:sz w:val="21"/>
        </w:rPr>
        <w:t>与ERP、PLM、QMS、WMS和财务系统形成清晰分工，通过稳定集成而非重复建设实现闭环。</w:t>
      </w:r>
    </w:p>
    <w:p>
      <w:pPr>
        <w:numPr>
          <w:ilvl w:val="0"/>
          <w:numId w:val="10"/>
        </w:numPr>
        <w:spacing w:before="0" w:after="80" w:line="293" w:lineRule="auto"/>
        <w:keepLines/>
      </w:pPr>
      <w:r>
        <w:rPr>
          <w:rFonts w:ascii="Source Han Sans CN" w:hAnsi="Source Han Sans CN" w:eastAsia="Source Han Sans CN" w:cs="Source Han Sans CN"/>
          <w:color w:val="1F2937"/>
          <w:sz w:val="21"/>
        </w:rPr>
        <w:t>采用可分期落地的模块化架构，在单服务器初期部署下保持后续扩展和多组织治理能力。</w:t>
      </w:r>
    </w:p>
    <w:p>
      <w:pPr>
        <w:pStyle w:val="Heading2"/>
      </w:pPr>
      <w:r>
        <w:rPr>
          <w:rFonts w:ascii="Source Han Sans CN" w:hAnsi="Source Han Sans CN" w:eastAsia="Source Han Sans CN" w:cs="Source Han Sans CN"/>
          <w:b/>
          <w:color w:val="1F4E78"/>
          <w:sz w:val="26"/>
        </w:rPr>
        <w:t>2.4 预期业务成效</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4700"/>
        <w:gridCol w:w="32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价值维度</w:t>
            </w:r>
          </w:p>
        </w:tc>
        <w:tc>
          <w:tcPr>
            <w:tcW w:type="dxa" w:w="4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目标表现</w:t>
            </w:r>
          </w:p>
        </w:tc>
        <w:tc>
          <w:tcPr>
            <w:tcW w:type="dxa" w:w="3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建议指标示例</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供应连续性</w:t>
            </w:r>
          </w:p>
        </w:tc>
        <w:tc>
          <w:tcPr>
            <w:tcW w:type="dxa" w:w="4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提前识别单一来源、能力不足、交期偏差和供应源失效</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关键料双供覆盖率、缺口关闭周期、承诺偏差率</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采购效率</w:t>
            </w:r>
          </w:p>
        </w:tc>
        <w:tc>
          <w:tcPr>
            <w:tcW w:type="dxa" w:w="4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减少重复寻源、手工分配、邮件催办和订单差异确认</w:t>
            </w:r>
          </w:p>
        </w:tc>
        <w:tc>
          <w:tcPr>
            <w:tcW w:type="dxa" w:w="3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需求到分配周期、RFQ周期、订单确认时长</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w:t>
            </w:r>
          </w:p>
        </w:tc>
        <w:tc>
          <w:tcPr>
            <w:tcW w:type="dxa" w:w="4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将准入、物料认可、IQC、异常和整改统一追踪</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来料合格率、SCAR关闭周期、重复问题率</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成本</w:t>
            </w:r>
          </w:p>
        </w:tc>
        <w:tc>
          <w:tcPr>
            <w:tcW w:type="dxa" w:w="4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沉淀报价、价格版本、成本因素、配额和节约依据</w:t>
            </w:r>
          </w:p>
        </w:tc>
        <w:tc>
          <w:tcPr>
            <w:tcW w:type="dxa" w:w="3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寻源节约、价格覆盖率、超协议采购率</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合规</w:t>
            </w:r>
          </w:p>
        </w:tc>
        <w:tc>
          <w:tcPr>
            <w:tcW w:type="dxa" w:w="4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关键审批、职责分离、采购依据和历史版本可审计</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例外采购占比、逾期资质数、审计追溯完整率</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协同体验</w:t>
            </w:r>
          </w:p>
        </w:tc>
        <w:tc>
          <w:tcPr>
            <w:tcW w:type="dxa" w:w="4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供应商与内部用户围绕同一单据状态协作</w:t>
            </w:r>
          </w:p>
        </w:tc>
        <w:tc>
          <w:tcPr>
            <w:tcW w:type="dxa" w:w="3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在线确认率、ASN覆盖率、线上对账率、任务按时完成率</w:t>
            </w:r>
          </w:p>
        </w:tc>
      </w:tr>
    </w:tbl>
    <w:p>
      <w:pPr>
        <w:spacing w:after="40"/>
      </w:pPr>
    </w:p>
    <w:p>
      <w:pPr>
        <w:pStyle w:val="Heading1"/>
      </w:pPr>
      <w:r>
        <w:rPr>
          <w:rFonts w:ascii="Source Han Sans CN" w:hAnsi="Source Han Sans CN" w:eastAsia="Source Han Sans CN" w:cs="Source Han Sans CN"/>
          <w:b/>
          <w:color w:val="1F4E78"/>
          <w:sz w:val="32"/>
        </w:rPr>
        <w:t>3. 行业参考与设计取舍</w:t>
      </w:r>
    </w:p>
    <w:p>
      <w:pPr>
        <w:pStyle w:val="Heading2"/>
      </w:pPr>
      <w:r>
        <w:rPr>
          <w:rFonts w:ascii="Source Han Sans CN" w:hAnsi="Source Han Sans CN" w:eastAsia="Source Han Sans CN" w:cs="Source Han Sans CN"/>
          <w:b/>
          <w:color w:val="1F4E78"/>
          <w:sz w:val="26"/>
        </w:rPr>
        <w:t>3.1 参考原则</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本设计参考国际与国内主流采购/SRM产品公开资料，用于识别成熟业务对象和控制模式，不按任何单一产品照搬菜单或实施流程。不同产品的定位分别偏向 Source-to-Pay、ERP采购、直接物料、供应商质量或国内采购协同，因此需要结合制造业场景重新组合。</w:t>
      </w:r>
    </w:p>
    <w:p>
      <w:pPr>
        <w:pStyle w:val="Heading2"/>
      </w:pPr>
      <w:r>
        <w:rPr>
          <w:rFonts w:ascii="Source Han Sans CN" w:hAnsi="Source Han Sans CN" w:eastAsia="Source Han Sans CN" w:cs="Source Han Sans CN"/>
          <w:b/>
          <w:color w:val="1F4E78"/>
          <w:sz w:val="26"/>
        </w:rPr>
        <w:t>3.2 公开产品能力映射</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3900"/>
        <w:gridCol w:w="38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参考体系</w:t>
            </w:r>
          </w:p>
        </w:tc>
        <w:tc>
          <w:tcPr>
            <w:tcW w:type="dxa" w:w="3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公开能力特征</w:t>
            </w:r>
          </w:p>
        </w:tc>
        <w:tc>
          <w:tcPr>
            <w:tcW w:type="dxa" w:w="3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本设计吸收的原则</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SAP S/4HANA / Business Network</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供应源清单、配额确定、订单确认偏差、预测承诺、ASN、收货与质量协同。[S1][S2]</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供应源与配额独立管理；执行偏差形成审批和预警；SRM不替代ERP交易记账。</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Oracle Fusion Procurement</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区分寻源资格和批准供应商清单；定标可创建PO/协议，也可只完成定标而不生成采购单据。[S3][S4][S5]</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参与寻源资格与正式交易资格分层；定标结果与后续交易文件解耦。</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Ivalua Direct Materials</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强调BOM/NPI驱动、跨采购/工程/质量协作、供应链协同和产品全生命周期。[S6]</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采购需求不是唯一入口；新产品和新物料必须纳入资源开发循环。</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JAGGAER制造业方案</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公开强调APQP、PPAP、首件、SCAR/NCR及闭环CAPA。[S7]</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物料资格与供应商质量归属同一质量主线，并按行业策略配置深度。</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金蝶采购云</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供应商全生命周期、多种寻源场景、采购执行与供应商门户协同。[S8]</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支持多种准入与寻源方式，满足国内审批、门户和全链协作习惯。</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企企通／甄云／用友</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覆盖供应商生命周期、寻源、订单、物流、质量、对账或S2P协同。[S9][S10][S11]</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一级目录控制在稳定责任域，单个角色按权限只看必要业务。</w:t>
            </w:r>
          </w:p>
        </w:tc>
      </w:tr>
    </w:tbl>
    <w:p>
      <w:pPr>
        <w:spacing w:after="40"/>
      </w:pPr>
    </w:p>
    <w:p>
      <w:pPr>
        <w:pStyle w:val="Heading2"/>
      </w:pPr>
      <w:r>
        <w:rPr>
          <w:rFonts w:ascii="Source Han Sans CN" w:hAnsi="Source Han Sans CN" w:eastAsia="Source Han Sans CN" w:cs="Source Han Sans CN"/>
          <w:b/>
          <w:color w:val="1F4E78"/>
          <w:sz w:val="26"/>
        </w:rPr>
        <w:t>3.3 关键设计取舍</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600"/>
        <w:gridCol w:w="7000"/>
      </w:tblGrid>
      <w:tr>
        <w:trPr>
          <w:tblHeader w:val="true"/>
          <w:cantSplit/>
        </w:trPr>
        <w:tc>
          <w:tcPr>
            <w:tcW w:type="dxa" w:w="2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取舍</w:t>
            </w:r>
          </w:p>
        </w:tc>
        <w:tc>
          <w:tcPr>
            <w:tcW w:type="dxa" w:w="7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理由与结果</w:t>
            </w:r>
          </w:p>
        </w:tc>
      </w:tr>
      <w:tr>
        <w:trPr>
          <w:cantSplit/>
        </w:trPr>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不采用单一串行主流程</w:t>
            </w:r>
          </w:p>
        </w:tc>
        <w:tc>
          <w:tcPr>
            <w:tcW w:type="dxa" w:w="7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准入、资格、采购依据可以在寻源前、中、后按策略并行推进，供应源激活时统一校验。</w:t>
            </w:r>
          </w:p>
        </w:tc>
      </w:tr>
      <w:tr>
        <w:trPr>
          <w:cantSplit/>
        </w:trPr>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不把定标等同于下单</w:t>
            </w:r>
          </w:p>
        </w:tc>
        <w:tc>
          <w:tcPr>
            <w:tcW w:type="dxa" w:w="7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定标确认“选谁、供什么、按什么条件”，批准供应源确认“当前是否允许参与分配和下单”。</w:t>
            </w:r>
          </w:p>
        </w:tc>
      </w:tr>
      <w:tr>
        <w:trPr>
          <w:cantSplit/>
        </w:trPr>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不要求每次定标新签合同</w:t>
            </w:r>
          </w:p>
        </w:tc>
        <w:tc>
          <w:tcPr>
            <w:tcW w:type="dxa" w:w="7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系统校验有效采购依据；已有框架、补充协议、PO通用条款或批准例外可按策略覆盖。</w:t>
            </w:r>
          </w:p>
        </w:tc>
      </w:tr>
      <w:tr>
        <w:trPr>
          <w:cantSplit/>
        </w:trPr>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不把物料资格孤立成一级菜单</w:t>
            </w:r>
          </w:p>
        </w:tc>
        <w:tc>
          <w:tcPr>
            <w:tcW w:type="dxa" w:w="7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资格、样件、试制、量产认可、IQC和整改统一归入供应商质量管理。</w:t>
            </w:r>
          </w:p>
        </w:tc>
      </w:tr>
      <w:tr>
        <w:trPr>
          <w:cantSplit/>
        </w:trPr>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不把需求匹配与PO拆成两个一级域</w:t>
            </w:r>
          </w:p>
        </w:tc>
        <w:tc>
          <w:tcPr>
            <w:tcW w:type="dxa" w:w="7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需求接收、供应源匹配、缺口、实际分配和订单协同统一归入采购协同。</w:t>
            </w:r>
          </w:p>
        </w:tc>
      </w:tr>
      <w:tr>
        <w:trPr>
          <w:cantSplit/>
        </w:trPr>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不把集成单独作为普通业务菜单</w:t>
            </w:r>
          </w:p>
        </w:tc>
        <w:tc>
          <w:tcPr>
            <w:tcW w:type="dxa" w:w="7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集成能力属于系统管理和技术平台，业务用户通过单据状态感知结果。</w:t>
            </w:r>
          </w:p>
        </w:tc>
      </w:tr>
      <w:tr>
        <w:trPr>
          <w:cantSplit/>
        </w:trPr>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不以微服务作为初期目标</w:t>
            </w:r>
          </w:p>
        </w:tc>
        <w:tc>
          <w:tcPr>
            <w:tcW w:type="dxa" w:w="7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优先模块化单体，保持领域隔离、事件和接口边界，在业务规模需要时再拆分。</w:t>
            </w:r>
          </w:p>
        </w:tc>
      </w:tr>
    </w:tbl>
    <w:p>
      <w:pPr>
        <w:spacing w:after="40"/>
      </w:pPr>
    </w:p>
    <w:p>
      <w:pPr>
        <w:spacing w:before="120" w:after="200" w:line="283" w:lineRule="auto"/>
        <w:ind w:left="173" w:right="115"/>
        <w:shd w:fill="FFF8E6"/>
        <w:pBdr>
          <w:left w:val="single" w:sz="20" w:space="8" w:color="8A6116"/>
        </w:pBdr>
        <w:keepLines/>
      </w:pPr>
      <w:r>
        <w:rPr>
          <w:rFonts w:ascii="Source Han Sans CN" w:hAnsi="Source Han Sans CN" w:eastAsia="Source Han Sans CN" w:cs="Source Han Sans CN"/>
          <w:b/>
          <w:color w:val="8A6116"/>
          <w:sz w:val="20"/>
        </w:rPr>
        <w:t xml:space="preserve">行业适配　</w:t>
      </w:r>
      <w:r>
        <w:rPr>
          <w:rFonts w:ascii="Source Han Sans CN" w:hAnsi="Source Han Sans CN" w:eastAsia="Source Han Sans CN" w:cs="Source Han Sans CN"/>
          <w:color w:val="1F2937"/>
          <w:sz w:val="20"/>
        </w:rPr>
        <w:t>APQP/PPAP、计划协议、VMI、寄售和多层供应链属于可配置或后续能力；第一版保留对象和扩展点，但不要求一次性全部落地。</w:t>
      </w:r>
    </w:p>
    <w:p>
      <w:pPr>
        <w:pStyle w:val="Heading1"/>
      </w:pPr>
      <w:r>
        <w:rPr>
          <w:rFonts w:ascii="Source Han Sans CN" w:hAnsi="Source Han Sans CN" w:eastAsia="Source Han Sans CN" w:cs="Source Han Sans CN"/>
          <w:b/>
          <w:color w:val="1F4E78"/>
          <w:sz w:val="32"/>
        </w:rPr>
        <w:t>4. 系统定位、边界与设计原则</w:t>
      </w:r>
    </w:p>
    <w:p>
      <w:pPr>
        <w:pStyle w:val="Heading2"/>
      </w:pPr>
      <w:r>
        <w:rPr>
          <w:rFonts w:ascii="Source Han Sans CN" w:hAnsi="Source Han Sans CN" w:eastAsia="Source Han Sans CN" w:cs="Source Han Sans CN"/>
          <w:b/>
          <w:color w:val="1F4E78"/>
          <w:sz w:val="26"/>
        </w:rPr>
        <w:t>4.1 产品定位</w:t>
      </w:r>
    </w:p>
    <w:p>
      <w:pPr>
        <w:spacing w:before="120" w:after="200" w:line="283" w:lineRule="auto"/>
        <w:ind w:left="173" w:right="115"/>
        <w:shd w:fill="F4F7FB"/>
        <w:pBdr>
          <w:left w:val="single" w:sz="20" w:space="8" w:color="1F4E78"/>
        </w:pBdr>
        <w:keepLines/>
      </w:pPr>
      <w:r>
        <w:rPr>
          <w:rFonts w:ascii="Source Han Sans CN" w:hAnsi="Source Han Sans CN" w:eastAsia="Source Han Sans CN" w:cs="Source Han Sans CN"/>
          <w:b/>
          <w:color w:val="1F4E78"/>
          <w:sz w:val="20"/>
        </w:rPr>
        <w:t xml:space="preserve">产品定义　</w:t>
      </w:r>
      <w:r>
        <w:rPr>
          <w:rFonts w:ascii="Source Han Sans CN" w:hAnsi="Source Han Sans CN" w:eastAsia="Source Han Sans CN" w:cs="Source Han Sans CN"/>
          <w:color w:val="1F2937"/>
          <w:sz w:val="20"/>
        </w:rPr>
        <w:t>SRM 是企业与供应商之间的供应资源治理和采购履行协同平台，重点覆盖供应商开发、寻源、批准供应源、订单交付、质量、结算协同以及绩效风险闭环。</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系统主要服务直接物料及与生产密切相关的采购协同。它既包含 Source-to-Contract 的资源开发能力，也包含从采购需求/订单到交付、质量和结算状态的供应商网络协同，但不替代ERP的财务核算、计划运算和库存总账。</w:t>
      </w:r>
    </w:p>
    <w:p>
      <w:pPr>
        <w:pStyle w:val="Heading2"/>
      </w:pPr>
      <w:r>
        <w:rPr>
          <w:rFonts w:ascii="Source Han Sans CN" w:hAnsi="Source Han Sans CN" w:eastAsia="Source Han Sans CN" w:cs="Source Han Sans CN"/>
          <w:b/>
          <w:color w:val="1F4E78"/>
          <w:sz w:val="26"/>
        </w:rPr>
        <w:t>4.2 本期核心范围</w:t>
      </w:r>
    </w:p>
    <w:p>
      <w:pPr>
        <w:numPr>
          <w:ilvl w:val="0"/>
          <w:numId w:val="10"/>
        </w:numPr>
        <w:spacing w:before="0" w:after="80" w:line="293" w:lineRule="auto"/>
        <w:keepLines/>
      </w:pPr>
      <w:r>
        <w:rPr>
          <w:rFonts w:ascii="Source Han Sans CN" w:hAnsi="Source Han Sans CN" w:eastAsia="Source Han Sans CN" w:cs="Source Han Sans CN"/>
          <w:color w:val="1F2937"/>
          <w:sz w:val="21"/>
        </w:rPr>
        <w:t>统一工作台、待办审批、消息预警和角色指标；</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供应商资源池、注册、档案、主体准入、资质、复审、变更、冻结和退出；</w:t>
      </w:r>
    </w:p>
    <w:p>
      <w:pPr>
        <w:numPr>
          <w:ilvl w:val="0"/>
          <w:numId w:val="10"/>
        </w:numPr>
        <w:spacing w:before="0" w:after="80" w:line="293" w:lineRule="auto"/>
        <w:keepLines/>
      </w:pPr>
      <w:r>
        <w:rPr>
          <w:rFonts w:ascii="Source Han Sans CN" w:hAnsi="Source Han Sans CN" w:eastAsia="Source Han Sans CN" w:cs="Source Han Sans CN"/>
          <w:color w:val="1F2937"/>
          <w:sz w:val="21"/>
        </w:rPr>
        <w:t>寻源需求、RFI/RFQ、招投标/竞价、报价、澄清、评审、定标和转化任务；</w:t>
      </w:r>
    </w:p>
    <w:p>
      <w:pPr>
        <w:numPr>
          <w:ilvl w:val="0"/>
          <w:numId w:val="10"/>
        </w:numPr>
        <w:spacing w:before="0" w:after="80" w:line="293" w:lineRule="auto"/>
        <w:keepLines/>
      </w:pPr>
      <w:r>
        <w:rPr>
          <w:rFonts w:ascii="Source Han Sans CN" w:hAnsi="Source Han Sans CN" w:eastAsia="Source Han Sans CN" w:cs="Source Han Sans CN"/>
          <w:color w:val="1F2937"/>
          <w:sz w:val="21"/>
        </w:rPr>
        <w:t>合同、框架/补充协议、采购依据、价格条件、调价、续签和到期管理；</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供应商—站点—物料—工厂维度的试制、条件和正式供应源及配额能力；</w:t>
      </w:r>
    </w:p>
    <w:p>
      <w:pPr>
        <w:numPr>
          <w:ilvl w:val="0"/>
          <w:numId w:val="10"/>
        </w:numPr>
        <w:spacing w:before="0" w:after="80" w:line="293" w:lineRule="auto"/>
        <w:keepLines/>
      </w:pPr>
      <w:r>
        <w:rPr>
          <w:rFonts w:ascii="Source Han Sans CN" w:hAnsi="Source Han Sans CN" w:eastAsia="Source Han Sans CN" w:cs="Source Han Sans CN"/>
          <w:color w:val="1F2937"/>
          <w:sz w:val="21"/>
        </w:rPr>
        <w:t>采购需求接收、供应源匹配、缺口、实际分配、PO发布/确认、变更和取消协同；</w:t>
      </w:r>
    </w:p>
    <w:p>
      <w:pPr>
        <w:numPr>
          <w:ilvl w:val="0"/>
          <w:numId w:val="10"/>
        </w:numPr>
        <w:spacing w:before="0" w:after="80" w:line="293" w:lineRule="auto"/>
        <w:keepLines/>
      </w:pPr>
      <w:r>
        <w:rPr>
          <w:rFonts w:ascii="Source Han Sans CN" w:hAnsi="Source Han Sans CN" w:eastAsia="Source Han Sans CN" w:cs="Source Han Sans CN"/>
          <w:color w:val="1F2937"/>
          <w:sz w:val="21"/>
        </w:rPr>
        <w:t>ASN、包装、发运、在途、到货、收货、差异、退货与质量协同；</w:t>
      </w:r>
    </w:p>
    <w:p>
      <w:pPr>
        <w:numPr>
          <w:ilvl w:val="0"/>
          <w:numId w:val="10"/>
        </w:numPr>
        <w:spacing w:before="0" w:after="80" w:line="293" w:lineRule="auto"/>
        <w:keepLines/>
      </w:pPr>
      <w:r>
        <w:rPr>
          <w:rFonts w:ascii="Source Han Sans CN" w:hAnsi="Source Han Sans CN" w:eastAsia="Source Han Sans CN" w:cs="Source Han Sans CN"/>
          <w:color w:val="1F2937"/>
          <w:sz w:val="21"/>
        </w:rPr>
        <w:t>对账、差异、发票/请款材料、应付与付款状态回传；</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供应商绩效、风险、改善、份额治理、限制、冻结和淘汰建议；</w:t>
      </w:r>
    </w:p>
    <w:p>
      <w:pPr>
        <w:numPr>
          <w:ilvl w:val="0"/>
          <w:numId w:val="10"/>
        </w:numPr>
        <w:spacing w:before="0" w:after="80" w:line="293" w:lineRule="auto"/>
        <w:keepLines/>
      </w:pPr>
      <w:r>
        <w:rPr>
          <w:rFonts w:ascii="Source Han Sans CN" w:hAnsi="Source Han Sans CN" w:eastAsia="Source Han Sans CN" w:cs="Source Han Sans CN"/>
          <w:color w:val="1F2937"/>
          <w:sz w:val="21"/>
        </w:rPr>
        <w:t>基础数据、用户角色、数据权限、流程、参数、模板、附件、审计和集成监控。</w:t>
      </w:r>
    </w:p>
    <w:p>
      <w:pPr>
        <w:pStyle w:val="Heading2"/>
      </w:pPr>
      <w:r>
        <w:rPr>
          <w:rFonts w:ascii="Source Han Sans CN" w:hAnsi="Source Han Sans CN" w:eastAsia="Source Han Sans CN" w:cs="Source Han Sans CN"/>
          <w:b/>
          <w:color w:val="1F4E78"/>
          <w:sz w:val="26"/>
        </w:rPr>
        <w:t>4.3 明确不纳入核心自建范围</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3300"/>
        <w:gridCol w:w="6300"/>
      </w:tblGrid>
      <w:tr>
        <w:trPr>
          <w:tblHeader w:val="true"/>
          <w:cantSplit/>
        </w:trPr>
        <w:tc>
          <w:tcPr>
            <w:tcW w:type="dxa" w:w="3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不自行建设</w:t>
            </w:r>
          </w:p>
        </w:tc>
        <w:tc>
          <w:tcPr>
            <w:tcW w:type="dxa" w:w="6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SRM如何使用</w:t>
            </w:r>
          </w:p>
        </w:tc>
      </w:tr>
      <w:tr>
        <w:trPr>
          <w:cantSplit/>
        </w:trPr>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销售订单、主生产计划、MRP与BOM工程设计</w:t>
            </w:r>
          </w:p>
        </w:tc>
        <w:tc>
          <w:tcPr>
            <w:tcW w:type="dxa" w:w="6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接收采购需求、项目、物料、版本或BOM摘要，不承担计划运算和工程变更主责。</w:t>
            </w:r>
          </w:p>
        </w:tc>
      </w:tr>
      <w:tr>
        <w:trPr>
          <w:cantSplit/>
        </w:trPr>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全量仓储库存与库存总账</w:t>
            </w:r>
          </w:p>
        </w:tc>
        <w:tc>
          <w:tcPr>
            <w:tcW w:type="dxa" w:w="6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接收可用库存、收货和退货结果；可展示与供应商协同相关的在途和到货状态。</w:t>
            </w:r>
          </w:p>
        </w:tc>
      </w:tr>
      <w:tr>
        <w:trPr>
          <w:cantSplit/>
        </w:trPr>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生产工单与车间执行</w:t>
            </w:r>
          </w:p>
        </w:tc>
        <w:tc>
          <w:tcPr>
            <w:tcW w:type="dxa" w:w="6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仅在委外或供应商产能协同时引用必要计划，不建设MES。</w:t>
            </w:r>
          </w:p>
        </w:tc>
      </w:tr>
      <w:tr>
        <w:trPr>
          <w:cantSplit/>
        </w:trPr>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总账、应付、税务记账和资金付款</w:t>
            </w:r>
          </w:p>
        </w:tc>
        <w:tc>
          <w:tcPr>
            <w:tcW w:type="dxa" w:w="6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承担对账、请款、发票协同与状态展示；财务系统完成应付确认、凭证和付款。</w:t>
            </w:r>
          </w:p>
        </w:tc>
      </w:tr>
      <w:tr>
        <w:trPr>
          <w:cantSplit/>
        </w:trPr>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电子签名底层身份认证</w:t>
            </w:r>
          </w:p>
        </w:tc>
        <w:tc>
          <w:tcPr>
            <w:tcW w:type="dxa" w:w="6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调用合规电子签署平台，保存签署状态、文件和证据链引用。</w:t>
            </w:r>
          </w:p>
        </w:tc>
      </w:tr>
      <w:tr>
        <w:trPr>
          <w:cantSplit/>
        </w:trPr>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企业全量主数据治理平台</w:t>
            </w:r>
          </w:p>
        </w:tc>
        <w:tc>
          <w:tcPr>
            <w:tcW w:type="dxa" w:w="6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消费权威主数据并维护SRM业务扩展属性、映射和生效状态。</w:t>
            </w:r>
          </w:p>
        </w:tc>
      </w:tr>
      <w:tr>
        <w:trPr>
          <w:cantSplit/>
        </w:trPr>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完整运输管理系统</w:t>
            </w:r>
          </w:p>
        </w:tc>
        <w:tc>
          <w:tcPr>
            <w:tcW w:type="dxa" w:w="6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记录ASN、承运信息、节点和异常，可对接物流平台，不替代TMS。</w:t>
            </w:r>
          </w:p>
        </w:tc>
      </w:tr>
    </w:tbl>
    <w:p>
      <w:pPr>
        <w:spacing w:after="40"/>
      </w:pPr>
    </w:p>
    <w:p>
      <w:pPr>
        <w:pStyle w:val="Heading2"/>
      </w:pPr>
      <w:r>
        <w:rPr>
          <w:rFonts w:ascii="Source Han Sans CN" w:hAnsi="Source Han Sans CN" w:eastAsia="Source Han Sans CN" w:cs="Source Han Sans CN"/>
          <w:b/>
          <w:color w:val="1F4E78"/>
          <w:sz w:val="26"/>
        </w:rPr>
        <w:t>4.4 系统记录权属建议</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2900"/>
        <w:gridCol w:w="46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业务对象</w:t>
            </w:r>
          </w:p>
        </w:tc>
        <w:tc>
          <w:tcPr>
            <w:tcW w:type="dxa" w:w="2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建议权威系统</w:t>
            </w:r>
          </w:p>
        </w:tc>
        <w:tc>
          <w:tcPr>
            <w:tcW w:type="dxa" w:w="4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SRM职责</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组织、工厂、物料、单位、币种、税码</w:t>
            </w:r>
          </w:p>
        </w:tc>
        <w:tc>
          <w:tcPr>
            <w:tcW w:type="dxa" w:w="2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ERP/MDM；物料版本可由PLM</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同步、映射、校验、展示，不随意修改权威字段。</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供应商协同档案与生命周期</w:t>
            </w:r>
          </w:p>
        </w:tc>
        <w:tc>
          <w:tcPr>
            <w:tcW w:type="dxa" w:w="2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SRM；正式供应商编码与ERP同步</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管理注册、资质、准入、站点、联系人、协同状态和历史。</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寻源、报价、评审、定标</w:t>
            </w:r>
          </w:p>
        </w:tc>
        <w:tc>
          <w:tcPr>
            <w:tcW w:type="dxa" w:w="2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全流程权威记录、审批、版本和证据。</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合同正文与签署证据</w:t>
            </w:r>
          </w:p>
        </w:tc>
        <w:tc>
          <w:tcPr>
            <w:tcW w:type="dxa" w:w="2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SRM合同域或外部合同/签署平台</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管理业务元数据、覆盖范围、效力状态与外部文档引用。</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批准供应源、业务配额与能力</w:t>
            </w:r>
          </w:p>
        </w:tc>
        <w:tc>
          <w:tcPr>
            <w:tcW w:type="dxa" w:w="2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SRM；必要时向ERP同步</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统一下单前治理和需求匹配依据。</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采购需求</w:t>
            </w:r>
          </w:p>
        </w:tc>
        <w:tc>
          <w:tcPr>
            <w:tcW w:type="dxa" w:w="2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ERP/计划系统</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接收版本化快照、匹配、缺口和分配，不重算MRP。</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正式PO</w:t>
            </w:r>
          </w:p>
        </w:tc>
        <w:tc>
          <w:tcPr>
            <w:tcW w:type="dxa" w:w="2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目标架构默认ERP</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形成采购指令/分配结果，接收正式PO，发布供应商并协同确认与变更。</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收货与库存过账</w:t>
            </w:r>
          </w:p>
        </w:tc>
        <w:tc>
          <w:tcPr>
            <w:tcW w:type="dxa" w:w="2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WMS/ERP</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接收结果并管理供应商可见差异和后续协同。</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检验判定</w:t>
            </w:r>
          </w:p>
        </w:tc>
        <w:tc>
          <w:tcPr>
            <w:tcW w:type="dxa" w:w="2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QMS或ERP质量模块</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接收IQC事实，发起供应商异常、8D和整改闭环。</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应付、凭证与付款</w:t>
            </w:r>
          </w:p>
        </w:tc>
        <w:tc>
          <w:tcPr>
            <w:tcW w:type="dxa" w:w="2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财务/ERP</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完成对账、发票/请款协同并展示应付和付款结果。</w:t>
            </w:r>
          </w:p>
        </w:tc>
      </w:tr>
    </w:tbl>
    <w:p>
      <w:pPr>
        <w:spacing w:after="40"/>
      </w:pPr>
    </w:p>
    <w:p>
      <w:pPr>
        <w:spacing w:before="120" w:after="200" w:line="283" w:lineRule="auto"/>
        <w:ind w:left="173" w:right="115"/>
        <w:shd w:fill="FFF8E6"/>
        <w:pBdr>
          <w:left w:val="single" w:sz="20" w:space="8" w:color="8A6116"/>
        </w:pBdr>
        <w:keepLines/>
      </w:pPr>
      <w:r>
        <w:rPr>
          <w:rFonts w:ascii="Source Han Sans CN" w:hAnsi="Source Han Sans CN" w:eastAsia="Source Han Sans CN" w:cs="Source Han Sans CN"/>
          <w:b/>
          <w:color w:val="8A6116"/>
          <w:sz w:val="20"/>
        </w:rPr>
        <w:t xml:space="preserve">独立运行兼容　</w:t>
      </w:r>
      <w:r>
        <w:rPr>
          <w:rFonts w:ascii="Source Han Sans CN" w:hAnsi="Source Han Sans CN" w:eastAsia="Source Han Sans CN" w:cs="Source Han Sans CN"/>
          <w:color w:val="1F2937"/>
          <w:sz w:val="20"/>
        </w:rPr>
        <w:t>如果项目第一阶段没有真实ERP，可启用SRM原生PO模式完成学习与验收；数据模型仍保留 source_system、external_id、external_version 等字段，未来切换ERP权威模式时不改变业务语义。</w:t>
      </w:r>
    </w:p>
    <w:p>
      <w:pPr>
        <w:pStyle w:val="Heading2"/>
      </w:pPr>
      <w:r>
        <w:rPr>
          <w:rFonts w:ascii="Source Han Sans CN" w:hAnsi="Source Han Sans CN" w:eastAsia="Source Han Sans CN" w:cs="Source Han Sans CN"/>
          <w:b/>
          <w:color w:val="1F4E78"/>
          <w:sz w:val="26"/>
        </w:rPr>
        <w:t>4.5 总体设计原则</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300"/>
        <w:gridCol w:w="7300"/>
      </w:tblGrid>
      <w:tr>
        <w:trPr>
          <w:tblHeader w:val="true"/>
          <w:cantSplit/>
        </w:trPr>
        <w:tc>
          <w:tcPr>
            <w:tcW w:type="dxa" w:w="2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原则</w:t>
            </w:r>
          </w:p>
        </w:tc>
        <w:tc>
          <w:tcPr>
            <w:tcW w:type="dxa" w:w="7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设计含义</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业务对象分层</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供应商主体、站点、资格、采购依据、价格和供应源分别建模，不以单一状态互相替代。</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策略驱动关口</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按物料类型、金额、风险、采购场景和组织配置准入、资格、合同与审批要求。</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双入口双循环</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资源开发与采购执行可以独立触发，通过供应源和事实反馈相互连接。</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例外可控</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试制、临时和紧急采购不是绕过系统，而是带范围、数量、有效期和审批证据的受控路径。</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一次记录全程复用</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报价、定标、价格、供应源、订单和绩效之间保留来源关系，避免重复录入。</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事实不可篡改</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后续冻结、退出或评分不得修改历史订单、收货、检验和付款事实。</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内外一致但权限隔离</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供应商与内部用户围绕同一业务对象协同，但字段、附件、价格和评审信息按视图隔离。</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集成可恢复</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所有外部交换具备幂等、重试、对账、错误队列、人工补偿和全链路追踪。</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先成体系再做高级智能</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先把主数据、对象、状态和流程闭环做对，再增加预测、优化和AI能力。</w:t>
            </w:r>
          </w:p>
        </w:tc>
      </w:tr>
    </w:tbl>
    <w:p>
      <w:pPr>
        <w:spacing w:after="40"/>
      </w:pPr>
    </w:p>
    <w:p>
      <w:pPr>
        <w:pStyle w:val="Heading1"/>
      </w:pPr>
      <w:r>
        <w:rPr>
          <w:rFonts w:ascii="Source Han Sans CN" w:hAnsi="Source Han Sans CN" w:eastAsia="Source Han Sans CN" w:cs="Source Han Sans CN"/>
          <w:b/>
          <w:color w:val="1F4E78"/>
          <w:sz w:val="32"/>
        </w:rPr>
        <w:t>5. 参与方、组织与权限模型</w:t>
      </w:r>
    </w:p>
    <w:p>
      <w:pPr>
        <w:pStyle w:val="Heading2"/>
      </w:pPr>
      <w:r>
        <w:rPr>
          <w:rFonts w:ascii="Source Han Sans CN" w:hAnsi="Source Han Sans CN" w:eastAsia="Source Han Sans CN" w:cs="Source Han Sans CN"/>
          <w:b/>
          <w:color w:val="1F4E78"/>
          <w:sz w:val="26"/>
        </w:rPr>
        <w:t>5.1 企业内部参与方</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5100"/>
        <w:gridCol w:w="26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参与方</w:t>
            </w:r>
          </w:p>
        </w:tc>
        <w:tc>
          <w:tcPr>
            <w:tcW w:type="dxa" w:w="5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主要职责</w:t>
            </w:r>
          </w:p>
        </w:tc>
        <w:tc>
          <w:tcPr>
            <w:tcW w:type="dxa" w:w="2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主要业务域</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需求/计划人员</w:t>
            </w:r>
          </w:p>
        </w:tc>
        <w:tc>
          <w:tcPr>
            <w:tcW w:type="dxa" w:w="5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确认采购需求、需求日期、优先级和变更，参与缺口处置</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采购协同、工作台</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品类采购</w:t>
            </w:r>
          </w:p>
        </w:tc>
        <w:tc>
          <w:tcPr>
            <w:tcW w:type="dxa" w:w="5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品类策略、供应资源、目标份额、价格与供应风险治理</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寻源、合同价格、供应源、绩效风险</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寻源人员</w:t>
            </w:r>
          </w:p>
        </w:tc>
        <w:tc>
          <w:tcPr>
            <w:tcW w:type="dxa" w:w="5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项目、供应商邀请、报价、澄清、评审和定标</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战略寻源</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供应商开发</w:t>
            </w:r>
          </w:p>
        </w:tc>
        <w:tc>
          <w:tcPr>
            <w:tcW w:type="dxa" w:w="5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资源引入、注册、预审、主体准入、整改、复审和退出</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供应商管理</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工程/研发</w:t>
            </w:r>
          </w:p>
        </w:tc>
        <w:tc>
          <w:tcPr>
            <w:tcW w:type="dxa" w:w="5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技术文件、样品、工艺适用性、物料变更与NPI评审</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战略寻源、供应商质量</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SQE/质量</w:t>
            </w:r>
          </w:p>
        </w:tc>
        <w:tc>
          <w:tcPr>
            <w:tcW w:type="dxa" w:w="5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体系审核、物料资格、量产认可、IQC异常和整改</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供应商质量、绩效风险</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合同/法务</w:t>
            </w:r>
          </w:p>
        </w:tc>
        <w:tc>
          <w:tcPr>
            <w:tcW w:type="dxa" w:w="5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模板、条款、评审、签署授权、效力和续签</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合同与价格</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采购执行</w:t>
            </w:r>
          </w:p>
        </w:tc>
        <w:tc>
          <w:tcPr>
            <w:tcW w:type="dxa" w:w="5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需求匹配、实际分配、PO、供应商承诺、变更与取消</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采购协同</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仓储/收货</w:t>
            </w:r>
          </w:p>
        </w:tc>
        <w:tc>
          <w:tcPr>
            <w:tcW w:type="dxa" w:w="5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预约、数量核对、收货、差异与退货反馈</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交付与收货</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财务</w:t>
            </w:r>
          </w:p>
        </w:tc>
        <w:tc>
          <w:tcPr>
            <w:tcW w:type="dxa" w:w="5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对账、发票、请款、应付和付款结果处理</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对账与结算</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绩效/风险人员</w:t>
            </w:r>
          </w:p>
        </w:tc>
        <w:tc>
          <w:tcPr>
            <w:tcW w:type="dxa" w:w="5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评分、风险、改善、限制、冻结与第二供应源计划</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绩效与风险</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系统管理员/审计</w:t>
            </w:r>
          </w:p>
        </w:tc>
        <w:tc>
          <w:tcPr>
            <w:tcW w:type="dxa" w:w="5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用户角色、流程参数、接口、日志和证据查询</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系统管理、基础数据</w:t>
            </w:r>
          </w:p>
        </w:tc>
      </w:tr>
    </w:tbl>
    <w:p>
      <w:pPr>
        <w:spacing w:after="40"/>
      </w:pPr>
    </w:p>
    <w:p>
      <w:pPr>
        <w:pStyle w:val="Heading2"/>
      </w:pPr>
      <w:r>
        <w:rPr>
          <w:rFonts w:ascii="Source Han Sans CN" w:hAnsi="Source Han Sans CN" w:eastAsia="Source Han Sans CN" w:cs="Source Han Sans CN"/>
          <w:b/>
          <w:color w:val="1F4E78"/>
          <w:sz w:val="26"/>
        </w:rPr>
        <w:t>5.2 供应商侧角色</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4300"/>
        <w:gridCol w:w="34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供应商角色</w:t>
            </w:r>
          </w:p>
        </w:tc>
        <w:tc>
          <w:tcPr>
            <w:tcW w:type="dxa" w:w="4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可处理事项</w:t>
            </w:r>
          </w:p>
        </w:tc>
        <w:tc>
          <w:tcPr>
            <w:tcW w:type="dxa" w:w="3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关键限制</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供应商管理员</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本企业用户、主体扩展资料、站点、通知偏好</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不能查看采购方内部评审、其他供应商及隐藏价格字段</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注册/资质专员</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注册、问卷、证照、整改和复审材料</w:t>
            </w:r>
          </w:p>
        </w:tc>
        <w:tc>
          <w:tcPr>
            <w:tcW w:type="dxa" w:w="3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只能操作本供应商及授权站点</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报价人员</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RFI/RFQ/招投标响应、报价、澄清和附件</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密封报价在开标前对内部非授权人员也不可见</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订单协同人员</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PO确认、数量/交期差异、变更响应</w:t>
            </w:r>
          </w:p>
        </w:tc>
        <w:tc>
          <w:tcPr>
            <w:tcW w:type="dxa" w:w="3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不能修改采购方订单，只能提交承诺或差异</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物流人员</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ASN、包装、标签、发货与物流节点</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ASN不得无控制超过可发运数量</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质量人员</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质量异常接收、原因、围堵、8D/CAPA和复验材料</w:t>
            </w:r>
          </w:p>
        </w:tc>
        <w:tc>
          <w:tcPr>
            <w:tcW w:type="dxa" w:w="3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不能修改采购方检验判定</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财务人员</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对账确认、差异、发票与请款材料</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不能修改采购方应付和付款结果</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授权签署人</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合同、协议或承诺文件签署</w:t>
            </w:r>
          </w:p>
        </w:tc>
        <w:tc>
          <w:tcPr>
            <w:tcW w:type="dxa" w:w="3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必须匹配有效授权范围与身份认证</w:t>
            </w:r>
          </w:p>
        </w:tc>
      </w:tr>
    </w:tbl>
    <w:p>
      <w:pPr>
        <w:spacing w:after="40"/>
      </w:pPr>
    </w:p>
    <w:p>
      <w:pPr>
        <w:pStyle w:val="Heading2"/>
      </w:pPr>
      <w:r>
        <w:rPr>
          <w:rFonts w:ascii="Source Han Sans CN" w:hAnsi="Source Han Sans CN" w:eastAsia="Source Han Sans CN" w:cs="Source Han Sans CN"/>
          <w:b/>
          <w:color w:val="1F4E78"/>
          <w:sz w:val="26"/>
        </w:rPr>
        <w:t>5.3 角色下挂用户＋功能权限＋数据权限</w:t>
      </w:r>
    </w:p>
    <w:p>
      <w:pPr>
        <w:spacing w:before="120" w:after="200" w:line="283" w:lineRule="auto"/>
        <w:ind w:left="173" w:right="115"/>
        <w:shd w:fill="F4F7FB"/>
        <w:pBdr>
          <w:left w:val="single" w:sz="20" w:space="8" w:color="1F4E78"/>
        </w:pBdr>
        <w:keepLines/>
      </w:pPr>
      <w:r>
        <w:rPr>
          <w:rFonts w:ascii="Source Han Sans CN" w:hAnsi="Source Han Sans CN" w:eastAsia="Source Han Sans CN" w:cs="Source Han Sans CN"/>
          <w:b/>
          <w:color w:val="1F4E78"/>
          <w:sz w:val="20"/>
        </w:rPr>
        <w:t xml:space="preserve">权限基线　</w:t>
      </w:r>
      <w:r>
        <w:rPr>
          <w:rFonts w:ascii="Source Han Sans CN" w:hAnsi="Source Han Sans CN" w:eastAsia="Source Han Sans CN" w:cs="Source Han Sans CN"/>
          <w:color w:val="1F2937"/>
          <w:sz w:val="20"/>
        </w:rPr>
        <w:t>角色是授权主对象，角色详情中维护挂载用户；同一用户可拥有多个角色。菜单/按钮权限决定能做什么，数据权限决定能访问哪些对象，策略与职责分离决定某次操作是否允许。</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3900"/>
        <w:gridCol w:w="38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权限层</w:t>
            </w:r>
          </w:p>
        </w:tc>
        <w:tc>
          <w:tcPr>
            <w:tcW w:type="dxa" w:w="3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控制内容</w:t>
            </w:r>
          </w:p>
        </w:tc>
        <w:tc>
          <w:tcPr>
            <w:tcW w:type="dxa" w:w="3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典型维度</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身份与租户</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确认内部用户、供应商用户及其所属主体/站点</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用户类型、供应商主体、站点、账号状态</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功能权限RBAC</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菜单、页面、按钮、接口动作和导出权限</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角色、权限码、操作类型</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数据范围</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可以查看或处理哪些业务数据</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法律主体、采购组织、品类、工厂、项目、供应商、创建人</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对象参与关系</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项目团队、评委、采购员、SQE或责任人是否参与当前对象</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业务对象、团队成员、责任角色</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策略与状态</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当前单据状态、金额、风险和采购类型是否允许执行动作</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状态机、审批策略、风控规则</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字段与附件可见性</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内部意见、成本、报价排名、个人信息及保密附件隔离</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字段分类、参与方、密封状态</w:t>
            </w:r>
          </w:p>
        </w:tc>
      </w:tr>
    </w:tbl>
    <w:p>
      <w:pPr>
        <w:spacing w:after="40"/>
      </w:pPr>
    </w:p>
    <w:p>
      <w:pPr>
        <w:pStyle w:val="Heading2"/>
      </w:pPr>
      <w:r>
        <w:rPr>
          <w:rFonts w:ascii="Source Han Sans CN" w:hAnsi="Source Han Sans CN" w:eastAsia="Source Han Sans CN" w:cs="Source Han Sans CN"/>
          <w:b/>
          <w:color w:val="1F4E78"/>
          <w:sz w:val="26"/>
        </w:rPr>
        <w:t>5.4 职责分离建议</w:t>
      </w:r>
    </w:p>
    <w:p>
      <w:pPr>
        <w:numPr>
          <w:ilvl w:val="0"/>
          <w:numId w:val="10"/>
        </w:numPr>
        <w:spacing w:before="0" w:after="80" w:line="293" w:lineRule="auto"/>
        <w:keepLines/>
      </w:pPr>
      <w:r>
        <w:rPr>
          <w:rFonts w:ascii="Source Han Sans CN" w:hAnsi="Source Han Sans CN" w:eastAsia="Source Han Sans CN" w:cs="Source Han Sans CN"/>
          <w:color w:val="1F2937"/>
          <w:sz w:val="21"/>
        </w:rPr>
        <w:t>寻源项目发起人与达到阈值的最终定标批准人不能为同一人；</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供应商准入资料维护、审核和最终批准按风险等级分离；</w:t>
      </w:r>
    </w:p>
    <w:p>
      <w:pPr>
        <w:numPr>
          <w:ilvl w:val="0"/>
          <w:numId w:val="10"/>
        </w:numPr>
        <w:spacing w:before="0" w:after="80" w:line="293" w:lineRule="auto"/>
        <w:keepLines/>
      </w:pPr>
      <w:r>
        <w:rPr>
          <w:rFonts w:ascii="Source Han Sans CN" w:hAnsi="Source Han Sans CN" w:eastAsia="Source Han Sans CN" w:cs="Source Han Sans CN"/>
          <w:color w:val="1F2937"/>
          <w:sz w:val="21"/>
        </w:rPr>
        <w:t>价格维护者不能单独完成价格生效审批；</w:t>
      </w:r>
    </w:p>
    <w:p>
      <w:pPr>
        <w:numPr>
          <w:ilvl w:val="0"/>
          <w:numId w:val="10"/>
        </w:numPr>
        <w:spacing w:before="0" w:after="80" w:line="293" w:lineRule="auto"/>
        <w:keepLines/>
      </w:pPr>
      <w:r>
        <w:rPr>
          <w:rFonts w:ascii="Source Han Sans CN" w:hAnsi="Source Han Sans CN" w:eastAsia="Source Han Sans CN" w:cs="Source Han Sans CN"/>
          <w:color w:val="1F2937"/>
          <w:sz w:val="21"/>
        </w:rPr>
        <w:t>实际分配或PO发起人与超阈值审批人分离；</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供应商绩效评分的主观项需保留评分人及依据，最终制裁决定独立审批；</w:t>
      </w:r>
    </w:p>
    <w:p>
      <w:pPr>
        <w:numPr>
          <w:ilvl w:val="0"/>
          <w:numId w:val="10"/>
        </w:numPr>
        <w:spacing w:before="0" w:after="80" w:line="293" w:lineRule="auto"/>
        <w:keepLines/>
      </w:pPr>
      <w:r>
        <w:rPr>
          <w:rFonts w:ascii="Source Han Sans CN" w:hAnsi="Source Han Sans CN" w:eastAsia="Source Han Sans CN" w:cs="Source Han Sans CN"/>
          <w:color w:val="1F2937"/>
          <w:sz w:val="21"/>
        </w:rPr>
        <w:t>质量异常责任判定、供应商整改提交和内部关闭确认由不同参与方完成；</w:t>
      </w:r>
    </w:p>
    <w:p>
      <w:pPr>
        <w:numPr>
          <w:ilvl w:val="0"/>
          <w:numId w:val="10"/>
        </w:numPr>
        <w:spacing w:before="0" w:after="80" w:line="293" w:lineRule="auto"/>
        <w:keepLines/>
      </w:pPr>
      <w:r>
        <w:rPr>
          <w:rFonts w:ascii="Source Han Sans CN" w:hAnsi="Source Han Sans CN" w:eastAsia="Source Han Sans CN" w:cs="Source Han Sans CN"/>
          <w:color w:val="1F2937"/>
          <w:sz w:val="21"/>
        </w:rPr>
        <w:t>任何用户不得审批本人发起且被职责分离规则覆盖的关键业务。</w:t>
      </w:r>
    </w:p>
    <w:p>
      <w:pPr>
        <w:pStyle w:val="Heading1"/>
      </w:pPr>
      <w:r>
        <w:rPr>
          <w:rFonts w:ascii="Source Han Sans CN" w:hAnsi="Source Han Sans CN" w:eastAsia="Source Han Sans CN" w:cs="Source Han Sans CN"/>
          <w:b/>
          <w:color w:val="1F4E78"/>
          <w:sz w:val="32"/>
        </w:rPr>
        <w:t>6. 总体业务能力与菜单蓝图</w:t>
      </w:r>
    </w:p>
    <w:p>
      <w:pPr>
        <w:keepNext/>
        <w:spacing w:before="100" w:after="40"/>
        <w:jc w:val="center"/>
      </w:pPr>
      <w:r>
        <w:drawing>
          <wp:inline xmlns:a="http://schemas.openxmlformats.org/drawingml/2006/main" xmlns:pic="http://schemas.openxmlformats.org/drawingml/2006/picture">
            <wp:extent cx="6080760" cy="3716020"/>
            <wp:docPr id="1" name="Picture 1" descr="四层SRM业务架构：工作台、九个核心业务域、基础数据和系统管理及外围系统" title="四层SRM业务架构：工作台、九个核心业务域、基础数据和系统管理及外围系统"/>
            <wp:cNvGraphicFramePr>
              <a:graphicFrameLocks noChangeAspect="1"/>
            </wp:cNvGraphicFramePr>
            <a:graphic>
              <a:graphicData uri="http://schemas.openxmlformats.org/drawingml/2006/picture">
                <pic:pic>
                  <pic:nvPicPr>
                    <pic:cNvPr id="0" name="01_business_architecture.png"/>
                    <pic:cNvPicPr/>
                  </pic:nvPicPr>
                  <pic:blipFill>
                    <a:blip r:embed="rId11"/>
                    <a:stretch>
                      <a:fillRect/>
                    </a:stretch>
                  </pic:blipFill>
                  <pic:spPr>
                    <a:xfrm>
                      <a:off x="0" y="0"/>
                      <a:ext cx="6080760" cy="3716020"/>
                    </a:xfrm>
                    <a:prstGeom prst="rect"/>
                  </pic:spPr>
                </pic:pic>
              </a:graphicData>
            </a:graphic>
          </wp:inline>
        </w:drawing>
      </w:r>
    </w:p>
    <w:p>
      <w:pPr>
        <w:pStyle w:val="BlueprintCaption"/>
        <w:keepLines/>
      </w:pPr>
      <w:r>
        <w:t>图 6-1　制造业 SRM 总体业务能力架构</w:t>
      </w:r>
    </w:p>
    <w:p>
      <w:pPr>
        <w:pStyle w:val="Heading2"/>
      </w:pPr>
      <w:r>
        <w:rPr>
          <w:rFonts w:ascii="Source Han Sans CN" w:hAnsi="Source Han Sans CN" w:eastAsia="Source Han Sans CN" w:cs="Source Han Sans CN"/>
          <w:b/>
          <w:color w:val="1F4E78"/>
          <w:sz w:val="26"/>
        </w:rPr>
        <w:t>6.1 能力分层</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3000"/>
        <w:gridCol w:w="49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层级</w:t>
            </w:r>
          </w:p>
        </w:tc>
        <w:tc>
          <w:tcPr>
            <w:tcW w:type="dxa" w:w="3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定位</w:t>
            </w:r>
          </w:p>
        </w:tc>
        <w:tc>
          <w:tcPr>
            <w:tcW w:type="dxa" w:w="4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核心内容</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角色工作层</w:t>
            </w:r>
          </w:p>
        </w:tc>
        <w:tc>
          <w:tcPr>
            <w:tcW w:type="dxa" w:w="3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所有角色的统一入口</w:t>
            </w:r>
          </w:p>
        </w:tc>
        <w:tc>
          <w:tcPr>
            <w:tcW w:type="dxa" w:w="4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工作台、待办、审批、消息、预警、指标、全局搜索和业务进度</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核心业务层</w:t>
            </w:r>
          </w:p>
        </w:tc>
        <w:tc>
          <w:tcPr>
            <w:tcW w:type="dxa" w:w="3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供应资源开发与采购履行</w:t>
            </w:r>
          </w:p>
        </w:tc>
        <w:tc>
          <w:tcPr>
            <w:tcW w:type="dxa" w:w="4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供应商、寻源、合同价格、供应源、采购、交付、质量、结算、绩效风险</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业务治理层</w:t>
            </w:r>
          </w:p>
        </w:tc>
        <w:tc>
          <w:tcPr>
            <w:tcW w:type="dxa" w:w="3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控制业务合法、合格与可执行</w:t>
            </w:r>
          </w:p>
        </w:tc>
        <w:tc>
          <w:tcPr>
            <w:tcW w:type="dxa" w:w="4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准入、资格、采购依据、价格、配额、例外、状态机、审批和风险决定</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平台支撑层</w:t>
            </w:r>
          </w:p>
        </w:tc>
        <w:tc>
          <w:tcPr>
            <w:tcW w:type="dxa" w:w="3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提供共用技术和管理能力</w:t>
            </w:r>
          </w:p>
        </w:tc>
        <w:tc>
          <w:tcPr>
            <w:tcW w:type="dxa" w:w="4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基础数据、组织用户角色、流程、消息、附件、审计、搜索、报表和集成</w:t>
            </w:r>
          </w:p>
        </w:tc>
      </w:tr>
    </w:tbl>
    <w:p>
      <w:pPr>
        <w:spacing w:after="40"/>
      </w:pPr>
    </w:p>
    <w:p>
      <w:pPr>
        <w:pStyle w:val="Heading2"/>
      </w:pPr>
      <w:r>
        <w:rPr>
          <w:rFonts w:ascii="Source Han Sans CN" w:hAnsi="Source Han Sans CN" w:eastAsia="Source Han Sans CN" w:cs="Source Han Sans CN"/>
          <w:b/>
          <w:color w:val="1F4E78"/>
          <w:sz w:val="26"/>
        </w:rPr>
        <w:t>6.2 十二个一级业务域</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800"/>
        <w:gridCol w:w="2300"/>
        <w:gridCol w:w="6500"/>
      </w:tblGrid>
      <w:tr>
        <w:trPr>
          <w:tblHeader w:val="true"/>
          <w:cantSplit/>
        </w:trPr>
        <w:tc>
          <w:tcPr>
            <w:tcW w:type="dxa" w:w="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编号</w:t>
            </w:r>
          </w:p>
        </w:tc>
        <w:tc>
          <w:tcPr>
            <w:tcW w:type="dxa" w:w="2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一级域</w:t>
            </w:r>
          </w:p>
        </w:tc>
        <w:tc>
          <w:tcPr>
            <w:tcW w:type="dxa" w:w="6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范围</w:t>
            </w:r>
          </w:p>
        </w:tc>
      </w:tr>
      <w:tr>
        <w:trPr>
          <w:cantSplit/>
        </w:trPr>
        <w:tc>
          <w:tcPr>
            <w:tcW w:type="dxa" w:w="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01</w:t>
            </w:r>
          </w:p>
        </w:tc>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工作台</w:t>
            </w:r>
          </w:p>
        </w:tc>
        <w:tc>
          <w:tcPr>
            <w:tcW w:type="dxa" w:w="6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统一首页；任务、审批、消息、预警、角色指标和进度，不设置普通二级侧栏菜单。</w:t>
            </w:r>
          </w:p>
        </w:tc>
      </w:tr>
      <w:tr>
        <w:trPr>
          <w:cantSplit/>
        </w:trPr>
        <w:tc>
          <w:tcPr>
            <w:tcW w:type="dxa" w:w="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02</w:t>
            </w:r>
          </w:p>
        </w:tc>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供应商管理</w:t>
            </w:r>
          </w:p>
        </w:tc>
        <w:tc>
          <w:tcPr>
            <w:tcW w:type="dxa" w:w="6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资源池、注册、档案、主体准入、资质、复审、变更、冻结、退出和供应商用户。</w:t>
            </w:r>
          </w:p>
        </w:tc>
      </w:tr>
      <w:tr>
        <w:trPr>
          <w:cantSplit/>
        </w:trPr>
        <w:tc>
          <w:tcPr>
            <w:tcW w:type="dxa" w:w="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03</w:t>
            </w:r>
          </w:p>
        </w:tc>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战略寻源</w:t>
            </w:r>
          </w:p>
        </w:tc>
        <w:tc>
          <w:tcPr>
            <w:tcW w:type="dxa" w:w="6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寻源需求、项目、RFI/RFQ、招投标、竞价、报价、澄清、评审、定标和转化。</w:t>
            </w:r>
          </w:p>
        </w:tc>
      </w:tr>
      <w:tr>
        <w:trPr>
          <w:cantSplit/>
        </w:trPr>
        <w:tc>
          <w:tcPr>
            <w:tcW w:type="dxa" w:w="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04</w:t>
            </w:r>
          </w:p>
        </w:tc>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合同与价格管理</w:t>
            </w:r>
          </w:p>
        </w:tc>
        <w:tc>
          <w:tcPr>
            <w:tcW w:type="dxa" w:w="6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合同协议、采购依据、价格条件、版本、调价、续签、终止和临期。</w:t>
            </w:r>
          </w:p>
        </w:tc>
      </w:tr>
      <w:tr>
        <w:trPr>
          <w:cantSplit/>
        </w:trPr>
        <w:tc>
          <w:tcPr>
            <w:tcW w:type="dxa" w:w="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05</w:t>
            </w:r>
          </w:p>
        </w:tc>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供应源管理</w:t>
            </w:r>
          </w:p>
        </w:tc>
        <w:tc>
          <w:tcPr>
            <w:tcW w:type="dxa" w:w="6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批准供应商清单、试制/条件/正式供应源、能力、配额、限制和变更历史。</w:t>
            </w:r>
          </w:p>
        </w:tc>
      </w:tr>
      <w:tr>
        <w:trPr>
          <w:cantSplit/>
        </w:trPr>
        <w:tc>
          <w:tcPr>
            <w:tcW w:type="dxa" w:w="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06</w:t>
            </w:r>
          </w:p>
        </w:tc>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采购协同</w:t>
            </w:r>
          </w:p>
        </w:tc>
        <w:tc>
          <w:tcPr>
            <w:tcW w:type="dxa" w:w="6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采购需求、匹配、缺口、实际分配、PO/交付计划、确认、变更与取消。</w:t>
            </w:r>
          </w:p>
        </w:tc>
      </w:tr>
      <w:tr>
        <w:trPr>
          <w:cantSplit/>
        </w:trPr>
        <w:tc>
          <w:tcPr>
            <w:tcW w:type="dxa" w:w="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07</w:t>
            </w:r>
          </w:p>
        </w:tc>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交付与收货协同</w:t>
            </w:r>
          </w:p>
        </w:tc>
        <w:tc>
          <w:tcPr>
            <w:tcW w:type="dxa" w:w="6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ASN、包装标签、发运、在途、预约、到货、收货、差异、退货。</w:t>
            </w:r>
          </w:p>
        </w:tc>
      </w:tr>
      <w:tr>
        <w:trPr>
          <w:cantSplit/>
        </w:trPr>
        <w:tc>
          <w:tcPr>
            <w:tcW w:type="dxa" w:w="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08</w:t>
            </w:r>
          </w:p>
        </w:tc>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供应商质量管理</w:t>
            </w:r>
          </w:p>
        </w:tc>
        <w:tc>
          <w:tcPr>
            <w:tcW w:type="dxa" w:w="6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体系审核、物料资格、样件试制、量产认可、IQC、异常、8D、复验和变更。</w:t>
            </w:r>
          </w:p>
        </w:tc>
      </w:tr>
      <w:tr>
        <w:trPr>
          <w:cantSplit/>
        </w:trPr>
        <w:tc>
          <w:tcPr>
            <w:tcW w:type="dxa" w:w="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09</w:t>
            </w:r>
          </w:p>
        </w:tc>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对账与结算协同</w:t>
            </w:r>
          </w:p>
        </w:tc>
        <w:tc>
          <w:tcPr>
            <w:tcW w:type="dxa" w:w="6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对账、差异、发票、请款、应付与付款状态。</w:t>
            </w:r>
          </w:p>
        </w:tc>
      </w:tr>
      <w:tr>
        <w:trPr>
          <w:cantSplit/>
        </w:trPr>
        <w:tc>
          <w:tcPr>
            <w:tcW w:type="dxa" w:w="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10</w:t>
            </w:r>
          </w:p>
        </w:tc>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绩效与风险管理</w:t>
            </w:r>
          </w:p>
        </w:tc>
        <w:tc>
          <w:tcPr>
            <w:tcW w:type="dxa" w:w="6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评分、评级、风险、改善、份额治理、限制、冻结、淘汰及第二供应源计划。</w:t>
            </w:r>
          </w:p>
        </w:tc>
      </w:tr>
      <w:tr>
        <w:trPr>
          <w:cantSplit/>
        </w:trPr>
        <w:tc>
          <w:tcPr>
            <w:tcW w:type="dxa" w:w="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11</w:t>
            </w:r>
          </w:p>
        </w:tc>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基础数据中心</w:t>
            </w:r>
          </w:p>
        </w:tc>
        <w:tc>
          <w:tcPr>
            <w:tcW w:type="dxa" w:w="6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组织、工厂、物料、品类、单位、币种、税码、交付地点和主数据映射。</w:t>
            </w:r>
          </w:p>
        </w:tc>
      </w:tr>
      <w:tr>
        <w:trPr>
          <w:cantSplit/>
        </w:trPr>
        <w:tc>
          <w:tcPr>
            <w:tcW w:type="dxa" w:w="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12</w:t>
            </w:r>
          </w:p>
        </w:tc>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系统管理</w:t>
            </w:r>
          </w:p>
        </w:tc>
        <w:tc>
          <w:tcPr>
            <w:tcW w:type="dxa" w:w="6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用户角色、权限、流程、字典、参数、模板、消息、附件、审计、接口和任务监控。</w:t>
            </w:r>
          </w:p>
        </w:tc>
      </w:tr>
    </w:tbl>
    <w:p>
      <w:pPr>
        <w:spacing w:after="40"/>
      </w:pPr>
    </w:p>
    <w:p>
      <w:pPr>
        <w:pStyle w:val="Heading2"/>
      </w:pPr>
      <w:r>
        <w:rPr>
          <w:rFonts w:ascii="Source Han Sans CN" w:hAnsi="Source Han Sans CN" w:eastAsia="Source Han Sans CN" w:cs="Source Han Sans CN"/>
          <w:b/>
          <w:color w:val="1F4E78"/>
          <w:sz w:val="26"/>
        </w:rPr>
        <w:t>6.3 二级功能建议</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75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一级域</w:t>
            </w:r>
          </w:p>
        </w:tc>
        <w:tc>
          <w:tcPr>
            <w:tcW w:type="dxa" w:w="7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二级功能</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工作台</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无固定二级侧栏；页面区块：我的待办、我的审批、预警风险、业务进度、角色指标、消息与快捷入口</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供应商管理</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供应商资源池；注册申请；供应商档案；准入与认证；资质证照；复审与变更；冻结与退出；供应商用户</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战略寻源</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寻源需求；寻源项目；RFI/RFQ；招投标/竞价；供应商报价；澄清答疑；评审与定标；中选转化任务</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合同与价格</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合同台账；框架/补充协议；采购依据；价格条件；调价与版本；续签/终止；履约与临期预警</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供应源管理</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候选供应源；试制/条件供应源；正式供应源；供应配额；能力与交期；限制/暂停；供应源变更历史</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采购协同</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采购需求；供应源匹配；需求缺口；需求分配；采购订单；订单确认；订单变更/取消；预测与交付计划（后续）</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交付与收货</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交付计划；ASN；包装与标签；发运/在途；到货预约；收货反馈；数量差异；退货发运</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供应商质量</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审核计划；物料资格；样件/试制；量产认可；检验结果；质量异常；SCAR/8D；退货/返工/复验；供应商变更</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对账与结算</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对账单；差异处理；发票协同；请款材料；应付状态；付款结果</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绩效与风险</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指标模型；绩效评分；评级结果；风险台账；预警事件；改善计划；供应决策；第二供应源计划</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基础数据</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企业组织；采购组织；工厂/收货地点；物料；品类；单位/币种/税码；交付地点；外围映射</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系统管理</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用户；角色与挂载用户；权限与数据域；流程；字典参数；模板附件；消息；审计日志；接口与任务监控</w:t>
            </w:r>
          </w:p>
        </w:tc>
      </w:tr>
    </w:tbl>
    <w:p>
      <w:pPr>
        <w:spacing w:after="40"/>
      </w:pPr>
    </w:p>
    <w:p>
      <w:pPr>
        <w:pStyle w:val="Heading2"/>
      </w:pPr>
      <w:r>
        <w:rPr>
          <w:rFonts w:ascii="Source Han Sans CN" w:hAnsi="Source Han Sans CN" w:eastAsia="Source Han Sans CN" w:cs="Source Han Sans CN"/>
          <w:b/>
          <w:color w:val="1F4E78"/>
          <w:sz w:val="26"/>
        </w:rPr>
        <w:t>6.4 角色菜单可见性</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系统拥有12个一级域并不意味着每个用户看到12个。菜单由角色、权限和业务范围动态生成，普通角色通常只显示4—7个一级入口。</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600"/>
        <w:gridCol w:w="7000"/>
      </w:tblGrid>
      <w:tr>
        <w:trPr>
          <w:tblHeader w:val="true"/>
          <w:cantSplit/>
        </w:trPr>
        <w:tc>
          <w:tcPr>
            <w:tcW w:type="dxa" w:w="2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角色示例</w:t>
            </w:r>
          </w:p>
        </w:tc>
        <w:tc>
          <w:tcPr>
            <w:tcW w:type="dxa" w:w="7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通常可见的一级域</w:t>
            </w:r>
          </w:p>
        </w:tc>
      </w:tr>
      <w:tr>
        <w:trPr>
          <w:cantSplit/>
        </w:trPr>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寻源/品类采购</w:t>
            </w:r>
          </w:p>
        </w:tc>
        <w:tc>
          <w:tcPr>
            <w:tcW w:type="dxa" w:w="7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工作台、供应商、战略寻源、合同价格、供应源、采购协同、绩效风险</w:t>
            </w:r>
          </w:p>
        </w:tc>
      </w:tr>
      <w:tr>
        <w:trPr>
          <w:cantSplit/>
        </w:trPr>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供应商开发</w:t>
            </w:r>
          </w:p>
        </w:tc>
        <w:tc>
          <w:tcPr>
            <w:tcW w:type="dxa" w:w="7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工作台、供应商、战略寻源、供应商质量、绩效风险</w:t>
            </w:r>
          </w:p>
        </w:tc>
      </w:tr>
      <w:tr>
        <w:trPr>
          <w:cantSplit/>
        </w:trPr>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SQE/质量</w:t>
            </w:r>
          </w:p>
        </w:tc>
        <w:tc>
          <w:tcPr>
            <w:tcW w:type="dxa" w:w="7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工作台、供应商、供应源、供应商质量、绩效风险</w:t>
            </w:r>
          </w:p>
        </w:tc>
      </w:tr>
      <w:tr>
        <w:trPr>
          <w:cantSplit/>
        </w:trPr>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采购执行</w:t>
            </w:r>
          </w:p>
        </w:tc>
        <w:tc>
          <w:tcPr>
            <w:tcW w:type="dxa" w:w="7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工作台、供应源、采购协同、交付收货、对账结算</w:t>
            </w:r>
          </w:p>
        </w:tc>
      </w:tr>
      <w:tr>
        <w:trPr>
          <w:cantSplit/>
        </w:trPr>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仓储/收货</w:t>
            </w:r>
          </w:p>
        </w:tc>
        <w:tc>
          <w:tcPr>
            <w:tcW w:type="dxa" w:w="7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工作台、交付与收货、供应商质量（只读/相关操作）</w:t>
            </w:r>
          </w:p>
        </w:tc>
      </w:tr>
      <w:tr>
        <w:trPr>
          <w:cantSplit/>
        </w:trPr>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财务</w:t>
            </w:r>
          </w:p>
        </w:tc>
        <w:tc>
          <w:tcPr>
            <w:tcW w:type="dxa" w:w="7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工作台、合同价格（授权范围）、对账结算</w:t>
            </w:r>
          </w:p>
        </w:tc>
      </w:tr>
      <w:tr>
        <w:trPr>
          <w:cantSplit/>
        </w:trPr>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供应商用户</w:t>
            </w:r>
          </w:p>
        </w:tc>
        <w:tc>
          <w:tcPr>
            <w:tcW w:type="dxa" w:w="7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使用独立供应商门户，不进入内部12域菜单</w:t>
            </w:r>
          </w:p>
        </w:tc>
      </w:tr>
      <w:tr>
        <w:trPr>
          <w:cantSplit/>
        </w:trPr>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系统管理员</w:t>
            </w:r>
          </w:p>
        </w:tc>
        <w:tc>
          <w:tcPr>
            <w:tcW w:type="dxa" w:w="7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工作台、基础数据、系统管理及必要的全局查询</w:t>
            </w:r>
          </w:p>
        </w:tc>
      </w:tr>
    </w:tbl>
    <w:p>
      <w:pPr>
        <w:spacing w:after="40"/>
      </w:pPr>
    </w:p>
    <w:p>
      <w:pPr>
        <w:pStyle w:val="Heading1"/>
      </w:pPr>
      <w:r>
        <w:rPr>
          <w:rFonts w:ascii="Source Han Sans CN" w:hAnsi="Source Han Sans CN" w:eastAsia="Source Han Sans CN" w:cs="Source Han Sans CN"/>
          <w:b/>
          <w:color w:val="1F4E78"/>
          <w:sz w:val="32"/>
        </w:rPr>
        <w:t>7. 端到端业务流程蓝图</w:t>
      </w:r>
    </w:p>
    <w:p>
      <w:pPr>
        <w:keepNext/>
        <w:spacing w:before="100" w:after="40"/>
        <w:jc w:val="center"/>
      </w:pPr>
      <w:r>
        <w:drawing>
          <wp:inline xmlns:a="http://schemas.openxmlformats.org/drawingml/2006/main" xmlns:pic="http://schemas.openxmlformats.org/drawingml/2006/picture">
            <wp:extent cx="6080760" cy="3547110"/>
            <wp:docPr id="2" name="Picture 2" descr="左侧供应资源开发循环与右侧采购执行循环通过批准供应源连接并由绩效风险反馈" title="左侧供应资源开发循环与右侧采购执行循环通过批准供应源连接并由绩效风险反馈"/>
            <wp:cNvGraphicFramePr>
              <a:graphicFrameLocks noChangeAspect="1"/>
            </wp:cNvGraphicFramePr>
            <a:graphic>
              <a:graphicData uri="http://schemas.openxmlformats.org/drawingml/2006/picture">
                <pic:pic>
                  <pic:nvPicPr>
                    <pic:cNvPr id="0" name="02_dual_loop.png"/>
                    <pic:cNvPicPr/>
                  </pic:nvPicPr>
                  <pic:blipFill>
                    <a:blip r:embed="rId12"/>
                    <a:stretch>
                      <a:fillRect/>
                    </a:stretch>
                  </pic:blipFill>
                  <pic:spPr>
                    <a:xfrm>
                      <a:off x="0" y="0"/>
                      <a:ext cx="6080760" cy="3547110"/>
                    </a:xfrm>
                    <a:prstGeom prst="rect"/>
                  </pic:spPr>
                </pic:pic>
              </a:graphicData>
            </a:graphic>
          </wp:inline>
        </w:drawing>
      </w:r>
    </w:p>
    <w:p>
      <w:pPr>
        <w:pStyle w:val="BlueprintCaption"/>
        <w:keepLines/>
      </w:pPr>
      <w:r>
        <w:t>图 7-1　供应资源开发与采购执行协同双循环</w:t>
      </w:r>
    </w:p>
    <w:p>
      <w:pPr>
        <w:pStyle w:val="Heading2"/>
      </w:pPr>
      <w:r>
        <w:rPr>
          <w:rFonts w:ascii="Source Han Sans CN" w:hAnsi="Source Han Sans CN" w:eastAsia="Source Han Sans CN" w:cs="Source Han Sans CN"/>
          <w:b/>
          <w:color w:val="1F4E78"/>
          <w:sz w:val="26"/>
        </w:rPr>
        <w:t>7.1 双入口与连接中心</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资源开发入口来自 NPI、新物料、品类策略、第二供应源、国产替代、年度议价、产能建设、合同到期和风险替代；采购执行入口来自 ERP/MRP 形成的采购需求、预测、排程、交付计划或紧急缺口。两类入口均可独立发起，批准供应源是连接二者的稳定治理对象。</w:t>
      </w:r>
    </w:p>
    <w:p>
      <w:pPr>
        <w:spacing w:before="120" w:after="200" w:line="283" w:lineRule="auto"/>
        <w:ind w:left="173" w:right="115"/>
        <w:shd w:fill="ECFDF3"/>
        <w:pBdr>
          <w:left w:val="single" w:sz="20" w:space="8" w:color="166534"/>
        </w:pBdr>
        <w:keepLines/>
      </w:pPr>
      <w:r>
        <w:rPr>
          <w:rFonts w:ascii="Source Han Sans CN" w:hAnsi="Source Han Sans CN" w:eastAsia="Source Han Sans CN" w:cs="Source Han Sans CN"/>
          <w:b/>
          <w:color w:val="166534"/>
          <w:sz w:val="20"/>
        </w:rPr>
        <w:t xml:space="preserve">流程原则　</w:t>
      </w:r>
      <w:r>
        <w:rPr>
          <w:rFonts w:ascii="Source Han Sans CN" w:hAnsi="Source Han Sans CN" w:eastAsia="Source Han Sans CN" w:cs="Source Han Sans CN"/>
          <w:color w:val="1F2937"/>
          <w:sz w:val="20"/>
        </w:rPr>
        <w:t>准入、物料资格和采购依据不是必须在定标后按固定顺序串行完成。系统根据场景生成并行转化任务；只有当对应策略要求全部满足时，供应源才可激活。</w:t>
      </w:r>
    </w:p>
    <w:p>
      <w:pPr>
        <w:pStyle w:val="Heading2"/>
      </w:pPr>
      <w:r>
        <w:rPr>
          <w:rFonts w:ascii="Source Han Sans CN" w:hAnsi="Source Han Sans CN" w:eastAsia="Source Han Sans CN" w:cs="Source Han Sans CN"/>
          <w:b/>
          <w:color w:val="1F4E78"/>
          <w:sz w:val="26"/>
        </w:rPr>
        <w:t>7.2 供应资源开发循环</w:t>
      </w:r>
    </w:p>
    <w:p>
      <w:pPr>
        <w:numPr>
          <w:ilvl w:val="0"/>
          <w:numId w:val="11"/>
        </w:numPr>
        <w:spacing w:before="0" w:after="100" w:line="293" w:lineRule="auto"/>
        <w:keepLines/>
      </w:pPr>
      <w:r>
        <w:rPr>
          <w:rFonts w:ascii="Source Han Sans CN" w:hAnsi="Source Han Sans CN" w:eastAsia="Source Han Sans CN" w:cs="Source Han Sans CN"/>
          <w:color w:val="1F2937"/>
          <w:sz w:val="21"/>
        </w:rPr>
        <w:t>识别资源开发触发：新项目/新物料、现有能力缺口、单一来源风险、年度降本、地域或工厂扩展等。</w:t>
      </w:r>
    </w:p>
    <w:p>
      <w:pPr>
        <w:numPr>
          <w:ilvl w:val="0"/>
          <w:numId w:val="11"/>
        </w:numPr>
        <w:spacing w:before="0" w:after="100" w:line="293" w:lineRule="auto"/>
        <w:keepLines/>
      </w:pPr>
      <w:r>
        <w:rPr>
          <w:rFonts w:ascii="Source Han Sans CN" w:hAnsi="Source Han Sans CN" w:eastAsia="Source Han Sans CN" w:cs="Source Han Sans CN"/>
          <w:color w:val="1F2937"/>
          <w:sz w:val="21"/>
        </w:rPr>
        <w:t>形成寻源需求或供应资源建设计划，确定物料/品类、工厂、预计用量、目标成本、风险和时间窗口。</w:t>
      </w:r>
    </w:p>
    <w:p>
      <w:pPr>
        <w:numPr>
          <w:ilvl w:val="0"/>
          <w:numId w:val="11"/>
        </w:numPr>
        <w:spacing w:before="0" w:after="100" w:line="293" w:lineRule="auto"/>
        <w:keepLines/>
      </w:pPr>
      <w:r>
        <w:rPr>
          <w:rFonts w:ascii="Source Han Sans CN" w:hAnsi="Source Han Sans CN" w:eastAsia="Source Han Sans CN" w:cs="Source Han Sans CN"/>
          <w:color w:val="1F2937"/>
          <w:sz w:val="21"/>
        </w:rPr>
        <w:t>筛选现有候选供应商；新供应商完成简化注册、合规筛查、保密协议及寻源参与资格评估。</w:t>
      </w:r>
    </w:p>
    <w:p>
      <w:pPr>
        <w:numPr>
          <w:ilvl w:val="0"/>
          <w:numId w:val="11"/>
        </w:numPr>
        <w:spacing w:before="0" w:after="100" w:line="293" w:lineRule="auto"/>
        <w:keepLines/>
      </w:pPr>
      <w:r>
        <w:rPr>
          <w:rFonts w:ascii="Source Han Sans CN" w:hAnsi="Source Han Sans CN" w:eastAsia="Source Han Sans CN" w:cs="Source Han Sans CN"/>
          <w:color w:val="1F2937"/>
          <w:sz w:val="21"/>
        </w:rPr>
        <w:t>组织 RFI/RFQ、招投标、竞价或谈判，完成技术、质量、商务、交付和风险评审。</w:t>
      </w:r>
    </w:p>
    <w:p>
      <w:pPr>
        <w:numPr>
          <w:ilvl w:val="0"/>
          <w:numId w:val="11"/>
        </w:numPr>
        <w:spacing w:before="0" w:after="100" w:line="293" w:lineRule="auto"/>
        <w:keepLines/>
      </w:pPr>
      <w:r>
        <w:rPr>
          <w:rFonts w:ascii="Source Han Sans CN" w:hAnsi="Source Han Sans CN" w:eastAsia="Source Han Sans CN" w:cs="Source Han Sans CN"/>
          <w:color w:val="1F2937"/>
          <w:sz w:val="21"/>
        </w:rPr>
        <w:t>形成定标或提名结果，明确中选供应商、物料、价格/计价方式、目标份额及附带条件。</w:t>
      </w:r>
    </w:p>
    <w:p>
      <w:pPr>
        <w:numPr>
          <w:ilvl w:val="0"/>
          <w:numId w:val="11"/>
        </w:numPr>
        <w:spacing w:before="0" w:after="100" w:line="293" w:lineRule="auto"/>
        <w:keepLines/>
      </w:pPr>
      <w:r>
        <w:rPr>
          <w:rFonts w:ascii="Source Han Sans CN" w:hAnsi="Source Han Sans CN" w:eastAsia="Source Han Sans CN" w:cs="Source Han Sans CN"/>
          <w:color w:val="1F2937"/>
          <w:sz w:val="21"/>
        </w:rPr>
        <w:t>按策略并行完成主体准入、物料资格、试制/量产认可、采购依据、价格生效、站点和能力确认。</w:t>
      </w:r>
    </w:p>
    <w:p>
      <w:pPr>
        <w:numPr>
          <w:ilvl w:val="0"/>
          <w:numId w:val="11"/>
        </w:numPr>
        <w:spacing w:before="0" w:after="100" w:line="293" w:lineRule="auto"/>
        <w:keepLines/>
      </w:pPr>
      <w:r>
        <w:rPr>
          <w:rFonts w:ascii="Source Han Sans CN" w:hAnsi="Source Han Sans CN" w:eastAsia="Source Han Sans CN" w:cs="Source Han Sans CN"/>
          <w:color w:val="1F2937"/>
          <w:sz w:val="21"/>
        </w:rPr>
        <w:t>建立试制、条件或正式供应源，配置适用范围、有效期、能力、配额和下单限制。</w:t>
      </w:r>
    </w:p>
    <w:p>
      <w:pPr>
        <w:numPr>
          <w:ilvl w:val="0"/>
          <w:numId w:val="11"/>
        </w:numPr>
        <w:spacing w:before="0" w:after="100" w:line="293" w:lineRule="auto"/>
        <w:keepLines/>
      </w:pPr>
      <w:r>
        <w:rPr>
          <w:rFonts w:ascii="Source Han Sans CN" w:hAnsi="Source Han Sans CN" w:eastAsia="Source Han Sans CN" w:cs="Source Han Sans CN"/>
          <w:color w:val="1F2937"/>
          <w:sz w:val="21"/>
        </w:rPr>
        <w:t>通过采购执行事实持续评价；不达标时进入改善、降份额、暂停、替换或第二供应源建设。</w:t>
      </w:r>
    </w:p>
    <w:p>
      <w:pPr>
        <w:pStyle w:val="Heading2"/>
      </w:pPr>
      <w:r>
        <w:rPr>
          <w:rFonts w:ascii="Source Han Sans CN" w:hAnsi="Source Han Sans CN" w:eastAsia="Source Han Sans CN" w:cs="Source Han Sans CN"/>
          <w:b/>
          <w:color w:val="1F4E78"/>
          <w:sz w:val="26"/>
        </w:rPr>
        <w:t>7.3 采购执行协同循环</w:t>
      </w:r>
    </w:p>
    <w:p>
      <w:pPr>
        <w:numPr>
          <w:ilvl w:val="0"/>
          <w:numId w:val="11"/>
        </w:numPr>
        <w:spacing w:before="0" w:after="100" w:line="293" w:lineRule="auto"/>
        <w:keepLines/>
      </w:pPr>
      <w:r>
        <w:rPr>
          <w:rFonts w:ascii="Source Han Sans CN" w:hAnsi="Source Han Sans CN" w:eastAsia="Source Han Sans CN" w:cs="Source Han Sans CN"/>
          <w:color w:val="1F2937"/>
          <w:sz w:val="21"/>
        </w:rPr>
        <w:t>接收并校验采购需求版本，识别组织、工厂、物料、数量、需求日期、优先级和来源。</w:t>
      </w:r>
    </w:p>
    <w:p>
      <w:pPr>
        <w:numPr>
          <w:ilvl w:val="0"/>
          <w:numId w:val="11"/>
        </w:numPr>
        <w:spacing w:before="0" w:after="100" w:line="293" w:lineRule="auto"/>
        <w:keepLines/>
      </w:pPr>
      <w:r>
        <w:rPr>
          <w:rFonts w:ascii="Source Han Sans CN" w:hAnsi="Source Han Sans CN" w:eastAsia="Source Han Sans CN" w:cs="Source Han Sans CN"/>
          <w:color w:val="1F2937"/>
          <w:sz w:val="21"/>
        </w:rPr>
        <w:t>基于批准供应源、有效价格、能力、交期、配额和风险进行匹配，形成可满足、部分满足或完全缺口。</w:t>
      </w:r>
    </w:p>
    <w:p>
      <w:pPr>
        <w:numPr>
          <w:ilvl w:val="0"/>
          <w:numId w:val="11"/>
        </w:numPr>
        <w:spacing w:before="0" w:after="100" w:line="293" w:lineRule="auto"/>
        <w:keepLines/>
      </w:pPr>
      <w:r>
        <w:rPr>
          <w:rFonts w:ascii="Source Han Sans CN" w:hAnsi="Source Han Sans CN" w:eastAsia="Source Han Sans CN" w:cs="Source Han Sans CN"/>
          <w:color w:val="1F2937"/>
          <w:sz w:val="21"/>
        </w:rPr>
        <w:t>对可满足数量形成多供应商实际分配；对缺口执行调配、替代、加急、例外或回到资源开发。</w:t>
      </w:r>
    </w:p>
    <w:p>
      <w:pPr>
        <w:numPr>
          <w:ilvl w:val="0"/>
          <w:numId w:val="11"/>
        </w:numPr>
        <w:spacing w:before="0" w:after="100" w:line="293" w:lineRule="auto"/>
        <w:keepLines/>
      </w:pPr>
      <w:r>
        <w:rPr>
          <w:rFonts w:ascii="Source Han Sans CN" w:hAnsi="Source Han Sans CN" w:eastAsia="Source Han Sans CN" w:cs="Source Han Sans CN"/>
          <w:color w:val="1F2937"/>
          <w:sz w:val="21"/>
        </w:rPr>
        <w:t>经审批后形成采购指令并生成/接收正式PO或交付计划，向供应商发布。</w:t>
      </w:r>
    </w:p>
    <w:p>
      <w:pPr>
        <w:numPr>
          <w:ilvl w:val="0"/>
          <w:numId w:val="11"/>
        </w:numPr>
        <w:spacing w:before="0" w:after="100" w:line="293" w:lineRule="auto"/>
        <w:keepLines/>
      </w:pPr>
      <w:r>
        <w:rPr>
          <w:rFonts w:ascii="Source Han Sans CN" w:hAnsi="Source Han Sans CN" w:eastAsia="Source Han Sans CN" w:cs="Source Han Sans CN"/>
          <w:color w:val="1F2937"/>
          <w:sz w:val="21"/>
        </w:rPr>
        <w:t>供应商确认数量、交期、价格和其他条件；差异超容差时由采购确认、变更或重新分配。</w:t>
      </w:r>
    </w:p>
    <w:p>
      <w:pPr>
        <w:numPr>
          <w:ilvl w:val="0"/>
          <w:numId w:val="11"/>
        </w:numPr>
        <w:spacing w:before="0" w:after="100" w:line="293" w:lineRule="auto"/>
        <w:keepLines/>
      </w:pPr>
      <w:r>
        <w:rPr>
          <w:rFonts w:ascii="Source Han Sans CN" w:hAnsi="Source Han Sans CN" w:eastAsia="Source Han Sans CN" w:cs="Source Han Sans CN"/>
          <w:color w:val="1F2937"/>
          <w:sz w:val="21"/>
        </w:rPr>
        <w:t>供应商按可发运量创建ASN并提供包装、批次、标签和物流信息；企业完成到货与收货反馈。</w:t>
      </w:r>
    </w:p>
    <w:p>
      <w:pPr>
        <w:numPr>
          <w:ilvl w:val="0"/>
          <w:numId w:val="11"/>
        </w:numPr>
        <w:spacing w:before="0" w:after="100" w:line="293" w:lineRule="auto"/>
        <w:keepLines/>
      </w:pPr>
      <w:r>
        <w:rPr>
          <w:rFonts w:ascii="Source Han Sans CN" w:hAnsi="Source Han Sans CN" w:eastAsia="Source Han Sans CN" w:cs="Source Han Sans CN"/>
          <w:color w:val="1F2937"/>
          <w:sz w:val="21"/>
        </w:rPr>
        <w:t>接收IQC结果并闭环质量异常、退货、返工或复验，确定可结算数量。</w:t>
      </w:r>
    </w:p>
    <w:p>
      <w:pPr>
        <w:numPr>
          <w:ilvl w:val="0"/>
          <w:numId w:val="11"/>
        </w:numPr>
        <w:spacing w:before="0" w:after="100" w:line="293" w:lineRule="auto"/>
        <w:keepLines/>
      </w:pPr>
      <w:r>
        <w:rPr>
          <w:rFonts w:ascii="Source Han Sans CN" w:hAnsi="Source Han Sans CN" w:eastAsia="Source Han Sans CN" w:cs="Source Han Sans CN"/>
          <w:color w:val="1F2937"/>
          <w:sz w:val="21"/>
        </w:rPr>
        <w:t>完成对账、差异、发票/请款协同；ERP或财务系统返回应付和付款结果。</w:t>
      </w:r>
    </w:p>
    <w:p>
      <w:pPr>
        <w:numPr>
          <w:ilvl w:val="0"/>
          <w:numId w:val="11"/>
        </w:numPr>
        <w:spacing w:before="0" w:after="100" w:line="293" w:lineRule="auto"/>
        <w:keepLines/>
      </w:pPr>
      <w:r>
        <w:rPr>
          <w:rFonts w:ascii="Source Han Sans CN" w:hAnsi="Source Han Sans CN" w:eastAsia="Source Han Sans CN" w:cs="Source Han Sans CN"/>
          <w:color w:val="1F2937"/>
          <w:sz w:val="21"/>
        </w:rPr>
        <w:t>沉淀交付、质量、价格和响应事实，驱动绩效、风险、配额及供应决策。</w:t>
      </w:r>
    </w:p>
    <w:p>
      <w:pPr>
        <w:pStyle w:val="Heading2"/>
      </w:pPr>
      <w:r>
        <w:rPr>
          <w:rFonts w:ascii="Source Han Sans CN" w:hAnsi="Source Han Sans CN" w:eastAsia="Source Han Sans CN" w:cs="Source Han Sans CN"/>
          <w:b/>
          <w:color w:val="1F4E78"/>
          <w:sz w:val="26"/>
        </w:rPr>
        <w:t>7.4 业务路径选择</w:t>
      </w:r>
    </w:p>
    <w:p>
      <w:pPr>
        <w:keepNext/>
        <w:spacing w:before="100" w:after="40"/>
        <w:jc w:val="center"/>
      </w:pPr>
      <w:r>
        <w:drawing>
          <wp:inline xmlns:a="http://schemas.openxmlformats.org/drawingml/2006/main" xmlns:pic="http://schemas.openxmlformats.org/drawingml/2006/picture">
            <wp:extent cx="6080760" cy="3445764"/>
            <wp:docPr id="3" name="Picture 3" descr="资源开发和采购执行触发进入策略与供应源判定，分为正式供应源、建设供应源、受限采购和年度治理路径" title="资源开发和采购执行触发进入策略与供应源判定，分为正式供应源、建设供应源、受限采购和年度治理路径"/>
            <wp:cNvGraphicFramePr>
              <a:graphicFrameLocks noChangeAspect="1"/>
            </wp:cNvGraphicFramePr>
            <a:graphic>
              <a:graphicData uri="http://schemas.openxmlformats.org/drawingml/2006/picture">
                <pic:pic>
                  <pic:nvPicPr>
                    <pic:cNvPr id="0" name="03_scenario_router.png"/>
                    <pic:cNvPicPr/>
                  </pic:nvPicPr>
                  <pic:blipFill>
                    <a:blip r:embed="rId13"/>
                    <a:stretch>
                      <a:fillRect/>
                    </a:stretch>
                  </pic:blipFill>
                  <pic:spPr>
                    <a:xfrm>
                      <a:off x="0" y="0"/>
                      <a:ext cx="6080760" cy="3445764"/>
                    </a:xfrm>
                    <a:prstGeom prst="rect"/>
                  </pic:spPr>
                </pic:pic>
              </a:graphicData>
            </a:graphic>
          </wp:inline>
        </w:drawing>
      </w:r>
    </w:p>
    <w:p>
      <w:pPr>
        <w:pStyle w:val="BlueprintCaption"/>
        <w:keepLines/>
      </w:pPr>
      <w:r>
        <w:t>图 7-2　业务触发与路径选择</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200"/>
        <w:gridCol w:w="4800"/>
        <w:gridCol w:w="2600"/>
      </w:tblGrid>
      <w:tr>
        <w:trPr>
          <w:tblHeader w:val="true"/>
          <w:cantSplit/>
        </w:trPr>
        <w:tc>
          <w:tcPr>
            <w:tcW w:type="dxa" w:w="2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场景</w:t>
            </w:r>
          </w:p>
        </w:tc>
        <w:tc>
          <w:tcPr>
            <w:tcW w:type="dxa" w:w="4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推荐路径</w:t>
            </w:r>
          </w:p>
        </w:tc>
        <w:tc>
          <w:tcPr>
            <w:tcW w:type="dxa" w:w="2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不能省略的控制</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已有正式供应源正常补货</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需求→匹配→实际分配→PO/交付计划→执行</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发布时重新校验供应源、价格、能力、冻结和有效期</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NPI/新物料</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项目/BOM→候选→RFQ→技术商务评审→条件定标→样件/试制→量产认可→正式供应源</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新供应商预审；物料版本与站点资格；试制不得自动转量产</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建设第二供应源</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风险/能力计划→定向寻源→验证→批准备选→调整配额</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保留原供应源与新供应源并行期间的质量和份额控制</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年度议价</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预计用量→询价/谈判→价格版本/协议更新→配额治理</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不重复做主体准入；仍校验资格、合同覆盖与价格生效</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紧急/一次性采购</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缺口→快速询价→例外审批→受限供应源→限量PO→到期关闭</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范围、数量、有效期、风险接受人和后评估</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供应商风险替换</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风险事件→限制新业务→评估开放订单→建设替代源→迁移配额</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不得改写历史事实；开放订单单独处置</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新增工厂或供应站点</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复用主体→站点/工厂评估→资格/依据扩展→新范围供应源</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不能因同一主体已准入而自动覆盖新站点或新工厂</w:t>
            </w:r>
          </w:p>
        </w:tc>
      </w:tr>
    </w:tbl>
    <w:p>
      <w:pPr>
        <w:spacing w:after="40"/>
      </w:pPr>
    </w:p>
    <w:p>
      <w:pPr>
        <w:pStyle w:val="Heading2"/>
      </w:pPr>
      <w:r>
        <w:rPr>
          <w:rFonts w:ascii="Source Han Sans CN" w:hAnsi="Source Han Sans CN" w:eastAsia="Source Han Sans CN" w:cs="Source Han Sans CN"/>
          <w:b/>
          <w:color w:val="1F4E78"/>
          <w:sz w:val="26"/>
        </w:rPr>
        <w:t>7.5 核心治理关口</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75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关口</w:t>
            </w:r>
          </w:p>
        </w:tc>
        <w:tc>
          <w:tcPr>
            <w:tcW w:type="dxa" w:w="7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通过条件</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G1 寻源邀请</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供应商完成最低注册、制裁/黑名单检查、保密及寻源参与资格；策略允许例外时须审批。</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G2 定标批准</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技术、质量、商务、交付和风险评审完整；利益冲突、评委和报价版本可追溯。</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G3 供应源激活</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主体/站点准入、物料资格、采购依据、价格、范围、能力和有效期满足场景策略。</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G4 需求分配</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供应源状态允许、工厂/物料覆盖、交期能力可满足、未超配额/上限且无阻断风险。</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G5 PO发布</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重新校验供应源、价格版本、采购依据、审批、数量与交付信息，防止分配后状态失效。</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G6 ASN提交</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不超过PO/交付计划可发运量及容差；批次、包装、标签和必要质保资料完整。</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G7 可结算</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收货、质量、退货、价格、税费与发票满足匹配策略；差异已关闭或经授权接受。</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G8 供应决策</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评分事实、风险证据、影响范围和开放订单处置方案完整，经授权审批后生效。</w:t>
            </w:r>
          </w:p>
        </w:tc>
      </w:tr>
    </w:tbl>
    <w:p>
      <w:pPr>
        <w:spacing w:after="40"/>
      </w:pPr>
    </w:p>
    <w:p>
      <w:pPr>
        <w:pStyle w:val="Heading2"/>
      </w:pPr>
      <w:r>
        <w:rPr>
          <w:rFonts w:ascii="Source Han Sans CN" w:hAnsi="Source Han Sans CN" w:eastAsia="Source Han Sans CN" w:cs="Source Han Sans CN"/>
          <w:b/>
          <w:color w:val="1F4E78"/>
          <w:sz w:val="26"/>
        </w:rPr>
        <w:t>7.6 主要异常闭环</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供应能力不足：调整供应商分配、使用替代供应源、接受分批交付或产生新的寻源缺口；</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供应商拒绝PO或承诺晚于需求：协商、变更、加急、转移数量并触发交付风险；</w:t>
      </w:r>
    </w:p>
    <w:p>
      <w:pPr>
        <w:numPr>
          <w:ilvl w:val="0"/>
          <w:numId w:val="10"/>
        </w:numPr>
        <w:spacing w:before="0" w:after="80" w:line="293" w:lineRule="auto"/>
        <w:keepLines/>
      </w:pPr>
      <w:r>
        <w:rPr>
          <w:rFonts w:ascii="Source Han Sans CN" w:hAnsi="Source Han Sans CN" w:eastAsia="Source Han Sans CN" w:cs="Source Han Sans CN"/>
          <w:color w:val="1F2937"/>
          <w:sz w:val="21"/>
        </w:rPr>
        <w:t>ASN/到货数量异常：形成差异，决定接收、拒收、补发、退货或更新后续计划；</w:t>
      </w:r>
    </w:p>
    <w:p>
      <w:pPr>
        <w:numPr>
          <w:ilvl w:val="0"/>
          <w:numId w:val="10"/>
        </w:numPr>
        <w:spacing w:before="0" w:after="80" w:line="293" w:lineRule="auto"/>
        <w:keepLines/>
      </w:pPr>
      <w:r>
        <w:rPr>
          <w:rFonts w:ascii="Source Han Sans CN" w:hAnsi="Source Han Sans CN" w:eastAsia="Source Han Sans CN" w:cs="Source Han Sans CN"/>
          <w:color w:val="1F2937"/>
          <w:sz w:val="21"/>
        </w:rPr>
        <w:t>IQC不合格：隔离、责任判定、SCAR/8D、返工、退货、复验或特采；</w:t>
      </w:r>
    </w:p>
    <w:p>
      <w:pPr>
        <w:numPr>
          <w:ilvl w:val="0"/>
          <w:numId w:val="10"/>
        </w:numPr>
        <w:spacing w:before="0" w:after="80" w:line="293" w:lineRule="auto"/>
        <w:keepLines/>
      </w:pPr>
      <w:r>
        <w:rPr>
          <w:rFonts w:ascii="Source Han Sans CN" w:hAnsi="Source Han Sans CN" w:eastAsia="Source Han Sans CN" w:cs="Source Han Sans CN"/>
          <w:color w:val="1F2937"/>
          <w:sz w:val="21"/>
        </w:rPr>
        <w:t>对账不一致：按数量、价格、税费、退货或质量扣款拆分差异并指定责任方；</w:t>
      </w:r>
    </w:p>
    <w:p>
      <w:pPr>
        <w:numPr>
          <w:ilvl w:val="0"/>
          <w:numId w:val="10"/>
        </w:numPr>
        <w:spacing w:before="0" w:after="80" w:line="293" w:lineRule="auto"/>
        <w:keepLines/>
      </w:pPr>
      <w:r>
        <w:rPr>
          <w:rFonts w:ascii="Source Han Sans CN" w:hAnsi="Source Han Sans CN" w:eastAsia="Source Han Sans CN" w:cs="Source Han Sans CN"/>
          <w:color w:val="1F2937"/>
          <w:sz w:val="21"/>
        </w:rPr>
        <w:t>资格、采购依据或价格临期：提前预警，发起复审、续签、调价或限制新业务；</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供应商冻结：阻断新分配和新PO，开放订单按继续、替代、取消或受控收尾单独决策；</w:t>
      </w:r>
    </w:p>
    <w:p>
      <w:pPr>
        <w:numPr>
          <w:ilvl w:val="0"/>
          <w:numId w:val="10"/>
        </w:numPr>
        <w:spacing w:before="0" w:after="80" w:line="293" w:lineRule="auto"/>
        <w:keepLines/>
      </w:pPr>
      <w:r>
        <w:rPr>
          <w:rFonts w:ascii="Source Han Sans CN" w:hAnsi="Source Han Sans CN" w:eastAsia="Source Han Sans CN" w:cs="Source Han Sans CN"/>
          <w:color w:val="1F2937"/>
          <w:sz w:val="21"/>
        </w:rPr>
        <w:t>绩效持续不达标：改善计划、降份额、条件供应、暂停、淘汰或建设第二供应源。</w:t>
      </w:r>
    </w:p>
    <w:p>
      <w:pPr>
        <w:pStyle w:val="Heading1"/>
      </w:pPr>
      <w:r>
        <w:rPr>
          <w:rFonts w:ascii="Source Han Sans CN" w:hAnsi="Source Han Sans CN" w:eastAsia="Source Han Sans CN" w:cs="Source Han Sans CN"/>
          <w:b/>
          <w:color w:val="1F4E78"/>
          <w:sz w:val="32"/>
        </w:rPr>
        <w:t>8. 工作台总体设计</w:t>
      </w:r>
    </w:p>
    <w:p>
      <w:pPr>
        <w:pStyle w:val="Heading2"/>
      </w:pPr>
      <w:r>
        <w:rPr>
          <w:rFonts w:ascii="Source Han Sans CN" w:hAnsi="Source Han Sans CN" w:eastAsia="Source Han Sans CN" w:cs="Source Han Sans CN"/>
          <w:b/>
          <w:color w:val="1F4E78"/>
          <w:sz w:val="26"/>
        </w:rPr>
        <w:t>8.1 定位与交互原则</w:t>
      </w:r>
    </w:p>
    <w:p>
      <w:pPr>
        <w:spacing w:before="120" w:after="200" w:line="283" w:lineRule="auto"/>
        <w:ind w:left="173" w:right="115"/>
        <w:shd w:fill="ECFDF3"/>
        <w:pBdr>
          <w:left w:val="single" w:sz="20" w:space="8" w:color="166534"/>
        </w:pBdr>
        <w:keepLines/>
      </w:pPr>
      <w:r>
        <w:rPr>
          <w:rFonts w:ascii="Source Han Sans CN" w:hAnsi="Source Han Sans CN" w:eastAsia="Source Han Sans CN" w:cs="Source Han Sans CN"/>
          <w:b/>
          <w:color w:val="166534"/>
          <w:sz w:val="20"/>
        </w:rPr>
        <w:t xml:space="preserve">确定　</w:t>
      </w:r>
      <w:r>
        <w:rPr>
          <w:rFonts w:ascii="Source Han Sans CN" w:hAnsi="Source Han Sans CN" w:eastAsia="Source Han Sans CN" w:cs="Source Han Sans CN"/>
          <w:color w:val="1F2937"/>
          <w:sz w:val="20"/>
        </w:rPr>
        <w:t>工作台即登录首页，不再设置普通二级菜单。待办、审批、预警、业务进度和角色指标以页面区块或页签呈现；点击后进入带筛选条件的业务清单。</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工作台不是固定领导驾驶舱，也不是把所有模块统计卡片堆在一页。系统根据角色、数据范围和当前任务生成不同布局，确保用户首先看到需要处理的事项、即将到期的风险和与本人负责对象相关的业务进度。</w:t>
      </w:r>
    </w:p>
    <w:p>
      <w:pPr>
        <w:pStyle w:val="Heading2"/>
      </w:pPr>
      <w:r>
        <w:rPr>
          <w:rFonts w:ascii="Source Han Sans CN" w:hAnsi="Source Han Sans CN" w:eastAsia="Source Han Sans CN" w:cs="Source Han Sans CN"/>
          <w:b/>
          <w:color w:val="1F4E78"/>
          <w:sz w:val="26"/>
        </w:rPr>
        <w:t>8.2 核心区块</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4600"/>
        <w:gridCol w:w="33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区块</w:t>
            </w:r>
          </w:p>
        </w:tc>
        <w:tc>
          <w:tcPr>
            <w:tcW w:type="dxa" w:w="4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内容</w:t>
            </w:r>
          </w:p>
        </w:tc>
        <w:tc>
          <w:tcPr>
            <w:tcW w:type="dxa" w:w="3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关键规则</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我的待办</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注册审核、寻源任务、定标转化、合同、供应源、订单差异、质量整改、对账差异等</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统一任务模型；支持业务类型、优先级、到期时间和责任人筛选</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我的审批</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待我审批、我发起、已审批、抄送</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审批流与业务状态分离；撤回、转交、加签和会签按流程策略控制</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预警与风险</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资质/合同/价格临期、单一来源、能力不足、交期偏差、质量逾期、付款异常</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预警可认领、分派、暂缓、关闭；必须链接业务对象和处置记录</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业务进度</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寻源项目、供应商准入、物料资格、订单、ASN、整改、对账等阶段进度</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使用领域状态汇总，不另造“工作台状态”</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角色指标</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采购节约、订单确认、交付、质量、结算、风险等指标</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指标按角色显示；口径、周期、数据时间和钻取来源可追溯</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消息与公告</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系统消息、业务@、供应商回复、规则通知和公告</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消息不替代待办；关键任务必须进入任务中心</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全局搜索</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供应商、物料、项目、合同、供应源、PO、ASN、质量异常和对账单</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按权限过滤搜索结果；敏感字段不得进入未授权索引</w:t>
            </w:r>
          </w:p>
        </w:tc>
      </w:tr>
    </w:tbl>
    <w:p>
      <w:pPr>
        <w:spacing w:after="40"/>
      </w:pPr>
    </w:p>
    <w:p>
      <w:pPr>
        <w:pStyle w:val="Heading2"/>
      </w:pPr>
      <w:r>
        <w:rPr>
          <w:rFonts w:ascii="Source Han Sans CN" w:hAnsi="Source Han Sans CN" w:eastAsia="Source Han Sans CN" w:cs="Source Han Sans CN"/>
          <w:b/>
          <w:color w:val="1F4E78"/>
          <w:sz w:val="26"/>
        </w:rPr>
        <w:t>8.3 统一任务模型</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000"/>
        <w:gridCol w:w="7600"/>
      </w:tblGrid>
      <w:tr>
        <w:trPr>
          <w:tblHeader w:val="true"/>
          <w:cantSplit/>
        </w:trPr>
        <w:tc>
          <w:tcPr>
            <w:tcW w:type="dxa" w:w="2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字段组</w:t>
            </w:r>
          </w:p>
        </w:tc>
        <w:tc>
          <w:tcPr>
            <w:tcW w:type="dxa" w:w="7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建议内容</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任务身份</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task_id、业务类型、业务对象ID、来源系统、来源事件</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责任</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责任角色、责任用户、候选组、协同人、供应商联系人</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时效</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创建时间、要求完成时间、SLA、优先级、逾期时长</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状态</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待领取、处理中、待外部、待复核、已完成、已取消</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处理</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允许动作、处理意见、附件、转交、加签、退回及关闭原因</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追溯</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前序任务、后续任务、流程实例、事件日志、提醒次数</w:t>
            </w:r>
          </w:p>
        </w:tc>
      </w:tr>
    </w:tbl>
    <w:p>
      <w:pPr>
        <w:spacing w:after="40"/>
      </w:pPr>
    </w:p>
    <w:p>
      <w:pPr>
        <w:pStyle w:val="Heading2"/>
      </w:pPr>
      <w:r>
        <w:rPr>
          <w:rFonts w:ascii="Source Han Sans CN" w:hAnsi="Source Han Sans CN" w:eastAsia="Source Han Sans CN" w:cs="Source Han Sans CN"/>
          <w:b/>
          <w:color w:val="1F4E78"/>
          <w:sz w:val="26"/>
        </w:rPr>
        <w:t>8.4 角色化指标示例</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75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角色</w:t>
            </w:r>
          </w:p>
        </w:tc>
        <w:tc>
          <w:tcPr>
            <w:tcW w:type="dxa" w:w="7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建议核心指标</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品类采购</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负责品类寻源项目进度、价格覆盖率、配额偏差、单一来源、合同/价格临期</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采购执行</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待分配需求、PO确认及时率、承诺偏差、逾期订单、未建ASN数量</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SQE</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待审核资格、样件/PPAP逾期、来料不良、开放SCAR/8D、重复质量问题</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供应商开发</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注册转化、准入周期、资质临期、整改逾期、冻结/退出任务</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仓储</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今日预约、待收货ASN、数量差异、待退货发运</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财务</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待对账、差异金额、待发票、待请款、付款状态异常</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管理层</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供应连续性、采购节约、交付质量、关键风险、供应商分层及改善效果</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待报价、待确认订单、待发货、质量整改、待对账、资质临期</w:t>
            </w:r>
          </w:p>
        </w:tc>
      </w:tr>
    </w:tbl>
    <w:p>
      <w:pPr>
        <w:spacing w:after="40"/>
      </w:pPr>
    </w:p>
    <w:p>
      <w:pPr>
        <w:pStyle w:val="Heading1"/>
      </w:pPr>
      <w:r>
        <w:rPr>
          <w:rFonts w:ascii="Source Han Sans CN" w:hAnsi="Source Han Sans CN" w:eastAsia="Source Han Sans CN" w:cs="Source Han Sans CN"/>
          <w:b/>
          <w:color w:val="1F4E78"/>
          <w:sz w:val="32"/>
        </w:rPr>
        <w:t>9. 供应商管理总体设计</w:t>
      </w:r>
    </w:p>
    <w:p>
      <w:pPr>
        <w:pStyle w:val="Heading2"/>
      </w:pPr>
      <w:r>
        <w:rPr>
          <w:rFonts w:ascii="Source Han Sans CN" w:hAnsi="Source Han Sans CN" w:eastAsia="Source Han Sans CN" w:cs="Source Han Sans CN"/>
          <w:b/>
          <w:color w:val="1F4E78"/>
          <w:sz w:val="26"/>
        </w:rPr>
        <w:t>9.1 领域定位</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供应商管理负责“供应商主体是否被企业识别、允许参与何种活动、是否具备持续合作条件”，但不单独决定其能否供应某个物料。正式下单能力由批准供应源结合物料资格、采购依据、价格和范围共同决定。</w:t>
      </w:r>
    </w:p>
    <w:p>
      <w:pPr>
        <w:spacing w:before="120" w:after="200" w:line="283" w:lineRule="auto"/>
        <w:ind w:left="173" w:right="115"/>
        <w:shd w:fill="F4F7FB"/>
        <w:pBdr>
          <w:left w:val="single" w:sz="20" w:space="8" w:color="1F4E78"/>
        </w:pBdr>
        <w:keepLines/>
      </w:pPr>
      <w:r>
        <w:rPr>
          <w:rFonts w:ascii="Source Han Sans CN" w:hAnsi="Source Han Sans CN" w:eastAsia="Source Han Sans CN" w:cs="Source Han Sans CN"/>
          <w:b/>
          <w:color w:val="1F4E78"/>
          <w:sz w:val="20"/>
        </w:rPr>
        <w:t xml:space="preserve">核心区分　</w:t>
      </w:r>
      <w:r>
        <w:rPr>
          <w:rFonts w:ascii="Source Han Sans CN" w:hAnsi="Source Han Sans CN" w:eastAsia="Source Han Sans CN" w:cs="Source Han Sans CN"/>
          <w:color w:val="1F2937"/>
          <w:sz w:val="20"/>
        </w:rPr>
        <w:t>供应商主体准入是企业级合作资格；物料资格是站点/物料级技术质量资格；批准供应源是组织/工厂/物料/有效期级交易资格。三者不能合并成一个“合格供应商”状态。</w:t>
      </w:r>
    </w:p>
    <w:p>
      <w:pPr>
        <w:pStyle w:val="Heading2"/>
      </w:pPr>
      <w:r>
        <w:rPr>
          <w:rFonts w:ascii="Source Han Sans CN" w:hAnsi="Source Han Sans CN" w:eastAsia="Source Han Sans CN" w:cs="Source Han Sans CN"/>
          <w:b/>
          <w:color w:val="1F4E78"/>
          <w:sz w:val="26"/>
        </w:rPr>
        <w:t>9.2 对象分层</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3300"/>
        <w:gridCol w:w="45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对象</w:t>
            </w:r>
          </w:p>
        </w:tc>
        <w:tc>
          <w:tcPr>
            <w:tcW w:type="dxa" w:w="3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作用</w:t>
            </w:r>
          </w:p>
        </w:tc>
        <w:tc>
          <w:tcPr>
            <w:tcW w:type="dxa" w:w="4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关键属性</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供应商线索/资源</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记录尚未正式注册的潜在供应资源</w:t>
            </w:r>
          </w:p>
        </w:tc>
        <w:tc>
          <w:tcPr>
            <w:tcW w:type="dxa" w:w="4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来源、品类、区域、能力标签、推荐人、初筛结论</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供应商主体</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承担法律和交易责任的企业实体</w:t>
            </w:r>
          </w:p>
        </w:tc>
        <w:tc>
          <w:tcPr>
            <w:tcW w:type="dxa" w:w="4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法定名称、统一社会信用代码/注册号、注册地址、风险、状态</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供应商站点</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生产、发货、开票或收款地点</w:t>
            </w:r>
          </w:p>
        </w:tc>
        <w:tc>
          <w:tcPr>
            <w:tcW w:type="dxa" w:w="4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站点类型、地址、产能、体系证书、默认币种、状态</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联系人与用户</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供应商业务联系人和门户身份</w:t>
            </w:r>
          </w:p>
        </w:tc>
        <w:tc>
          <w:tcPr>
            <w:tcW w:type="dxa" w:w="4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角色、站点、联系方式、授权范围、MFA、账号状态</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资质证照</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证明主体或站点能力与合规</w:t>
            </w:r>
          </w:p>
        </w:tc>
        <w:tc>
          <w:tcPr>
            <w:tcW w:type="dxa" w:w="4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类型、编号、发证机构、有效期、附件、验证结果</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准入申请/评估</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记录某组织/品类的主体准入过程</w:t>
            </w:r>
          </w:p>
        </w:tc>
        <w:tc>
          <w:tcPr>
            <w:tcW w:type="dxa" w:w="4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准入类型、问卷、审核、整改、结论、有效期</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变更与复审</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管理关键资料变化和周期性再评估</w:t>
            </w:r>
          </w:p>
        </w:tc>
        <w:tc>
          <w:tcPr>
            <w:tcW w:type="dxa" w:w="4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变更字段、影响范围、复审计划、结果、历史版本</w:t>
            </w:r>
          </w:p>
        </w:tc>
      </w:tr>
    </w:tbl>
    <w:p>
      <w:pPr>
        <w:spacing w:after="40"/>
      </w:pPr>
    </w:p>
    <w:p>
      <w:pPr>
        <w:pStyle w:val="Heading2"/>
      </w:pPr>
      <w:r>
        <w:rPr>
          <w:rFonts w:ascii="Source Han Sans CN" w:hAnsi="Source Han Sans CN" w:eastAsia="Source Han Sans CN" w:cs="Source Han Sans CN"/>
          <w:b/>
          <w:color w:val="1F4E78"/>
          <w:sz w:val="26"/>
        </w:rPr>
        <w:t>9.3 生命周期与状态</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4400"/>
        <w:gridCol w:w="33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阶段/状态</w:t>
            </w:r>
          </w:p>
        </w:tc>
        <w:tc>
          <w:tcPr>
            <w:tcW w:type="dxa" w:w="4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业务含义</w:t>
            </w:r>
          </w:p>
        </w:tc>
        <w:tc>
          <w:tcPr>
            <w:tcW w:type="dxa" w:w="3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允许活动</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潜在资源</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仅有线索或基本能力信息</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可完善资源信息，不可参与正式报价</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已注册</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完成基础主体信息和账号注册</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可提交问卷和资料；是否可受邀由资格策略决定</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寻源可参与</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通过最低合规与寻源参与资格</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可参与授权采购组织/品类的寻源</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准入审核中</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企业正在进行主体、合规、财务或现场审核</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可按策略参与条件寻源，不可自动成为正式供应源</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已准入</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主体在指定组织/品类范围内合作资格通过</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可以推进物料资格、合同与供应源；仍不能据此直接下单</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限制</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存在缺失项或风险，仅允许指定活动</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由限制规则控制寻源、试制、开放订单和新业务</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冻结</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阻断新业务，保留历史与开放订单处置</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默认禁止新邀请、新供应源和新PO</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退出/黑名单</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合作终止或高风险禁止</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历史只读；黑名单按集团/组织范围执行</w:t>
            </w:r>
          </w:p>
        </w:tc>
      </w:tr>
    </w:tbl>
    <w:p>
      <w:pPr>
        <w:spacing w:after="40"/>
      </w:pPr>
    </w:p>
    <w:p>
      <w:pPr>
        <w:pStyle w:val="Heading2"/>
      </w:pPr>
      <w:r>
        <w:rPr>
          <w:rFonts w:ascii="Source Han Sans CN" w:hAnsi="Source Han Sans CN" w:eastAsia="Source Han Sans CN" w:cs="Source Han Sans CN"/>
          <w:b/>
          <w:color w:val="1F4E78"/>
          <w:sz w:val="26"/>
        </w:rPr>
        <w:t>9.4 注册、预审与准入策略</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3500"/>
        <w:gridCol w:w="40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业务类型</w:t>
            </w:r>
          </w:p>
        </w:tc>
        <w:tc>
          <w:tcPr>
            <w:tcW w:type="dxa" w:w="3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最低寻源前要求</w:t>
            </w:r>
          </w:p>
        </w:tc>
        <w:tc>
          <w:tcPr>
            <w:tcW w:type="dxa" w:w="4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正式合作前要求</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低风险标准物料</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基础注册、合规声明、黑名单检查</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简化准入＋有效采购依据＋必要资格</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生产关键物料</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注册、NDA、体系证书、能力与风险预审</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完整准入、站点审核、物料认可、采购依据和正式供应源</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NPI/定制件</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技术保密、能力预审、知识产权/模具要求</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样件/试制、量产认可、价格与协议、正式供应源</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紧急一次性采购</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身份与合规最低核验</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例外审批、受限供应源、限量/限期、后评估</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已有集团供应商扩展新组织</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复用主体基础信息，检查本组织资格</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组织/品类准入扩展、站点/物料/合同范围确认</w:t>
            </w:r>
          </w:p>
        </w:tc>
      </w:tr>
    </w:tbl>
    <w:p>
      <w:pPr>
        <w:spacing w:after="40"/>
      </w:pPr>
    </w:p>
    <w:p>
      <w:pPr>
        <w:pStyle w:val="Heading2"/>
      </w:pPr>
      <w:r>
        <w:rPr>
          <w:rFonts w:ascii="Source Han Sans CN" w:hAnsi="Source Han Sans CN" w:eastAsia="Source Han Sans CN" w:cs="Source Han Sans CN"/>
          <w:b/>
          <w:color w:val="1F4E78"/>
          <w:sz w:val="26"/>
        </w:rPr>
        <w:t>9.5 关键业务规则</w:t>
      </w:r>
    </w:p>
    <w:p>
      <w:pPr>
        <w:numPr>
          <w:ilvl w:val="0"/>
          <w:numId w:val="10"/>
        </w:numPr>
        <w:spacing w:before="0" w:after="80" w:line="293" w:lineRule="auto"/>
        <w:keepLines/>
      </w:pPr>
      <w:r>
        <w:rPr>
          <w:rFonts w:ascii="Source Han Sans CN" w:hAnsi="Source Han Sans CN" w:eastAsia="Source Han Sans CN" w:cs="Source Han Sans CN"/>
          <w:color w:val="1F2937"/>
          <w:sz w:val="21"/>
        </w:rPr>
        <w:t>同一法律主体应通过注册号、税号、银行账户等进行重复识别，但允许存在多个内部供应商编码映射；</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供应商不能自行修改已审核的关键主体、银行和税务信息，变更必须生成申请、复核及生效版本；</w:t>
      </w:r>
    </w:p>
    <w:p>
      <w:pPr>
        <w:numPr>
          <w:ilvl w:val="0"/>
          <w:numId w:val="10"/>
        </w:numPr>
        <w:spacing w:before="0" w:after="80" w:line="293" w:lineRule="auto"/>
        <w:keepLines/>
      </w:pPr>
      <w:r>
        <w:rPr>
          <w:rFonts w:ascii="Source Han Sans CN" w:hAnsi="Source Han Sans CN" w:eastAsia="Source Han Sans CN" w:cs="Source Han Sans CN"/>
          <w:color w:val="1F2937"/>
          <w:sz w:val="21"/>
        </w:rPr>
        <w:t>主体准入可按集团、法律实体、采购组织或品类定义范围，不能默认全集团通用；</w:t>
      </w:r>
    </w:p>
    <w:p>
      <w:pPr>
        <w:numPr>
          <w:ilvl w:val="0"/>
          <w:numId w:val="10"/>
        </w:numPr>
        <w:spacing w:before="0" w:after="80" w:line="293" w:lineRule="auto"/>
        <w:keepLines/>
      </w:pPr>
      <w:r>
        <w:rPr>
          <w:rFonts w:ascii="Source Han Sans CN" w:hAnsi="Source Han Sans CN" w:eastAsia="Source Han Sans CN" w:cs="Source Han Sans CN"/>
          <w:color w:val="1F2937"/>
          <w:sz w:val="21"/>
        </w:rPr>
        <w:t>站点停用不等于主体退出，但依赖该站点的供应源必须被重新评估；</w:t>
      </w:r>
    </w:p>
    <w:p>
      <w:pPr>
        <w:numPr>
          <w:ilvl w:val="0"/>
          <w:numId w:val="10"/>
        </w:numPr>
        <w:spacing w:before="0" w:after="80" w:line="293" w:lineRule="auto"/>
        <w:keepLines/>
      </w:pPr>
      <w:r>
        <w:rPr>
          <w:rFonts w:ascii="Source Han Sans CN" w:hAnsi="Source Han Sans CN" w:eastAsia="Source Han Sans CN" w:cs="Source Han Sans CN"/>
          <w:color w:val="1F2937"/>
          <w:sz w:val="21"/>
        </w:rPr>
        <w:t>资质临期先预警，达到策略阈值后限制相关新业务，不能直接删除历史资质；</w:t>
      </w:r>
    </w:p>
    <w:p>
      <w:pPr>
        <w:numPr>
          <w:ilvl w:val="0"/>
          <w:numId w:val="10"/>
        </w:numPr>
        <w:spacing w:before="0" w:after="80" w:line="293" w:lineRule="auto"/>
        <w:keepLines/>
      </w:pPr>
      <w:r>
        <w:rPr>
          <w:rFonts w:ascii="Source Han Sans CN" w:hAnsi="Source Han Sans CN" w:eastAsia="Source Han Sans CN" w:cs="Source Han Sans CN"/>
          <w:color w:val="1F2937"/>
          <w:sz w:val="21"/>
        </w:rPr>
        <w:t>冻结决定必须记录范围、原因、生效时间、开放业务处置和解除条件。</w:t>
      </w:r>
    </w:p>
    <w:p>
      <w:pPr>
        <w:pStyle w:val="Heading1"/>
      </w:pPr>
      <w:r>
        <w:rPr>
          <w:rFonts w:ascii="Source Han Sans CN" w:hAnsi="Source Han Sans CN" w:eastAsia="Source Han Sans CN" w:cs="Source Han Sans CN"/>
          <w:b/>
          <w:color w:val="1F4E78"/>
          <w:sz w:val="32"/>
        </w:rPr>
        <w:t>10. 战略寻源总体设计</w:t>
      </w:r>
    </w:p>
    <w:p>
      <w:pPr>
        <w:pStyle w:val="Heading2"/>
      </w:pPr>
      <w:r>
        <w:rPr>
          <w:rFonts w:ascii="Source Han Sans CN" w:hAnsi="Source Han Sans CN" w:eastAsia="Source Han Sans CN" w:cs="Source Han Sans CN"/>
          <w:b/>
          <w:color w:val="1F4E78"/>
          <w:sz w:val="26"/>
        </w:rPr>
        <w:t>10.1 领域定位与触发</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战略寻源负责把资源需求转化为可审计的市场竞争、技术商务评审和供应商选择结果。它不是每一笔采购需求的必经步骤，也不只在“所有现有供应商都不符合”时使用；品类策略、年度议价、第二供应源、新产品、风险替代和供应能力建设均可触发。</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4000"/>
        <w:gridCol w:w="38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触发类型</w:t>
            </w:r>
          </w:p>
        </w:tc>
        <w:tc>
          <w:tcPr>
            <w:tcW w:type="dxa" w:w="4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示例</w:t>
            </w:r>
          </w:p>
        </w:tc>
        <w:tc>
          <w:tcPr>
            <w:tcW w:type="dxa" w:w="3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通常输出</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需求缺口</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现有供应源数量/交期/范围不足</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补充供应商、价格、临时或正式供应源</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NPI/新物料</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新BOM、新版本、新工艺、新项目</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供应商提名、目标成本、试制任务</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品类策略</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年度集采、集中议价、供应商整合</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价格版本、目标份额、框架协议</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风险韧性</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单一来源、地域风险、供应商经营风险</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第二供应源、替代计划、配额调整</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合同/价格事件</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协议到期、指数变化、成本下降目标</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续约、调价或重新定标</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组织扩展</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新增工厂、区域、采购组织</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适用新范围的供应商与供应源</w:t>
            </w:r>
          </w:p>
        </w:tc>
      </w:tr>
    </w:tbl>
    <w:p>
      <w:pPr>
        <w:spacing w:after="40"/>
      </w:pPr>
    </w:p>
    <w:p>
      <w:pPr>
        <w:pStyle w:val="Heading2"/>
      </w:pPr>
      <w:r>
        <w:rPr>
          <w:rFonts w:ascii="Source Han Sans CN" w:hAnsi="Source Han Sans CN" w:eastAsia="Source Han Sans CN" w:cs="Source Han Sans CN"/>
          <w:b/>
          <w:color w:val="1F4E78"/>
          <w:sz w:val="26"/>
        </w:rPr>
        <w:t>10.2 寻源方式</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4000"/>
        <w:gridCol w:w="39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方式</w:t>
            </w:r>
          </w:p>
        </w:tc>
        <w:tc>
          <w:tcPr>
            <w:tcW w:type="dxa" w:w="4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适用场景</w:t>
            </w:r>
          </w:p>
        </w:tc>
        <w:tc>
          <w:tcPr>
            <w:tcW w:type="dxa" w:w="3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核心控制</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RFI</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市场信息、能力摸底、潜在供应商筛选</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不直接形成价格承诺或正式定标</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RFQ/询比价</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规格清晰、可比较的物料采购</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报价版本、价格单位、成本因素和有效期统一</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招投标</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高金额、合规要求高或需公开竞争</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招标文件、保证金、开标规则、评委、技术/商务标隔离</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竞价/拍卖</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标准化、竞争充分、可实时出价</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起始/保留价、最小步长、延时规则、异常中止</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竞争性谈判</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技术商务需多轮协商</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谈判轮次、会议纪要、最终报价和授权</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单一来源</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专利、指定、紧急或唯一可用来源</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原因、市场证据、价格合理性和例外审批</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定向议价</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已有合格供应商年度降本或范围调整</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基准价格、目标、成本结构、最终条件和生效版本</w:t>
            </w:r>
          </w:p>
        </w:tc>
      </w:tr>
    </w:tbl>
    <w:p>
      <w:pPr>
        <w:spacing w:after="40"/>
      </w:pPr>
    </w:p>
    <w:p>
      <w:pPr>
        <w:pStyle w:val="Heading2"/>
      </w:pPr>
      <w:r>
        <w:rPr>
          <w:rFonts w:ascii="Source Han Sans CN" w:hAnsi="Source Han Sans CN" w:eastAsia="Source Han Sans CN" w:cs="Source Han Sans CN"/>
          <w:b/>
          <w:color w:val="1F4E78"/>
          <w:sz w:val="26"/>
        </w:rPr>
        <w:t>10.3 标准流程与状态</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4800"/>
        <w:gridCol w:w="31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阶段</w:t>
            </w:r>
          </w:p>
        </w:tc>
        <w:tc>
          <w:tcPr>
            <w:tcW w:type="dxa" w:w="4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核心动作</w:t>
            </w:r>
          </w:p>
        </w:tc>
        <w:tc>
          <w:tcPr>
            <w:tcW w:type="dxa" w:w="3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主要产出</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需求与立项</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明确范围、策略、预算/目标、团队、时间和寻源方式</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寻源需求、项目章程、审批</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供应商准备</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筛选、邀请、资格检查、NDA、确认参与</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邀请清单、参与状态、例外记录</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发布与响应</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发布文件、供应商提问、澄清、报价和截止控制</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报价版本、澄清纪要、附件</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开标与评审</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技术/质量/商务/交付/风险评审及评分</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评审明细、排名、偏离项、建议</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谈判与最优报价</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多轮协商、成本分析、最终报价</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BAFO/最终报价、谈判纪要</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定标审批</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选择供应商、物料、价格、数量/份额和附带条件</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定标结果、审批、通知</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转化与关闭</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生成价格、合同/依据、资格、供应源等任务并跟踪</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转化任务、来源关系、项目关闭</w:t>
            </w:r>
          </w:p>
        </w:tc>
      </w:tr>
    </w:tbl>
    <w:p>
      <w:pPr>
        <w:spacing w:after="40"/>
      </w:pP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建议项目状态：草稿→待审批→已发布→响应中→评审中→定标审批中→已定标→转化中→已关闭；并支持已暂停、已取消和按权限重新开启。报价与评审各自拥有独立版本和密封状态。</w:t>
      </w:r>
    </w:p>
    <w:p>
      <w:pPr>
        <w:pStyle w:val="Heading2"/>
      </w:pPr>
      <w:r>
        <w:rPr>
          <w:rFonts w:ascii="Source Han Sans CN" w:hAnsi="Source Han Sans CN" w:eastAsia="Source Han Sans CN" w:cs="Source Han Sans CN"/>
          <w:b/>
          <w:color w:val="1F4E78"/>
          <w:sz w:val="26"/>
        </w:rPr>
        <w:t>10.4 定标结果模型</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200"/>
        <w:gridCol w:w="7400"/>
      </w:tblGrid>
      <w:tr>
        <w:trPr>
          <w:tblHeader w:val="true"/>
          <w:cantSplit/>
        </w:trPr>
        <w:tc>
          <w:tcPr>
            <w:tcW w:type="dxa" w:w="2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内容</w:t>
            </w:r>
          </w:p>
        </w:tc>
        <w:tc>
          <w:tcPr>
            <w:tcW w:type="dxa" w:w="7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说明</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中选维度</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供应商主体、站点、物料/物料包、采购组织、工厂和交付地点</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商务条件</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单价/公式、币种、税、价格单位、阶梯、MOQ/MPQ、付款和贸易条件</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供应承诺</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目标数量、目标份额、产能、交期、爬坡计划和有效期</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条件与偏离</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准入、样件、资格、合同、审核、整改等生效前条件及被接受偏离</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结果类型</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条件定标、正式定标、备选、未中选、部分中选、取消</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转化方向</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价格条件、采购依据、试制/条件/正式供应源、PO/协议或仅存档</w:t>
            </w:r>
          </w:p>
        </w:tc>
      </w:tr>
    </w:tbl>
    <w:p>
      <w:pPr>
        <w:spacing w:after="40"/>
      </w:pPr>
    </w:p>
    <w:p>
      <w:pPr>
        <w:spacing w:before="120" w:after="200" w:line="283" w:lineRule="auto"/>
        <w:ind w:left="173" w:right="115"/>
        <w:shd w:fill="FEF2F2"/>
        <w:pBdr>
          <w:left w:val="single" w:sz="20" w:space="8" w:color="9B1C1C"/>
        </w:pBdr>
        <w:keepLines/>
      </w:pPr>
      <w:r>
        <w:rPr>
          <w:rFonts w:ascii="Source Han Sans CN" w:hAnsi="Source Han Sans CN" w:eastAsia="Source Han Sans CN" w:cs="Source Han Sans CN"/>
          <w:b/>
          <w:color w:val="9B1C1C"/>
          <w:sz w:val="20"/>
        </w:rPr>
        <w:t xml:space="preserve">重要　</w:t>
      </w:r>
      <w:r>
        <w:rPr>
          <w:rFonts w:ascii="Source Han Sans CN" w:hAnsi="Source Han Sans CN" w:eastAsia="Source Han Sans CN" w:cs="Source Han Sans CN"/>
          <w:color w:val="1F2937"/>
          <w:sz w:val="20"/>
        </w:rPr>
        <w:t>定标结果可以确认供应商、物料和价格，但不自动授予量产供货资格，也不强制立即生成合同或PO。</w:t>
      </w:r>
    </w:p>
    <w:p>
      <w:pPr>
        <w:pStyle w:val="Heading2"/>
      </w:pPr>
      <w:r>
        <w:rPr>
          <w:rFonts w:ascii="Source Han Sans CN" w:hAnsi="Source Han Sans CN" w:eastAsia="Source Han Sans CN" w:cs="Source Han Sans CN"/>
          <w:b/>
          <w:color w:val="1F4E78"/>
          <w:sz w:val="26"/>
        </w:rPr>
        <w:t>10.5 评审与合规控制</w:t>
      </w:r>
    </w:p>
    <w:p>
      <w:pPr>
        <w:numPr>
          <w:ilvl w:val="0"/>
          <w:numId w:val="10"/>
        </w:numPr>
        <w:spacing w:before="0" w:after="80" w:line="293" w:lineRule="auto"/>
        <w:keepLines/>
      </w:pPr>
      <w:r>
        <w:rPr>
          <w:rFonts w:ascii="Source Han Sans CN" w:hAnsi="Source Han Sans CN" w:eastAsia="Source Han Sans CN" w:cs="Source Han Sans CN"/>
          <w:color w:val="1F2937"/>
          <w:sz w:val="21"/>
        </w:rPr>
        <w:t>技术标和商务标可按策略分阶段开标，未到开标条件不得查看密封报价；</w:t>
      </w:r>
    </w:p>
    <w:p>
      <w:pPr>
        <w:numPr>
          <w:ilvl w:val="0"/>
          <w:numId w:val="10"/>
        </w:numPr>
        <w:spacing w:before="0" w:after="80" w:line="293" w:lineRule="auto"/>
        <w:keepLines/>
      </w:pPr>
      <w:r>
        <w:rPr>
          <w:rFonts w:ascii="Source Han Sans CN" w:hAnsi="Source Han Sans CN" w:eastAsia="Source Han Sans CN" w:cs="Source Han Sans CN"/>
          <w:color w:val="1F2937"/>
          <w:sz w:val="21"/>
        </w:rPr>
        <w:t>评分模型区分客观项、主观项、一票否决项和资格门槛，评分调整必须留痕；</w:t>
      </w:r>
    </w:p>
    <w:p>
      <w:pPr>
        <w:numPr>
          <w:ilvl w:val="0"/>
          <w:numId w:val="10"/>
        </w:numPr>
        <w:spacing w:before="0" w:after="80" w:line="293" w:lineRule="auto"/>
        <w:keepLines/>
      </w:pPr>
      <w:r>
        <w:rPr>
          <w:rFonts w:ascii="Source Han Sans CN" w:hAnsi="Source Han Sans CN" w:eastAsia="Source Han Sans CN" w:cs="Source Han Sans CN"/>
          <w:color w:val="1F2937"/>
          <w:sz w:val="21"/>
        </w:rPr>
        <w:t>评委回避、利益冲突声明、供应商沟通和澄清均需审计；</w:t>
      </w:r>
    </w:p>
    <w:p>
      <w:pPr>
        <w:numPr>
          <w:ilvl w:val="0"/>
          <w:numId w:val="10"/>
        </w:numPr>
        <w:spacing w:before="0" w:after="80" w:line="293" w:lineRule="auto"/>
        <w:keepLines/>
      </w:pPr>
      <w:r>
        <w:rPr>
          <w:rFonts w:ascii="Source Han Sans CN" w:hAnsi="Source Han Sans CN" w:eastAsia="Source Han Sans CN" w:cs="Source Han Sans CN"/>
          <w:color w:val="1F2937"/>
          <w:sz w:val="21"/>
        </w:rPr>
        <w:t>定标份额总计、数量、预算、最低报价偏离和非最低价中标须进行规则校验；</w:t>
      </w:r>
    </w:p>
    <w:p>
      <w:pPr>
        <w:numPr>
          <w:ilvl w:val="0"/>
          <w:numId w:val="10"/>
        </w:numPr>
        <w:spacing w:before="0" w:after="80" w:line="293" w:lineRule="auto"/>
        <w:keepLines/>
      </w:pPr>
      <w:r>
        <w:rPr>
          <w:rFonts w:ascii="Source Han Sans CN" w:hAnsi="Source Han Sans CN" w:eastAsia="Source Han Sans CN" w:cs="Source Han Sans CN"/>
          <w:color w:val="1F2937"/>
          <w:sz w:val="21"/>
        </w:rPr>
        <w:t>重新开标、延长截止、撤回定标或重新定标必须保留原因、影响及重新审批。</w:t>
      </w:r>
    </w:p>
    <w:p>
      <w:pPr>
        <w:pStyle w:val="Heading1"/>
      </w:pPr>
      <w:r>
        <w:rPr>
          <w:rFonts w:ascii="Source Han Sans CN" w:hAnsi="Source Han Sans CN" w:eastAsia="Source Han Sans CN" w:cs="Source Han Sans CN"/>
          <w:b/>
          <w:color w:val="1F4E78"/>
          <w:sz w:val="32"/>
        </w:rPr>
        <w:t>11. 合同与价格管理总体设计</w:t>
      </w:r>
    </w:p>
    <w:p>
      <w:pPr>
        <w:pStyle w:val="Heading2"/>
      </w:pPr>
      <w:r>
        <w:rPr>
          <w:rFonts w:ascii="Source Han Sans CN" w:hAnsi="Source Han Sans CN" w:eastAsia="Source Han Sans CN" w:cs="Source Han Sans CN"/>
          <w:b/>
          <w:color w:val="1F4E78"/>
          <w:sz w:val="26"/>
        </w:rPr>
        <w:t>11.1 采购依据模型</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合同管理的控制目标不是要求每次定标后都新签一份合同，而是确保正式交易具备覆盖当前供应商、站点、物料/品类、组织、工厂、交易类型和有效期的采购依据。采购依据可以来自SRM合同域，也可以引用企业认可的外部合同或制度化条款。</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200"/>
        <w:gridCol w:w="4300"/>
        <w:gridCol w:w="3100"/>
      </w:tblGrid>
      <w:tr>
        <w:trPr>
          <w:tblHeader w:val="true"/>
          <w:cantSplit/>
        </w:trPr>
        <w:tc>
          <w:tcPr>
            <w:tcW w:type="dxa" w:w="2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采购依据类型</w:t>
            </w:r>
          </w:p>
        </w:tc>
        <w:tc>
          <w:tcPr>
            <w:tcW w:type="dxa" w:w="4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适用说明</w:t>
            </w:r>
          </w:p>
        </w:tc>
        <w:tc>
          <w:tcPr>
            <w:tcW w:type="dxa" w:w="3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典型限制</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主合同/框架协议</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长期合作的法律和通用商务基础</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需与价格协议、PO或释放单配合确定具体交易</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专项采购合同</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特定项目、物料、模具、设备或高金额采购</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范围、金额、里程碑和验收条件明确</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补充/价格协议</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对既有主合同补充物料、工厂、价格或条款</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必须引用主合同并校验共同有效期</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PO＋采购通用条款</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标准、低风险或企业制度允许的交易</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需确认供应商已接受条款及授权阈值</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试制/样品协议</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样品、小批试制、工装或验证阶段</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不作为量产正式供应源的充分依据</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紧急例外批准</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无法及时完成常规文件的紧急一次性采购</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限量、限期、风险接受、后补或关闭要求</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外部合同引用</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合同在CLM/电子签署/ERP管理</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SRM保存编号、范围、效力和可验证链接，不复制失控版本</w:t>
            </w:r>
          </w:p>
        </w:tc>
      </w:tr>
    </w:tbl>
    <w:p>
      <w:pPr>
        <w:spacing w:after="40"/>
      </w:pPr>
    </w:p>
    <w:p>
      <w:pPr>
        <w:pStyle w:val="Heading2"/>
      </w:pPr>
      <w:r>
        <w:rPr>
          <w:rFonts w:ascii="Source Han Sans CN" w:hAnsi="Source Han Sans CN" w:eastAsia="Source Han Sans CN" w:cs="Source Han Sans CN"/>
          <w:b/>
          <w:color w:val="1F4E78"/>
          <w:sz w:val="26"/>
        </w:rPr>
        <w:t>11.2 合同生命周期</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建议状态：草稿→内部评审→对外协商→待签署→已签署待生效→生效中→临期→已到期/已终止/已作废。变更以新版本或补充协议实现，已生效版本不可覆盖修改。</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000"/>
        <w:gridCol w:w="7600"/>
      </w:tblGrid>
      <w:tr>
        <w:trPr>
          <w:tblHeader w:val="true"/>
          <w:cantSplit/>
        </w:trPr>
        <w:tc>
          <w:tcPr>
            <w:tcW w:type="dxa" w:w="2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能力</w:t>
            </w:r>
          </w:p>
        </w:tc>
        <w:tc>
          <w:tcPr>
            <w:tcW w:type="dxa" w:w="7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总体要求</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模板与条款库</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按合同类型、组织、品类、国家/地区和风险等级选择模板；条款有版本和适用范围。</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起草与引用</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可从定标、供应商、价格或项目创建；保留来源关系和附件。</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评审与协商</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法务、采购、财务、质量等并行/会签；记录条款偏离和谈判版本。</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签署与生效</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对接电子签署或记录线下签署证据；授权人、时间戳和完整性可验证。</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履约与临期</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金额/数量消耗、关键义务、保证金、保险、续签和终止提醒。</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变更与终止</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变更原因、影响范围、审批、生效日和下游供应源/PO影响评估。</w:t>
            </w:r>
          </w:p>
        </w:tc>
      </w:tr>
    </w:tbl>
    <w:p>
      <w:pPr>
        <w:spacing w:after="40"/>
      </w:pPr>
    </w:p>
    <w:p>
      <w:pPr>
        <w:pStyle w:val="Heading2"/>
      </w:pPr>
      <w:r>
        <w:rPr>
          <w:rFonts w:ascii="Source Han Sans CN" w:hAnsi="Source Han Sans CN" w:eastAsia="Source Han Sans CN" w:cs="Source Han Sans CN"/>
          <w:b/>
          <w:color w:val="1F4E78"/>
          <w:sz w:val="26"/>
        </w:rPr>
        <w:t>11.3 价格条件与版本</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000"/>
        <w:gridCol w:w="7600"/>
      </w:tblGrid>
      <w:tr>
        <w:trPr>
          <w:tblHeader w:val="true"/>
          <w:cantSplit/>
        </w:trPr>
        <w:tc>
          <w:tcPr>
            <w:tcW w:type="dxa" w:w="2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价格要素</w:t>
            </w:r>
          </w:p>
        </w:tc>
        <w:tc>
          <w:tcPr>
            <w:tcW w:type="dxa" w:w="7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设计要求</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范围</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供应商、站点、物料/品类、采购组织、工厂、币种、单位和交货条件</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计价</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固定价、阶梯价、年度价、指数/原材料联动公式、试制价、量产价、暂定价</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构成</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材料、加工、模具摊销、包装、物流、税、附加费及折扣等成本因素</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有效期</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生效/失效时间，禁止重叠冲突或通过优先级明确选择规则</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容差</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PO价格偏差、汇率、舍入、最小金额和自动/人工审批阈值</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版本</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新价格不覆盖历史；记录来源定标/协议、审批、变更原因和前后差异</w:t>
            </w:r>
          </w:p>
        </w:tc>
      </w:tr>
    </w:tbl>
    <w:p>
      <w:pPr>
        <w:spacing w:after="40"/>
      </w:pPr>
    </w:p>
    <w:p>
      <w:pPr>
        <w:pStyle w:val="Heading2"/>
      </w:pPr>
      <w:r>
        <w:rPr>
          <w:rFonts w:ascii="Source Han Sans CN" w:hAnsi="Source Han Sans CN" w:eastAsia="Source Han Sans CN" w:cs="Source Han Sans CN"/>
          <w:b/>
          <w:color w:val="1F4E78"/>
          <w:sz w:val="26"/>
        </w:rPr>
        <w:t>11.4 覆盖与生效校验</w:t>
      </w:r>
    </w:p>
    <w:p>
      <w:pPr>
        <w:numPr>
          <w:ilvl w:val="0"/>
          <w:numId w:val="10"/>
        </w:numPr>
        <w:spacing w:before="0" w:after="80" w:line="293" w:lineRule="auto"/>
        <w:keepLines/>
      </w:pPr>
      <w:r>
        <w:rPr>
          <w:rFonts w:ascii="Source Han Sans CN" w:hAnsi="Source Han Sans CN" w:eastAsia="Source Han Sans CN" w:cs="Source Han Sans CN"/>
          <w:color w:val="1F2937"/>
          <w:sz w:val="21"/>
        </w:rPr>
        <w:t>合同/依据必须覆盖当前供应商主体，必要时覆盖具体站点；</w:t>
      </w:r>
    </w:p>
    <w:p>
      <w:pPr>
        <w:numPr>
          <w:ilvl w:val="0"/>
          <w:numId w:val="10"/>
        </w:numPr>
        <w:spacing w:before="0" w:after="80" w:line="293" w:lineRule="auto"/>
        <w:keepLines/>
      </w:pPr>
      <w:r>
        <w:rPr>
          <w:rFonts w:ascii="Source Han Sans CN" w:hAnsi="Source Han Sans CN" w:eastAsia="Source Han Sans CN" w:cs="Source Han Sans CN"/>
          <w:color w:val="1F2937"/>
          <w:sz w:val="21"/>
        </w:rPr>
        <w:t>物料或品类、采购组织、法律主体、工厂和交易类型必须处于适用范围；</w:t>
      </w:r>
    </w:p>
    <w:p>
      <w:pPr>
        <w:numPr>
          <w:ilvl w:val="0"/>
          <w:numId w:val="10"/>
        </w:numPr>
        <w:spacing w:before="0" w:after="80" w:line="293" w:lineRule="auto"/>
        <w:keepLines/>
      </w:pPr>
      <w:r>
        <w:rPr>
          <w:rFonts w:ascii="Source Han Sans CN" w:hAnsi="Source Han Sans CN" w:eastAsia="Source Han Sans CN" w:cs="Source Han Sans CN"/>
          <w:color w:val="1F2937"/>
          <w:sz w:val="21"/>
        </w:rPr>
        <w:t>订单日期、交付日期或其他策略日期必须落在有效期内；</w:t>
      </w:r>
    </w:p>
    <w:p>
      <w:pPr>
        <w:numPr>
          <w:ilvl w:val="0"/>
          <w:numId w:val="10"/>
        </w:numPr>
        <w:spacing w:before="0" w:after="80" w:line="293" w:lineRule="auto"/>
        <w:keepLines/>
      </w:pPr>
      <w:r>
        <w:rPr>
          <w:rFonts w:ascii="Source Han Sans CN" w:hAnsi="Source Han Sans CN" w:eastAsia="Source Han Sans CN" w:cs="Source Han Sans CN"/>
          <w:color w:val="1F2937"/>
          <w:sz w:val="21"/>
        </w:rPr>
        <w:t>价格条件的币种、价格单位、税和计量单位必须可转换并通过一致性校验；</w:t>
      </w:r>
    </w:p>
    <w:p>
      <w:pPr>
        <w:numPr>
          <w:ilvl w:val="0"/>
          <w:numId w:val="10"/>
        </w:numPr>
        <w:spacing w:before="0" w:after="80" w:line="293" w:lineRule="auto"/>
        <w:keepLines/>
      </w:pPr>
      <w:r>
        <w:rPr>
          <w:rFonts w:ascii="Source Han Sans CN" w:hAnsi="Source Han Sans CN" w:eastAsia="Source Han Sans CN" w:cs="Source Han Sans CN"/>
          <w:color w:val="1F2937"/>
          <w:sz w:val="21"/>
        </w:rPr>
        <w:t>合同暂停/终止、额度用尽或关键义务未满足时，关联供应源进入限制或阻断评估；</w:t>
      </w:r>
    </w:p>
    <w:p>
      <w:pPr>
        <w:numPr>
          <w:ilvl w:val="0"/>
          <w:numId w:val="10"/>
        </w:numPr>
        <w:spacing w:before="0" w:after="80" w:line="293" w:lineRule="auto"/>
        <w:keepLines/>
      </w:pPr>
      <w:r>
        <w:rPr>
          <w:rFonts w:ascii="Source Han Sans CN" w:hAnsi="Source Han Sans CN" w:eastAsia="Source Han Sans CN" w:cs="Source Han Sans CN"/>
          <w:color w:val="1F2937"/>
          <w:sz w:val="21"/>
        </w:rPr>
        <w:t>一次采购可以引用主合同＋价格协议＋PO条款等组合依据，但必须能解释最终交易条件来源。</w:t>
      </w:r>
    </w:p>
    <w:p>
      <w:pPr>
        <w:pStyle w:val="Heading1"/>
      </w:pPr>
      <w:r>
        <w:rPr>
          <w:rFonts w:ascii="Source Han Sans CN" w:hAnsi="Source Han Sans CN" w:eastAsia="Source Han Sans CN" w:cs="Source Han Sans CN"/>
          <w:b/>
          <w:color w:val="1F4E78"/>
          <w:sz w:val="32"/>
        </w:rPr>
        <w:t>12. 供应源管理总体设计</w:t>
      </w:r>
    </w:p>
    <w:p>
      <w:pPr>
        <w:pStyle w:val="Heading2"/>
      </w:pPr>
      <w:r>
        <w:rPr>
          <w:rFonts w:ascii="Source Han Sans CN" w:hAnsi="Source Han Sans CN" w:eastAsia="Source Han Sans CN" w:cs="Source Han Sans CN"/>
          <w:b/>
          <w:color w:val="1F4E78"/>
          <w:sz w:val="26"/>
        </w:rPr>
        <w:t>12.1 核心定位</w:t>
      </w:r>
    </w:p>
    <w:p>
      <w:pPr>
        <w:spacing w:before="120" w:after="200" w:line="283" w:lineRule="auto"/>
        <w:ind w:left="173" w:right="115"/>
        <w:shd w:fill="ECFDF3"/>
        <w:pBdr>
          <w:left w:val="single" w:sz="20" w:space="8" w:color="166534"/>
        </w:pBdr>
        <w:keepLines/>
      </w:pPr>
      <w:r>
        <w:rPr>
          <w:rFonts w:ascii="Source Han Sans CN" w:hAnsi="Source Han Sans CN" w:eastAsia="Source Han Sans CN" w:cs="Source Han Sans CN"/>
          <w:b/>
          <w:color w:val="166534"/>
          <w:sz w:val="20"/>
        </w:rPr>
        <w:t xml:space="preserve">系统中枢　</w:t>
      </w:r>
      <w:r>
        <w:rPr>
          <w:rFonts w:ascii="Source Han Sans CN" w:hAnsi="Source Han Sans CN" w:eastAsia="Source Han Sans CN" w:cs="Source Han Sans CN"/>
          <w:color w:val="1F2937"/>
          <w:sz w:val="20"/>
        </w:rPr>
        <w:t>批准供应源回答：在当前时点，哪个供应商站点可以向哪个采购组织/工厂供应哪个物料或品类，并以何种资格、采购依据、价格、能力和限制参与分配与下单。</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供应源管理对应成熟采购系统中的 approved supplier/source list、source of supply、供应配额和供应商物料关系等概念。它承接寻源及准入成果，同时服务采购需求匹配，不等同于供应商档案中的一个标签。</w:t>
      </w:r>
    </w:p>
    <w:p>
      <w:pPr>
        <w:pStyle w:val="Heading2"/>
      </w:pPr>
      <w:r>
        <w:rPr>
          <w:rFonts w:ascii="Source Han Sans CN" w:hAnsi="Source Han Sans CN" w:eastAsia="Source Han Sans CN" w:cs="Source Han Sans CN"/>
          <w:b/>
          <w:color w:val="1F4E78"/>
          <w:sz w:val="26"/>
        </w:rPr>
        <w:t>12.2 核心维度与属性</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75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维度组</w:t>
            </w:r>
          </w:p>
        </w:tc>
        <w:tc>
          <w:tcPr>
            <w:tcW w:type="dxa" w:w="7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关键内容</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主体与站点</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供应商主体、生产站点、发货站点、开票站点及有效状态</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采购范围</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采购法律主体、采购组织、工厂、收货地点和业务类型</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物料范围</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物料、版本、品类、替代组、客户/项目限定和技术规格</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资格与依据</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主体准入、物料资格、采购依据、价格条件及其有效期</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物流与包装</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交期、MOQ、MPQ、包装、运输时间、交货条件和日历</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能力与配额</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额定/可用产能、爬坡、承诺窗口、目标份额、供应配额和上限</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质量与风险</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质量等级、检验策略、特采限制、风险等级、单一来源标识</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控制信息</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状态、限制原因、审批、来源定标、变更版本、生效/失效和负责人</w:t>
            </w:r>
          </w:p>
        </w:tc>
      </w:tr>
    </w:tbl>
    <w:p>
      <w:pPr>
        <w:spacing w:after="40"/>
      </w:pPr>
    </w:p>
    <w:p>
      <w:pPr>
        <w:pStyle w:val="Heading2"/>
      </w:pPr>
      <w:r>
        <w:rPr>
          <w:rFonts w:ascii="Source Han Sans CN" w:hAnsi="Source Han Sans CN" w:eastAsia="Source Han Sans CN" w:cs="Source Han Sans CN"/>
          <w:b/>
          <w:color w:val="1F4E78"/>
          <w:sz w:val="26"/>
        </w:rPr>
        <w:t>12.3 供应源状态机</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500"/>
        <w:gridCol w:w="4800"/>
        <w:gridCol w:w="3300"/>
      </w:tblGrid>
      <w:tr>
        <w:trPr>
          <w:tblHeader w:val="true"/>
          <w:cantSplit/>
        </w:trPr>
        <w:tc>
          <w:tcPr>
            <w:tcW w:type="dxa" w:w="1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状态</w:t>
            </w:r>
          </w:p>
        </w:tc>
        <w:tc>
          <w:tcPr>
            <w:tcW w:type="dxa" w:w="4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含义</w:t>
            </w:r>
          </w:p>
        </w:tc>
        <w:tc>
          <w:tcPr>
            <w:tcW w:type="dxa" w:w="3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下单能力</w:t>
            </w:r>
          </w:p>
        </w:tc>
      </w:tr>
      <w:tr>
        <w:trPr>
          <w:cantSplit/>
        </w:trPr>
        <w:tc>
          <w:tcPr>
            <w:tcW w:type="dxa" w:w="1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候选</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已识别供应关系但未完成必要关口</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不可正式分配或下单</w:t>
            </w:r>
          </w:p>
        </w:tc>
      </w:tr>
      <w:tr>
        <w:trPr>
          <w:cantSplit/>
        </w:trPr>
        <w:tc>
          <w:tcPr>
            <w:tcW w:type="dxa" w:w="1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试制</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允许样品、打样或小批验证</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限订单类型、数量、工厂和有效期</w:t>
            </w:r>
          </w:p>
        </w:tc>
      </w:tr>
      <w:tr>
        <w:trPr>
          <w:cantSplit/>
        </w:trPr>
        <w:tc>
          <w:tcPr>
            <w:tcW w:type="dxa" w:w="1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条件</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部分条件尚未关闭但经授权允许受控采购</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按条件、容差和审批限制</w:t>
            </w:r>
          </w:p>
        </w:tc>
      </w:tr>
      <w:tr>
        <w:trPr>
          <w:cantSplit/>
        </w:trPr>
        <w:tc>
          <w:tcPr>
            <w:tcW w:type="dxa" w:w="1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正式</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相关准入、资格、依据、价格和范围满足策略</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可参与正常分配和下单</w:t>
            </w:r>
          </w:p>
        </w:tc>
      </w:tr>
      <w:tr>
        <w:trPr>
          <w:cantSplit/>
        </w:trPr>
        <w:tc>
          <w:tcPr>
            <w:tcW w:type="dxa" w:w="1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限制</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质量、能力、合同或风险导致限制</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可限制新品类、数量、工厂或仅执行开放订单</w:t>
            </w:r>
          </w:p>
        </w:tc>
      </w:tr>
      <w:tr>
        <w:trPr>
          <w:cantSplit/>
        </w:trPr>
        <w:tc>
          <w:tcPr>
            <w:tcW w:type="dxa" w:w="1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暂停</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暂时阻断新业务</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不可新分配/新PO；开放订单另行决策</w:t>
            </w:r>
          </w:p>
        </w:tc>
      </w:tr>
      <w:tr>
        <w:trPr>
          <w:cantSplit/>
        </w:trPr>
        <w:tc>
          <w:tcPr>
            <w:tcW w:type="dxa" w:w="1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过期</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有效期自然结束或关联资格/依据失效</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不可新业务，待续期或新版本</w:t>
            </w:r>
          </w:p>
        </w:tc>
      </w:tr>
      <w:tr>
        <w:trPr>
          <w:cantSplit/>
        </w:trPr>
        <w:tc>
          <w:tcPr>
            <w:tcW w:type="dxa" w:w="1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终止</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关系关闭，不计划恢复</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历史只读</w:t>
            </w:r>
          </w:p>
        </w:tc>
      </w:tr>
    </w:tbl>
    <w:p>
      <w:pPr>
        <w:spacing w:after="40"/>
      </w:pPr>
    </w:p>
    <w:p>
      <w:pPr>
        <w:pStyle w:val="Heading2"/>
      </w:pPr>
      <w:r>
        <w:rPr>
          <w:rFonts w:ascii="Source Han Sans CN" w:hAnsi="Source Han Sans CN" w:eastAsia="Source Han Sans CN" w:cs="Source Han Sans CN"/>
          <w:b/>
          <w:color w:val="1F4E78"/>
          <w:sz w:val="26"/>
        </w:rPr>
        <w:t>12.4 创建与转化路径</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4300"/>
        <w:gridCol w:w="32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来源</w:t>
            </w:r>
          </w:p>
        </w:tc>
        <w:tc>
          <w:tcPr>
            <w:tcW w:type="dxa" w:w="4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转化方式</w:t>
            </w:r>
          </w:p>
        </w:tc>
        <w:tc>
          <w:tcPr>
            <w:tcW w:type="dxa" w:w="3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典型结果</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新供应商定标</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生成并行准入、资格、依据、价格和供应源任务</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先候选/试制，条件满足后转正式</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已准入供应商新增物料</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复用主体和合同范围，新增物料资格及价格</w:t>
            </w:r>
          </w:p>
        </w:tc>
        <w:tc>
          <w:tcPr>
            <w:tcW w:type="dxa" w:w="3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新物料供应源</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已有物料新增工厂/站点</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验证范围、产线、物流、资格和采购依据覆盖</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新站点或工厂维度供应源</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年度议价/份额调整</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更新价格版本、目标份额和配额</w:t>
            </w:r>
          </w:p>
        </w:tc>
        <w:tc>
          <w:tcPr>
            <w:tcW w:type="dxa" w:w="3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既有供应源新版本</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紧急一次性采购</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例外审批生成受限关系</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限量限期条件供应源，到期关闭</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风险替代/第二供应源</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定向寻源、试制验证、分阶段配额</w:t>
            </w:r>
          </w:p>
        </w:tc>
        <w:tc>
          <w:tcPr>
            <w:tcW w:type="dxa" w:w="3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备选或正式第二供应源</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历史数据迁移</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清洗供应商/物料/工厂关系并补齐依据证据</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待复核候选或正式供应源</w:t>
            </w:r>
          </w:p>
        </w:tc>
      </w:tr>
    </w:tbl>
    <w:p>
      <w:pPr>
        <w:spacing w:after="40"/>
      </w:pPr>
    </w:p>
    <w:p>
      <w:pPr>
        <w:pStyle w:val="Heading2"/>
      </w:pPr>
      <w:r>
        <w:rPr>
          <w:rFonts w:ascii="Source Han Sans CN" w:hAnsi="Source Han Sans CN" w:eastAsia="Source Han Sans CN" w:cs="Source Han Sans CN"/>
          <w:b/>
          <w:color w:val="1F4E78"/>
          <w:sz w:val="26"/>
        </w:rPr>
        <w:t>12.5 份额、配额与分配</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000"/>
        <w:gridCol w:w="1900"/>
        <w:gridCol w:w="3500"/>
        <w:gridCol w:w="2200"/>
      </w:tblGrid>
      <w:tr>
        <w:trPr>
          <w:tblHeader w:val="true"/>
          <w:cantSplit/>
        </w:trPr>
        <w:tc>
          <w:tcPr>
            <w:tcW w:type="dxa" w:w="2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概念</w:t>
            </w:r>
          </w:p>
        </w:tc>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所属阶段</w:t>
            </w:r>
          </w:p>
        </w:tc>
        <w:tc>
          <w:tcPr>
            <w:tcW w:type="dxa" w:w="3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作用</w:t>
            </w:r>
          </w:p>
        </w:tc>
        <w:tc>
          <w:tcPr>
            <w:tcW w:type="dxa" w:w="2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是否强制</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定标份额</w:t>
            </w:r>
          </w:p>
        </w:tc>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寻源决策</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表达中选时的目标商务承诺</w:t>
            </w:r>
          </w:p>
        </w:tc>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通常是目标，不直接执行每笔需求</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供应配额</w:t>
            </w:r>
          </w:p>
        </w:tc>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供应源治理</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定义一段时期内的来源选择策略、比例或上限</w:t>
            </w:r>
          </w:p>
        </w:tc>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可按策略硬控或预警</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实际分配</w:t>
            </w:r>
          </w:p>
        </w:tc>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采购执行</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把具体需求数量分给具体供应商和交期</w:t>
            </w:r>
          </w:p>
        </w:tc>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形成后续采购指令</w:t>
            </w:r>
          </w:p>
        </w:tc>
      </w:tr>
    </w:tbl>
    <w:p>
      <w:pPr>
        <w:spacing w:after="40"/>
      </w:pP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实际分配算法可综合配额、历史累计量、可用产能、承诺交期、MOQ/MPQ、运输周期、质量等级、风险和成本。第一版建议先提供规则推荐＋人工确认，保留推荐依据和人工调整原因；稳定后再引入优化算法。</w:t>
      </w:r>
    </w:p>
    <w:p>
      <w:pPr>
        <w:pStyle w:val="Heading2"/>
      </w:pPr>
      <w:r>
        <w:rPr>
          <w:rFonts w:ascii="Source Han Sans CN" w:hAnsi="Source Han Sans CN" w:eastAsia="Source Han Sans CN" w:cs="Source Han Sans CN"/>
          <w:b/>
          <w:color w:val="1F4E78"/>
          <w:sz w:val="26"/>
        </w:rPr>
        <w:t>12.6 下单控制规则</w:t>
      </w:r>
    </w:p>
    <w:p>
      <w:pPr>
        <w:numPr>
          <w:ilvl w:val="0"/>
          <w:numId w:val="10"/>
        </w:numPr>
        <w:spacing w:before="0" w:after="80" w:line="293" w:lineRule="auto"/>
        <w:keepLines/>
      </w:pPr>
      <w:r>
        <w:rPr>
          <w:rFonts w:ascii="Source Han Sans CN" w:hAnsi="Source Han Sans CN" w:eastAsia="Source Han Sans CN" w:cs="Source Han Sans CN"/>
          <w:color w:val="1F2937"/>
          <w:sz w:val="21"/>
        </w:rPr>
        <w:t>需求匹配时初检，分配发布和PO发布时必须再次校验，防止期间资格、价格或冻结状态变化；</w:t>
      </w:r>
    </w:p>
    <w:p>
      <w:pPr>
        <w:numPr>
          <w:ilvl w:val="0"/>
          <w:numId w:val="10"/>
        </w:numPr>
        <w:spacing w:before="0" w:after="80" w:line="293" w:lineRule="auto"/>
        <w:keepLines/>
      </w:pPr>
      <w:r>
        <w:rPr>
          <w:rFonts w:ascii="Source Han Sans CN" w:hAnsi="Source Han Sans CN" w:eastAsia="Source Han Sans CN" w:cs="Source Han Sans CN"/>
          <w:color w:val="1F2937"/>
          <w:sz w:val="21"/>
        </w:rPr>
        <w:t>正式生产订单默认只能使用正式供应源；试制、条件和紧急路径必须匹配允许的订单类型；</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供应源范围必须同时覆盖物料/版本、组织、工厂、站点、交付地点及有效期；</w:t>
      </w:r>
    </w:p>
    <w:p>
      <w:pPr>
        <w:numPr>
          <w:ilvl w:val="0"/>
          <w:numId w:val="10"/>
        </w:numPr>
        <w:spacing w:before="0" w:after="80" w:line="293" w:lineRule="auto"/>
        <w:keepLines/>
      </w:pPr>
      <w:r>
        <w:rPr>
          <w:rFonts w:ascii="Source Han Sans CN" w:hAnsi="Source Han Sans CN" w:eastAsia="Source Han Sans CN" w:cs="Source Han Sans CN"/>
          <w:color w:val="1F2937"/>
          <w:sz w:val="21"/>
        </w:rPr>
        <w:t>资格、采购依据和价格条件中任一强制项失效，供应源按规则转限制、暂停或过期；</w:t>
      </w:r>
    </w:p>
    <w:p>
      <w:pPr>
        <w:numPr>
          <w:ilvl w:val="0"/>
          <w:numId w:val="10"/>
        </w:numPr>
        <w:spacing w:before="0" w:after="80" w:line="293" w:lineRule="auto"/>
        <w:keepLines/>
      </w:pPr>
      <w:r>
        <w:rPr>
          <w:rFonts w:ascii="Source Han Sans CN" w:hAnsi="Source Han Sans CN" w:eastAsia="Source Han Sans CN" w:cs="Source Han Sans CN"/>
          <w:color w:val="1F2937"/>
          <w:sz w:val="21"/>
        </w:rPr>
        <w:t>超产能、超配额或偏离目标份额可以是预警、审批或阻断，按品类策略配置；</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供应源变更采用版本化生效，已发布PO继续引用当时快照，不被新版本静默改写。</w:t>
      </w:r>
    </w:p>
    <w:p>
      <w:pPr>
        <w:pStyle w:val="Heading1"/>
      </w:pPr>
      <w:r>
        <w:rPr>
          <w:rFonts w:ascii="Source Han Sans CN" w:hAnsi="Source Han Sans CN" w:eastAsia="Source Han Sans CN" w:cs="Source Han Sans CN"/>
          <w:b/>
          <w:color w:val="1F4E78"/>
          <w:sz w:val="32"/>
        </w:rPr>
        <w:t>13. 采购协同总体设计</w:t>
      </w:r>
    </w:p>
    <w:p>
      <w:pPr>
        <w:pStyle w:val="Heading2"/>
      </w:pPr>
      <w:r>
        <w:rPr>
          <w:rFonts w:ascii="Source Han Sans CN" w:hAnsi="Source Han Sans CN" w:eastAsia="Source Han Sans CN" w:cs="Source Han Sans CN"/>
          <w:b/>
          <w:color w:val="1F4E78"/>
          <w:sz w:val="26"/>
        </w:rPr>
        <w:t>13.1 领域定位</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采购协同承接上游系统已形成的采购需求，完成版本接收、供应源匹配、缺口处理、多供应商实际分配、采购指令/PO协同、供应商承诺以及订单变更。SRM 不进行 MRP 运算，也不把采购申请作为所有制造业需求的唯一形式。</w:t>
      </w:r>
    </w:p>
    <w:p>
      <w:pPr>
        <w:pStyle w:val="Heading2"/>
      </w:pPr>
      <w:r>
        <w:rPr>
          <w:rFonts w:ascii="Source Han Sans CN" w:hAnsi="Source Han Sans CN" w:eastAsia="Source Han Sans CN" w:cs="Source Han Sans CN"/>
          <w:b/>
          <w:color w:val="1F4E78"/>
          <w:sz w:val="26"/>
        </w:rPr>
        <w:t>13.2 采购需求模型</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000"/>
        <w:gridCol w:w="7600"/>
      </w:tblGrid>
      <w:tr>
        <w:trPr>
          <w:tblHeader w:val="true"/>
          <w:cantSplit/>
        </w:trPr>
        <w:tc>
          <w:tcPr>
            <w:tcW w:type="dxa" w:w="2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字段组</w:t>
            </w:r>
          </w:p>
        </w:tc>
        <w:tc>
          <w:tcPr>
            <w:tcW w:type="dxa" w:w="7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关键字段</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身份与来源</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需求号、行号、来源系统/单据、版本、来源时间、幂等键</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组织</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需求法律主体、采购组织、工厂、库存/收货组织、交付地点</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物料</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物料、版本、描述、品类、单位、替代组、项目/BOM引用</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数量与日期</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需求数量、已分配/已下单/已取消数量、需求日期、窗口、优先级</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策略</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采购类型、允许拆分、允许替代、紧急、质量等级、预算/目标价</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状态</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已接收、已校验、匹配中、已匹配、部分/全部缺口、已分配、部分/全部下单、关闭/取消</w:t>
            </w:r>
          </w:p>
        </w:tc>
      </w:tr>
    </w:tbl>
    <w:p>
      <w:pPr>
        <w:spacing w:after="40"/>
      </w:pPr>
    </w:p>
    <w:p>
      <w:pPr>
        <w:pStyle w:val="Heading2"/>
      </w:pPr>
      <w:r>
        <w:rPr>
          <w:rFonts w:ascii="Source Han Sans CN" w:hAnsi="Source Han Sans CN" w:eastAsia="Source Han Sans CN" w:cs="Source Han Sans CN"/>
          <w:b/>
          <w:color w:val="1F4E78"/>
          <w:sz w:val="26"/>
        </w:rPr>
        <w:t>13.3 供应源匹配与缺口</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5000"/>
        <w:gridCol w:w="29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匹配步骤</w:t>
            </w:r>
          </w:p>
        </w:tc>
        <w:tc>
          <w:tcPr>
            <w:tcW w:type="dxa" w:w="5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检查内容</w:t>
            </w:r>
          </w:p>
        </w:tc>
        <w:tc>
          <w:tcPr>
            <w:tcW w:type="dxa" w:w="2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输出</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范围筛选</w:t>
            </w:r>
          </w:p>
        </w:tc>
        <w:tc>
          <w:tcPr>
            <w:tcW w:type="dxa" w:w="5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组织、工厂、物料/版本、站点、交付地点、业务类型</w:t>
            </w:r>
          </w:p>
        </w:tc>
        <w:tc>
          <w:tcPr>
            <w:tcW w:type="dxa" w:w="2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候选供应源</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资格校验</w:t>
            </w:r>
          </w:p>
        </w:tc>
        <w:tc>
          <w:tcPr>
            <w:tcW w:type="dxa" w:w="5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主体/站点状态、物料资格、采购依据、价格和有效期</w:t>
            </w:r>
          </w:p>
        </w:tc>
        <w:tc>
          <w:tcPr>
            <w:tcW w:type="dxa" w:w="2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合规候选及排除原因</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能力交期</w:t>
            </w:r>
          </w:p>
        </w:tc>
        <w:tc>
          <w:tcPr>
            <w:tcW w:type="dxa" w:w="5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MOQ/MPQ、产能、交付周期、日历、已承诺量和需求日期</w:t>
            </w:r>
          </w:p>
        </w:tc>
        <w:tc>
          <w:tcPr>
            <w:tcW w:type="dxa" w:w="2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可承诺数量/日期</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策略风险</w:t>
            </w:r>
          </w:p>
        </w:tc>
        <w:tc>
          <w:tcPr>
            <w:tcW w:type="dxa" w:w="5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配额、质量等级、风险、单一来源、冻结、限制和例外</w:t>
            </w:r>
          </w:p>
        </w:tc>
        <w:tc>
          <w:tcPr>
            <w:tcW w:type="dxa" w:w="2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推荐排序与审批要求</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数量汇总</w:t>
            </w:r>
          </w:p>
        </w:tc>
        <w:tc>
          <w:tcPr>
            <w:tcW w:type="dxa" w:w="5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候选供应量与需求量比较</w:t>
            </w:r>
          </w:p>
        </w:tc>
        <w:tc>
          <w:tcPr>
            <w:tcW w:type="dxa" w:w="2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完全满足、部分缺口或完全缺口</w:t>
            </w:r>
          </w:p>
        </w:tc>
      </w:tr>
    </w:tbl>
    <w:p>
      <w:pPr>
        <w:spacing w:after="40"/>
      </w:pP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缺口必须保留需求行引用、缺口数量、原因、最晚解决时间、责任人和处置路径。缺口可以通过现有供应源加量、交期调整、替代料、跨工厂调配、紧急例外或新寻源关闭，不能只用“已处理”状态。</w:t>
      </w:r>
    </w:p>
    <w:p>
      <w:pPr>
        <w:pStyle w:val="Heading2"/>
      </w:pPr>
      <w:r>
        <w:rPr>
          <w:rFonts w:ascii="Source Han Sans CN" w:hAnsi="Source Han Sans CN" w:eastAsia="Source Han Sans CN" w:cs="Source Han Sans CN"/>
          <w:b/>
          <w:color w:val="1F4E78"/>
          <w:sz w:val="26"/>
        </w:rPr>
        <w:t>13.4 实际需求分配</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000"/>
        <w:gridCol w:w="7600"/>
      </w:tblGrid>
      <w:tr>
        <w:trPr>
          <w:tblHeader w:val="true"/>
          <w:cantSplit/>
        </w:trPr>
        <w:tc>
          <w:tcPr>
            <w:tcW w:type="dxa" w:w="2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能力</w:t>
            </w:r>
          </w:p>
        </w:tc>
        <w:tc>
          <w:tcPr>
            <w:tcW w:type="dxa" w:w="7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总体要求</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自动建议</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按配额、产能、交期、MOQ/MPQ、成本、风险和历史履约生成可解释建议。</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人工调整</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采购可调整供应商、数量和日期；系统展示偏离并要求原因/审批。</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多供应商拆分</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同一需求行可分给多个供应商；分配总量不得无控制超需求量。</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分批与窗口</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支持同一供应商多个交付批次；保留需求日期与承诺日期差异。</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发布与撤回</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发布后锁定版本；未转PO部分可按权限撤回/重分配。</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来源追溯</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分配行关联需求、供应源版本、价格、配额、推荐依据和审批。</w:t>
            </w:r>
          </w:p>
        </w:tc>
      </w:tr>
    </w:tbl>
    <w:p>
      <w:pPr>
        <w:spacing w:after="40"/>
      </w:pPr>
    </w:p>
    <w:p>
      <w:pPr>
        <w:pStyle w:val="Heading2"/>
      </w:pPr>
      <w:r>
        <w:rPr>
          <w:rFonts w:ascii="Source Han Sans CN" w:hAnsi="Source Han Sans CN" w:eastAsia="Source Han Sans CN" w:cs="Source Han Sans CN"/>
          <w:b/>
          <w:color w:val="1F4E78"/>
          <w:sz w:val="26"/>
        </w:rPr>
        <w:t>13.5 正式PO权属与两种运行模式</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500"/>
        <w:gridCol w:w="2600"/>
        <w:gridCol w:w="4500"/>
      </w:tblGrid>
      <w:tr>
        <w:trPr>
          <w:tblHeader w:val="true"/>
          <w:cantSplit/>
        </w:trPr>
        <w:tc>
          <w:tcPr>
            <w:tcW w:type="dxa" w:w="2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模式</w:t>
            </w:r>
          </w:p>
        </w:tc>
        <w:tc>
          <w:tcPr>
            <w:tcW w:type="dxa" w:w="2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适用</w:t>
            </w:r>
          </w:p>
        </w:tc>
        <w:tc>
          <w:tcPr>
            <w:tcW w:type="dxa" w:w="4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处理方式</w:t>
            </w:r>
          </w:p>
        </w:tc>
      </w:tr>
      <w:tr>
        <w:trPr>
          <w:cantSplit/>
        </w:trPr>
        <w:tc>
          <w:tcPr>
            <w:tcW w:type="dxa" w:w="2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ERP权威模式（目标）</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企业已存在ERP采购与财务体系</w:t>
            </w:r>
          </w:p>
        </w:tc>
        <w:tc>
          <w:tcPr>
            <w:tcW w:type="dxa" w:w="4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SRM输出批准分配/采购指令；ERP生成正式PO号和版本；SRM接收并向供应商发布、协同确认。</w:t>
            </w:r>
          </w:p>
        </w:tc>
      </w:tr>
      <w:tr>
        <w:trPr>
          <w:cantSplit/>
        </w:trPr>
        <w:tc>
          <w:tcPr>
            <w:tcW w:type="dxa" w:w="2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SRM原生模式（过渡/独立）</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新系统学习、试点或暂未集成ERP</w:t>
            </w:r>
          </w:p>
        </w:tc>
        <w:tc>
          <w:tcPr>
            <w:tcW w:type="dxa" w:w="4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SRM生成正式PO并执行审批；保留外部映射字段，后续切换ERP时不改变领域模型。</w:t>
            </w:r>
          </w:p>
        </w:tc>
      </w:tr>
    </w:tbl>
    <w:p>
      <w:pPr>
        <w:spacing w:after="40"/>
      </w:pPr>
    </w:p>
    <w:p>
      <w:pPr>
        <w:spacing w:before="120" w:after="200" w:line="283" w:lineRule="auto"/>
        <w:ind w:left="173" w:right="115"/>
        <w:shd w:fill="F4F7FB"/>
        <w:pBdr>
          <w:left w:val="single" w:sz="20" w:space="8" w:color="1F4E78"/>
        </w:pBdr>
        <w:keepLines/>
      </w:pPr>
      <w:r>
        <w:rPr>
          <w:rFonts w:ascii="Source Han Sans CN" w:hAnsi="Source Han Sans CN" w:eastAsia="Source Han Sans CN" w:cs="Source Han Sans CN"/>
          <w:b/>
          <w:color w:val="1F4E78"/>
          <w:sz w:val="20"/>
        </w:rPr>
        <w:t xml:space="preserve">总体建议　</w:t>
      </w:r>
      <w:r>
        <w:rPr>
          <w:rFonts w:ascii="Source Han Sans CN" w:hAnsi="Source Han Sans CN" w:eastAsia="Source Han Sans CN" w:cs="Source Han Sans CN"/>
          <w:color w:val="1F2937"/>
          <w:sz w:val="20"/>
        </w:rPr>
        <w:t>企业目标架构应由ERP持有正式PO、收货过账和应付记账；SRM持有供应源确定、供应商可见订单副本、承诺、差异和协同历史。</w:t>
      </w:r>
    </w:p>
    <w:p>
      <w:pPr>
        <w:pStyle w:val="Heading2"/>
      </w:pPr>
      <w:r>
        <w:rPr>
          <w:rFonts w:ascii="Source Han Sans CN" w:hAnsi="Source Han Sans CN" w:eastAsia="Source Han Sans CN" w:cs="Source Han Sans CN"/>
          <w:b/>
          <w:color w:val="1F4E78"/>
          <w:sz w:val="26"/>
        </w:rPr>
        <w:t>13.6 PO协同与状态</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建议订单状态：草稿/待同步→待审批→已发布→待供应商确认→已确认/有差异→执行中→部分完成→已完成→已关闭；并支持变更中、已取消。业务状态与集成状态分开，避免接口失败导致业务含义混乱。</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75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供应商响应</w:t>
            </w:r>
          </w:p>
        </w:tc>
        <w:tc>
          <w:tcPr>
            <w:tcW w:type="dxa" w:w="7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系统处理</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全部接受</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记录确认版本和时间，更新承诺数量/日期，进入执行。</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数量差异</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按容差自动接受或生成采购确认任务，可调整、拆分或转移供应商。</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交期差异</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比较需求日期和容差，形成交付风险、审批或变更。</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价格/条款差异</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不得由供应商直接修改PO；转为差异协商或正式变更。</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拒绝</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记录原因，冻结可发运量，触发重分配、变更或取消。</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分批承诺</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形成多个承诺计划行，合计不超过订单行可确认数量及容差。</w:t>
            </w:r>
          </w:p>
        </w:tc>
      </w:tr>
    </w:tbl>
    <w:p>
      <w:pPr>
        <w:spacing w:after="40"/>
      </w:pPr>
    </w:p>
    <w:p>
      <w:pPr>
        <w:pStyle w:val="Heading2"/>
      </w:pPr>
      <w:r>
        <w:rPr>
          <w:rFonts w:ascii="Source Han Sans CN" w:hAnsi="Source Han Sans CN" w:eastAsia="Source Han Sans CN" w:cs="Source Han Sans CN"/>
          <w:b/>
          <w:color w:val="1F4E78"/>
          <w:sz w:val="26"/>
        </w:rPr>
        <w:t>13.7 变更与取消</w:t>
      </w:r>
    </w:p>
    <w:p>
      <w:pPr>
        <w:numPr>
          <w:ilvl w:val="0"/>
          <w:numId w:val="10"/>
        </w:numPr>
        <w:spacing w:before="0" w:after="80" w:line="293" w:lineRule="auto"/>
        <w:keepLines/>
      </w:pPr>
      <w:r>
        <w:rPr>
          <w:rFonts w:ascii="Source Han Sans CN" w:hAnsi="Source Han Sans CN" w:eastAsia="Source Han Sans CN" w:cs="Source Han Sans CN"/>
          <w:color w:val="1F2937"/>
          <w:sz w:val="21"/>
        </w:rPr>
        <w:t>PO数量、价格、日期、工厂、收货地点或条款变化必须形成新版本，不覆盖供应商已确认版本；</w:t>
      </w:r>
    </w:p>
    <w:p>
      <w:pPr>
        <w:numPr>
          <w:ilvl w:val="0"/>
          <w:numId w:val="10"/>
        </w:numPr>
        <w:spacing w:before="0" w:after="80" w:line="293" w:lineRule="auto"/>
        <w:keepLines/>
      </w:pPr>
      <w:r>
        <w:rPr>
          <w:rFonts w:ascii="Source Han Sans CN" w:hAnsi="Source Han Sans CN" w:eastAsia="Source Han Sans CN" w:cs="Source Han Sans CN"/>
          <w:color w:val="1F2937"/>
          <w:sz w:val="21"/>
        </w:rPr>
        <w:t>变更应评估已发运、已收货、已检验、已对账和已开票数量，不能对已执行事实反向取消；</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供应商需对需要确认的变更重新响应；原确认在变更影响范围内失效；</w:t>
      </w:r>
    </w:p>
    <w:p>
      <w:pPr>
        <w:numPr>
          <w:ilvl w:val="0"/>
          <w:numId w:val="10"/>
        </w:numPr>
        <w:spacing w:before="0" w:after="80" w:line="293" w:lineRule="auto"/>
        <w:keepLines/>
      </w:pPr>
      <w:r>
        <w:rPr>
          <w:rFonts w:ascii="Source Han Sans CN" w:hAnsi="Source Han Sans CN" w:eastAsia="Source Han Sans CN" w:cs="Source Han Sans CN"/>
          <w:color w:val="1F2937"/>
          <w:sz w:val="21"/>
        </w:rPr>
        <w:t>取消应区分未执行取消、剩余取消和整单关闭，并向ERP/WMS/财务同步；</w:t>
      </w:r>
    </w:p>
    <w:p>
      <w:pPr>
        <w:numPr>
          <w:ilvl w:val="0"/>
          <w:numId w:val="10"/>
        </w:numPr>
        <w:spacing w:before="0" w:after="80" w:line="293" w:lineRule="auto"/>
        <w:keepLines/>
      </w:pPr>
      <w:r>
        <w:rPr>
          <w:rFonts w:ascii="Source Han Sans CN" w:hAnsi="Source Han Sans CN" w:eastAsia="Source Han Sans CN" w:cs="Source Han Sans CN"/>
          <w:color w:val="1F2937"/>
          <w:sz w:val="21"/>
        </w:rPr>
        <w:t>接口重复、乱序或延迟时按外部版本与事件序列处理，拒绝旧版本覆盖新版本。</w:t>
      </w:r>
    </w:p>
    <w:p>
      <w:pPr>
        <w:pStyle w:val="Heading1"/>
      </w:pPr>
      <w:r>
        <w:rPr>
          <w:rFonts w:ascii="Source Han Sans CN" w:hAnsi="Source Han Sans CN" w:eastAsia="Source Han Sans CN" w:cs="Source Han Sans CN"/>
          <w:b/>
          <w:color w:val="1F4E78"/>
          <w:sz w:val="32"/>
        </w:rPr>
        <w:t>14. 交付与收货协同总体设计</w:t>
      </w:r>
    </w:p>
    <w:p>
      <w:pPr>
        <w:pStyle w:val="Heading2"/>
      </w:pPr>
      <w:r>
        <w:rPr>
          <w:rFonts w:ascii="Source Han Sans CN" w:hAnsi="Source Han Sans CN" w:eastAsia="Source Han Sans CN" w:cs="Source Han Sans CN"/>
          <w:b/>
          <w:color w:val="1F4E78"/>
          <w:sz w:val="26"/>
        </w:rPr>
        <w:t>14.1 业务范围</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交付与收货协同从可发运订单/计划开始，覆盖供应商交付计划、ASN、包装标签、发运在途、预约、到货、收货结果、数量差异和退货发运。库存过账和仓储作业仍由WMS/ERP负责，SRM保存供应商协同视图和跨单据追溯。</w:t>
      </w:r>
    </w:p>
    <w:p>
      <w:pPr>
        <w:pStyle w:val="Heading2"/>
      </w:pPr>
      <w:r>
        <w:rPr>
          <w:rFonts w:ascii="Source Han Sans CN" w:hAnsi="Source Han Sans CN" w:eastAsia="Source Han Sans CN" w:cs="Source Han Sans CN"/>
          <w:b/>
          <w:color w:val="1F4E78"/>
          <w:sz w:val="26"/>
        </w:rPr>
        <w:t>14.2 ASN模型与控制</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77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内容</w:t>
            </w:r>
          </w:p>
        </w:tc>
        <w:tc>
          <w:tcPr>
            <w:tcW w:type="dxa" w:w="7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设计要求</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来源</w:t>
            </w:r>
          </w:p>
        </w:tc>
        <w:tc>
          <w:tcPr>
            <w:tcW w:type="dxa" w:w="7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必须引用有效PO/计划行及供应商确认版本；非PO ASN仅在策略允许的委外/寄售场景启用。</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数量</w:t>
            </w:r>
          </w:p>
        </w:tc>
        <w:tc>
          <w:tcPr>
            <w:tcW w:type="dxa" w:w="7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不超过可发运数量＋容差；考虑已创建、已取消、已收货和在途ASN。</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批次与序列</w:t>
            </w:r>
          </w:p>
        </w:tc>
        <w:tc>
          <w:tcPr>
            <w:tcW w:type="dxa" w:w="7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记录供应商批次、生产日期、有效期、序列号及质量证书引用。</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包装</w:t>
            </w:r>
          </w:p>
        </w:tc>
        <w:tc>
          <w:tcPr>
            <w:tcW w:type="dxa" w:w="7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箱/托/容器层级、包装数量、毛净重、尺寸、SSCC/条码和标签模板。</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物流</w:t>
            </w:r>
          </w:p>
        </w:tc>
        <w:tc>
          <w:tcPr>
            <w:tcW w:type="dxa" w:w="7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发货时间、预计到达、承运商、车辆/运单、运输方式、温控或危险品属性。</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状态</w:t>
            </w:r>
          </w:p>
        </w:tc>
        <w:tc>
          <w:tcPr>
            <w:tcW w:type="dxa" w:w="7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草稿、已提交、已确认、已发运、在途、已到达、部分/全部收货、异常、取消。</w:t>
            </w:r>
          </w:p>
        </w:tc>
      </w:tr>
    </w:tbl>
    <w:p>
      <w:pPr>
        <w:spacing w:after="40"/>
      </w:pPr>
    </w:p>
    <w:p>
      <w:pPr>
        <w:pStyle w:val="Heading2"/>
      </w:pPr>
      <w:r>
        <w:rPr>
          <w:rFonts w:ascii="Source Han Sans CN" w:hAnsi="Source Han Sans CN" w:eastAsia="Source Han Sans CN" w:cs="Source Han Sans CN"/>
          <w:b/>
          <w:color w:val="1F4E78"/>
          <w:sz w:val="26"/>
        </w:rPr>
        <w:t>14.3 到货、收货与差异</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2400"/>
        <w:gridCol w:w="54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事件</w:t>
            </w:r>
          </w:p>
        </w:tc>
        <w:tc>
          <w:tcPr>
            <w:tcW w:type="dxa" w:w="2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权威来源</w:t>
            </w:r>
          </w:p>
        </w:tc>
        <w:tc>
          <w:tcPr>
            <w:tcW w:type="dxa" w:w="5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SRM处理</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到货登记/门岗</w:t>
            </w:r>
          </w:p>
        </w:tc>
        <w:tc>
          <w:tcPr>
            <w:tcW w:type="dxa" w:w="2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SRM/WMS/预约系统</w:t>
            </w:r>
          </w:p>
        </w:tc>
        <w:tc>
          <w:tcPr>
            <w:tcW w:type="dxa" w:w="5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关联ASN、时间、车辆、包装和异常照片。</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数量清点</w:t>
            </w:r>
          </w:p>
        </w:tc>
        <w:tc>
          <w:tcPr>
            <w:tcW w:type="dxa" w:w="2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WMS/ERP收货</w:t>
            </w:r>
          </w:p>
        </w:tc>
        <w:tc>
          <w:tcPr>
            <w:tcW w:type="dxa" w:w="5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展示收货、拒收、短少、超收、破损和待处理数量。</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收货过账</w:t>
            </w:r>
          </w:p>
        </w:tc>
        <w:tc>
          <w:tcPr>
            <w:tcW w:type="dxa" w:w="2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ERP/WMS</w:t>
            </w:r>
          </w:p>
        </w:tc>
        <w:tc>
          <w:tcPr>
            <w:tcW w:type="dxa" w:w="5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接收过账号与版本，更新可检验/可结算基础。</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收货差异</w:t>
            </w:r>
          </w:p>
        </w:tc>
        <w:tc>
          <w:tcPr>
            <w:tcW w:type="dxa" w:w="2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SRM协同对象</w:t>
            </w:r>
          </w:p>
        </w:tc>
        <w:tc>
          <w:tcPr>
            <w:tcW w:type="dxa" w:w="5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指定责任方，处理补发、退货、接受或PO变更。</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退货发运</w:t>
            </w:r>
          </w:p>
        </w:tc>
        <w:tc>
          <w:tcPr>
            <w:tcW w:type="dxa" w:w="2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QMS/WMS/ERP＋SRM</w:t>
            </w:r>
          </w:p>
        </w:tc>
        <w:tc>
          <w:tcPr>
            <w:tcW w:type="dxa" w:w="5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生成退货协同、物流信息和供应商签收结果。</w:t>
            </w:r>
          </w:p>
        </w:tc>
      </w:tr>
    </w:tbl>
    <w:p>
      <w:pPr>
        <w:spacing w:after="40"/>
      </w:pPr>
    </w:p>
    <w:p>
      <w:pPr>
        <w:pStyle w:val="Heading2"/>
      </w:pPr>
      <w:r>
        <w:rPr>
          <w:rFonts w:ascii="Source Han Sans CN" w:hAnsi="Source Han Sans CN" w:eastAsia="Source Han Sans CN" w:cs="Source Han Sans CN"/>
          <w:b/>
          <w:color w:val="1F4E78"/>
          <w:sz w:val="26"/>
        </w:rPr>
        <w:t>14.4 交付异常与预警</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供应商承诺晚于需求日期或预计到达晚于承诺日期；</w:t>
      </w:r>
    </w:p>
    <w:p>
      <w:pPr>
        <w:numPr>
          <w:ilvl w:val="0"/>
          <w:numId w:val="10"/>
        </w:numPr>
        <w:spacing w:before="0" w:after="80" w:line="293" w:lineRule="auto"/>
        <w:keepLines/>
      </w:pPr>
      <w:r>
        <w:rPr>
          <w:rFonts w:ascii="Source Han Sans CN" w:hAnsi="Source Han Sans CN" w:eastAsia="Source Han Sans CN" w:cs="Source Han Sans CN"/>
          <w:color w:val="1F2937"/>
          <w:sz w:val="21"/>
        </w:rPr>
        <w:t>ASN未按计划创建、重复创建、超量、关键批次/质保资料缺失；</w:t>
      </w:r>
    </w:p>
    <w:p>
      <w:pPr>
        <w:numPr>
          <w:ilvl w:val="0"/>
          <w:numId w:val="10"/>
        </w:numPr>
        <w:spacing w:before="0" w:after="80" w:line="293" w:lineRule="auto"/>
        <w:keepLines/>
      </w:pPr>
      <w:r>
        <w:rPr>
          <w:rFonts w:ascii="Source Han Sans CN" w:hAnsi="Source Han Sans CN" w:eastAsia="Source Han Sans CN" w:cs="Source Han Sans CN"/>
          <w:color w:val="1F2937"/>
          <w:sz w:val="21"/>
        </w:rPr>
        <w:t>运输节点长时间未更新、预约冲突、车辆/包装/标签不符合；</w:t>
      </w:r>
    </w:p>
    <w:p>
      <w:pPr>
        <w:numPr>
          <w:ilvl w:val="0"/>
          <w:numId w:val="10"/>
        </w:numPr>
        <w:spacing w:before="0" w:after="80" w:line="293" w:lineRule="auto"/>
        <w:keepLines/>
      </w:pPr>
      <w:r>
        <w:rPr>
          <w:rFonts w:ascii="Source Han Sans CN" w:hAnsi="Source Han Sans CN" w:eastAsia="Source Han Sans CN" w:cs="Source Han Sans CN"/>
          <w:color w:val="1F2937"/>
          <w:sz w:val="21"/>
        </w:rPr>
        <w:t>到货短少、超收、破损、错料、错工厂或无订单到货；</w:t>
      </w:r>
    </w:p>
    <w:p>
      <w:pPr>
        <w:numPr>
          <w:ilvl w:val="0"/>
          <w:numId w:val="10"/>
        </w:numPr>
        <w:spacing w:before="0" w:after="80" w:line="293" w:lineRule="auto"/>
        <w:keepLines/>
      </w:pPr>
      <w:r>
        <w:rPr>
          <w:rFonts w:ascii="Source Han Sans CN" w:hAnsi="Source Han Sans CN" w:eastAsia="Source Han Sans CN" w:cs="Source Han Sans CN"/>
          <w:color w:val="1F2937"/>
          <w:sz w:val="21"/>
        </w:rPr>
        <w:t>收货结果与ASN/PO数量长期不一致，影响对账和发票；</w:t>
      </w:r>
    </w:p>
    <w:p>
      <w:pPr>
        <w:numPr>
          <w:ilvl w:val="0"/>
          <w:numId w:val="10"/>
        </w:numPr>
        <w:spacing w:before="0" w:after="80" w:line="293" w:lineRule="auto"/>
        <w:keepLines/>
      </w:pPr>
      <w:r>
        <w:rPr>
          <w:rFonts w:ascii="Source Han Sans CN" w:hAnsi="Source Han Sans CN" w:eastAsia="Source Han Sans CN" w:cs="Source Han Sans CN"/>
          <w:color w:val="1F2937"/>
          <w:sz w:val="21"/>
        </w:rPr>
        <w:t>退货未发出、供应商未签收或补货未按约完成。</w:t>
      </w:r>
    </w:p>
    <w:p>
      <w:pPr>
        <w:pStyle w:val="Heading1"/>
      </w:pPr>
      <w:r>
        <w:rPr>
          <w:rFonts w:ascii="Source Han Sans CN" w:hAnsi="Source Han Sans CN" w:eastAsia="Source Han Sans CN" w:cs="Source Han Sans CN"/>
          <w:b/>
          <w:color w:val="1F4E78"/>
          <w:sz w:val="32"/>
        </w:rPr>
        <w:t>15. 供应商质量管理总体设计</w:t>
      </w:r>
    </w:p>
    <w:p>
      <w:pPr>
        <w:pStyle w:val="Heading2"/>
      </w:pPr>
      <w:r>
        <w:rPr>
          <w:rFonts w:ascii="Source Han Sans CN" w:hAnsi="Source Han Sans CN" w:eastAsia="Source Han Sans CN" w:cs="Source Han Sans CN"/>
          <w:b/>
          <w:color w:val="1F4E78"/>
          <w:sz w:val="26"/>
        </w:rPr>
        <w:t>15.1 质量主线</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供应商质量管理覆盖从供应商体系审核、技术质量预审、物料资格、样件/试制、量产认可，到来料检验结果、质量异常、SCAR/8D、返工退货复验和供应商过程变更。它不是从IQC不合格才开始，也不应把物料资格拆成孤立模块。</w:t>
      </w:r>
    </w:p>
    <w:p>
      <w:pPr>
        <w:pStyle w:val="Heading2"/>
      </w:pPr>
      <w:r>
        <w:rPr>
          <w:rFonts w:ascii="Source Han Sans CN" w:hAnsi="Source Han Sans CN" w:eastAsia="Source Han Sans CN" w:cs="Source Han Sans CN"/>
          <w:b/>
          <w:color w:val="1F4E78"/>
          <w:sz w:val="26"/>
        </w:rPr>
        <w:t>15.2 分层质量对象</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4300"/>
        <w:gridCol w:w="36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层级</w:t>
            </w:r>
          </w:p>
        </w:tc>
        <w:tc>
          <w:tcPr>
            <w:tcW w:type="dxa" w:w="4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对象与结论</w:t>
            </w:r>
          </w:p>
        </w:tc>
        <w:tc>
          <w:tcPr>
            <w:tcW w:type="dxa" w:w="3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影响</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主体/体系</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质量体系证书、现场审核、过程成熟度、社会责任和合规</w:t>
            </w:r>
          </w:p>
        </w:tc>
        <w:tc>
          <w:tcPr>
            <w:tcW w:type="dxa" w:w="3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影响主体/站点准入及寻源资格</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站点/产线</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生产地点、产线、设备、关键工艺、产能和变更</w:t>
            </w:r>
          </w:p>
        </w:tc>
        <w:tc>
          <w:tcPr>
            <w:tcW w:type="dxa" w:w="3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影响站点和工厂范围</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物料/版本</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技术评审、样件、FAI、试制、PPAP/量产认可</w:t>
            </w:r>
          </w:p>
        </w:tc>
        <w:tc>
          <w:tcPr>
            <w:tcW w:type="dxa" w:w="3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决定物料资格及供应源状态</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批次/交付</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COC、检验、放行、特采、隔离和追溯</w:t>
            </w:r>
          </w:p>
        </w:tc>
        <w:tc>
          <w:tcPr>
            <w:tcW w:type="dxa" w:w="3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影响收货、使用和可结算数量</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问题/整改</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NCR、SCAR、8D/CAPA、责任、遏制、根因和永久措施</w:t>
            </w:r>
          </w:p>
        </w:tc>
        <w:tc>
          <w:tcPr>
            <w:tcW w:type="dxa" w:w="3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影响风险、绩效、限制及复验</w:t>
            </w:r>
          </w:p>
        </w:tc>
      </w:tr>
    </w:tbl>
    <w:p>
      <w:pPr>
        <w:spacing w:after="40"/>
      </w:pPr>
    </w:p>
    <w:p>
      <w:pPr>
        <w:pStyle w:val="Heading2"/>
      </w:pPr>
      <w:r>
        <w:rPr>
          <w:rFonts w:ascii="Source Han Sans CN" w:hAnsi="Source Han Sans CN" w:eastAsia="Source Han Sans CN" w:cs="Source Han Sans CN"/>
          <w:b/>
          <w:color w:val="1F4E78"/>
          <w:sz w:val="26"/>
        </w:rPr>
        <w:t>15.3 物料资格状态</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4500"/>
        <w:gridCol w:w="33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状态</w:t>
            </w:r>
          </w:p>
        </w:tc>
        <w:tc>
          <w:tcPr>
            <w:tcW w:type="dxa" w:w="4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含义</w:t>
            </w:r>
          </w:p>
        </w:tc>
        <w:tc>
          <w:tcPr>
            <w:tcW w:type="dxa" w:w="3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供应源影响</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待评估</w:t>
            </w:r>
          </w:p>
        </w:tc>
        <w:tc>
          <w:tcPr>
            <w:tcW w:type="dxa" w:w="4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尚未开始或资料不完整</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候选供应源不可正式下单</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技术评审中</w:t>
            </w:r>
          </w:p>
        </w:tc>
        <w:tc>
          <w:tcPr>
            <w:tcW w:type="dxa" w:w="4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图纸、材料、工艺和能力评审</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可按策略继续报价，不得量产</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样件/试制中</w:t>
            </w:r>
          </w:p>
        </w:tc>
        <w:tc>
          <w:tcPr>
            <w:tcW w:type="dxa" w:w="4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样品、首件或小批验证</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仅允许试制供应源和受控订单</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条件通过</w:t>
            </w:r>
          </w:p>
        </w:tc>
        <w:tc>
          <w:tcPr>
            <w:tcW w:type="dxa" w:w="4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存在需按期关闭的偏差或限制</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可形成条件供应源，受数量/期限/工厂限制</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量产认可</w:t>
            </w:r>
          </w:p>
        </w:tc>
        <w:tc>
          <w:tcPr>
            <w:tcW w:type="dxa" w:w="4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满足量产技术质量要求</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满足其他关口后可激活正式供应源</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暂停/撤销</w:t>
            </w:r>
          </w:p>
        </w:tc>
        <w:tc>
          <w:tcPr>
            <w:tcW w:type="dxa" w:w="4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变更、重大质量或逾期导致资格失效</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关联供应源限制或暂停，新业务阻断</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到期</w:t>
            </w:r>
          </w:p>
        </w:tc>
        <w:tc>
          <w:tcPr>
            <w:tcW w:type="dxa" w:w="4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资格有效期结束需复验/续期</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按策略预警、宽限或阻断</w:t>
            </w:r>
          </w:p>
        </w:tc>
      </w:tr>
    </w:tbl>
    <w:p>
      <w:pPr>
        <w:spacing w:after="40"/>
      </w:pPr>
    </w:p>
    <w:p>
      <w:pPr>
        <w:pStyle w:val="Heading2"/>
      </w:pPr>
      <w:r>
        <w:rPr>
          <w:rFonts w:ascii="Source Han Sans CN" w:hAnsi="Source Han Sans CN" w:eastAsia="Source Han Sans CN" w:cs="Source Han Sans CN"/>
          <w:b/>
          <w:color w:val="1F4E78"/>
          <w:sz w:val="26"/>
        </w:rPr>
        <w:t>15.4 APQP/PPAP与行业适配</w:t>
      </w:r>
    </w:p>
    <w:p>
      <w:pPr>
        <w:spacing w:before="120" w:after="200" w:line="283" w:lineRule="auto"/>
        <w:ind w:left="173" w:right="115"/>
        <w:shd w:fill="FFF8E6"/>
        <w:pBdr>
          <w:left w:val="single" w:sz="20" w:space="8" w:color="8A6116"/>
        </w:pBdr>
        <w:keepLines/>
      </w:pPr>
      <w:r>
        <w:rPr>
          <w:rFonts w:ascii="Source Han Sans CN" w:hAnsi="Source Han Sans CN" w:eastAsia="Source Han Sans CN" w:cs="Source Han Sans CN"/>
          <w:b/>
          <w:color w:val="8A6116"/>
          <w:sz w:val="20"/>
        </w:rPr>
        <w:t xml:space="preserve">范围控制　</w:t>
      </w:r>
      <w:r>
        <w:rPr>
          <w:rFonts w:ascii="Source Han Sans CN" w:hAnsi="Source Han Sans CN" w:eastAsia="Source Han Sans CN" w:cs="Source Han Sans CN"/>
          <w:color w:val="1F2937"/>
          <w:sz w:val="20"/>
        </w:rPr>
        <w:t>APQP、PPAP、FAI/首件、PSW等能力通过质量项目模板配置。汽车、航空等高要求行业可启用完整阶段门；消费电子或一般制造可使用简化的技术评审、样件、试制和量产认可流程。</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3800"/>
        <w:gridCol w:w="41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能力</w:t>
            </w:r>
          </w:p>
        </w:tc>
        <w:tc>
          <w:tcPr>
            <w:tcW w:type="dxa" w:w="3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第一版建议</w:t>
            </w:r>
          </w:p>
        </w:tc>
        <w:tc>
          <w:tcPr>
            <w:tcW w:type="dxa" w:w="4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后续增强</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质量项目</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阶段、任务、责任人、计划/实际日期、交付物和关口</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模板库、项目复制、跨物料批量计划</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样件/首件</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样件申请、发运、检验、问题和结论</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特性级检验、气泡图、测量设备追溯</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量产认可</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提交清单、审核、条件、有效期和版本</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PPAP等级、PSW、FMEA/控制计划关联</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供应商变更</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人机料法环/站点/工艺/材料变更申请与审批</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风险分级、再验证范围自动建议</w:t>
            </w:r>
          </w:p>
        </w:tc>
      </w:tr>
    </w:tbl>
    <w:p>
      <w:pPr>
        <w:spacing w:after="40"/>
      </w:pPr>
    </w:p>
    <w:p>
      <w:pPr>
        <w:pStyle w:val="Heading2"/>
      </w:pPr>
      <w:r>
        <w:rPr>
          <w:rFonts w:ascii="Source Han Sans CN" w:hAnsi="Source Han Sans CN" w:eastAsia="Source Han Sans CN" w:cs="Source Han Sans CN"/>
          <w:b/>
          <w:color w:val="1F4E78"/>
          <w:sz w:val="26"/>
        </w:rPr>
        <w:t>15.5 IQC与质量异常闭环</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4700"/>
        <w:gridCol w:w="31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阶段</w:t>
            </w:r>
          </w:p>
        </w:tc>
        <w:tc>
          <w:tcPr>
            <w:tcW w:type="dxa" w:w="4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核心动作</w:t>
            </w:r>
          </w:p>
        </w:tc>
        <w:tc>
          <w:tcPr>
            <w:tcW w:type="dxa" w:w="3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状态/输出</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检验结果接收</w:t>
            </w:r>
          </w:p>
        </w:tc>
        <w:tc>
          <w:tcPr>
            <w:tcW w:type="dxa" w:w="4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从QMS/ERP接收批次、样本、特性、结论和不合格数量</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合格、让步/特采、拒收、待判</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异常创建</w:t>
            </w:r>
          </w:p>
        </w:tc>
        <w:tc>
          <w:tcPr>
            <w:tcW w:type="dxa" w:w="4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关联PO、ASN、收货、物料、批次、供应商站点和影响范围</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NCR/质量通知</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围堵与处置</w:t>
            </w:r>
          </w:p>
        </w:tc>
        <w:tc>
          <w:tcPr>
            <w:tcW w:type="dxa" w:w="4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隔离、停线影响、库存筛选、补货、返工、退货或特采</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临时措施和业务处置</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原因与整改</w:t>
            </w:r>
          </w:p>
        </w:tc>
        <w:tc>
          <w:tcPr>
            <w:tcW w:type="dxa" w:w="4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供应商提交原因、遏制、纠正和预防措施，内部评审</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SCAR/8D/CAPA</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验证与关闭</w:t>
            </w:r>
          </w:p>
        </w:tc>
        <w:tc>
          <w:tcPr>
            <w:tcW w:type="dxa" w:w="4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效果验证、复验、重复问题检查、责任与成本确认</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关闭、重新打开或升级</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治理反馈</w:t>
            </w:r>
          </w:p>
        </w:tc>
        <w:tc>
          <w:tcPr>
            <w:tcW w:type="dxa" w:w="4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更新质量绩效、风险、资格和供应源限制</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扣分、改善、暂停或重新认可</w:t>
            </w:r>
          </w:p>
        </w:tc>
      </w:tr>
    </w:tbl>
    <w:p>
      <w:pPr>
        <w:spacing w:after="40"/>
      </w:pPr>
    </w:p>
    <w:p>
      <w:pPr>
        <w:pStyle w:val="Heading2"/>
      </w:pPr>
      <w:r>
        <w:rPr>
          <w:rFonts w:ascii="Source Han Sans CN" w:hAnsi="Source Han Sans CN" w:eastAsia="Source Han Sans CN" w:cs="Source Han Sans CN"/>
          <w:b/>
          <w:color w:val="1F4E78"/>
          <w:sz w:val="26"/>
        </w:rPr>
        <w:t>15.6 质量控制规则</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供应商不得修改采购方检验事实和判定，只能提交解释、证据和整改；</w:t>
      </w:r>
    </w:p>
    <w:p>
      <w:pPr>
        <w:numPr>
          <w:ilvl w:val="0"/>
          <w:numId w:val="10"/>
        </w:numPr>
        <w:spacing w:before="0" w:after="80" w:line="293" w:lineRule="auto"/>
        <w:keepLines/>
      </w:pPr>
      <w:r>
        <w:rPr>
          <w:rFonts w:ascii="Source Han Sans CN" w:hAnsi="Source Han Sans CN" w:eastAsia="Source Han Sans CN" w:cs="Source Han Sans CN"/>
          <w:color w:val="1F2937"/>
          <w:sz w:val="21"/>
        </w:rPr>
        <w:t>特采/让步放行必须记录授权、数量、批次、用途、风险和有效期，不能自动成为长期标准；</w:t>
      </w:r>
    </w:p>
    <w:p>
      <w:pPr>
        <w:numPr>
          <w:ilvl w:val="0"/>
          <w:numId w:val="10"/>
        </w:numPr>
        <w:spacing w:before="0" w:after="80" w:line="293" w:lineRule="auto"/>
        <w:keepLines/>
      </w:pPr>
      <w:r>
        <w:rPr>
          <w:rFonts w:ascii="Source Han Sans CN" w:hAnsi="Source Han Sans CN" w:eastAsia="Source Han Sans CN" w:cs="Source Han Sans CN"/>
          <w:color w:val="1F2937"/>
          <w:sz w:val="21"/>
        </w:rPr>
        <w:t>重大质量问题可直接触发供应源暂停和开放订单评估，不必等待周期绩效评分；</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供应商工厂、材料、关键工艺、模具或分供方变化需触发变更审批和再验证策略；</w:t>
      </w:r>
    </w:p>
    <w:p>
      <w:pPr>
        <w:numPr>
          <w:ilvl w:val="0"/>
          <w:numId w:val="10"/>
        </w:numPr>
        <w:spacing w:before="0" w:after="80" w:line="293" w:lineRule="auto"/>
        <w:keepLines/>
      </w:pPr>
      <w:r>
        <w:rPr>
          <w:rFonts w:ascii="Source Han Sans CN" w:hAnsi="Source Han Sans CN" w:eastAsia="Source Han Sans CN" w:cs="Source Han Sans CN"/>
          <w:color w:val="1F2937"/>
          <w:sz w:val="21"/>
        </w:rPr>
        <w:t>问题关闭必须验证措施有效，逾期或重复问题自动升级风险等级。</w:t>
      </w:r>
    </w:p>
    <w:p>
      <w:pPr>
        <w:pStyle w:val="Heading1"/>
      </w:pPr>
      <w:r>
        <w:rPr>
          <w:rFonts w:ascii="Source Han Sans CN" w:hAnsi="Source Han Sans CN" w:eastAsia="Source Han Sans CN" w:cs="Source Han Sans CN"/>
          <w:b/>
          <w:color w:val="1F4E78"/>
          <w:sz w:val="32"/>
        </w:rPr>
        <w:t>16. 对账与结算协同总体设计</w:t>
      </w:r>
    </w:p>
    <w:p>
      <w:pPr>
        <w:pStyle w:val="Heading2"/>
      </w:pPr>
      <w:r>
        <w:rPr>
          <w:rFonts w:ascii="Source Han Sans CN" w:hAnsi="Source Han Sans CN" w:eastAsia="Source Han Sans CN" w:cs="Source Han Sans CN"/>
          <w:b/>
          <w:color w:val="1F4E78"/>
          <w:sz w:val="26"/>
        </w:rPr>
        <w:t>16.1 边界与目标</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SRM负责把PO/价格、收货、质量、退货、扣款和发票信息组织为双方可确认的结算依据，处理协同差异并跟踪请款、应付和付款状态。ERP/财务系统负责应付确认、税务入账、会计凭证和资金付款，SRM不自行生成总账凭证。</w:t>
      </w:r>
    </w:p>
    <w:p>
      <w:pPr>
        <w:pStyle w:val="Heading2"/>
      </w:pPr>
      <w:r>
        <w:rPr>
          <w:rFonts w:ascii="Source Han Sans CN" w:hAnsi="Source Han Sans CN" w:eastAsia="Source Han Sans CN" w:cs="Source Han Sans CN"/>
          <w:b/>
          <w:color w:val="1F4E78"/>
          <w:sz w:val="26"/>
        </w:rPr>
        <w:t>16.2 对账基础与差异</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3500"/>
        <w:gridCol w:w="43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对账要素</w:t>
            </w:r>
          </w:p>
        </w:tc>
        <w:tc>
          <w:tcPr>
            <w:tcW w:type="dxa" w:w="3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权威数据</w:t>
            </w:r>
          </w:p>
        </w:tc>
        <w:tc>
          <w:tcPr>
            <w:tcW w:type="dxa" w:w="4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常见差异</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订单与价格</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正式PO、价格条件、变更版本</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价格、币种、单位、税率、附加费或生效日不一致</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收货与退货</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ERP/WMS收货过账、退货过账</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短少、超收、未过账、跨期、退货未扣减</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质量与扣款</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QMS判定、质量协议和扣款单</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不合格数量、特采、返工、索赔金额争议</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发票</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供应商发票/税务平台/ERP</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数量、金额、税额、抬头、发票状态或重复提交</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付款</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ERP/资金系统</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应付未到期、付款失败、部分付款、银行退回或状态延迟</w:t>
            </w:r>
          </w:p>
        </w:tc>
      </w:tr>
    </w:tbl>
    <w:p>
      <w:pPr>
        <w:spacing w:after="40"/>
      </w:pPr>
    </w:p>
    <w:p>
      <w:pPr>
        <w:pStyle w:val="Heading2"/>
      </w:pPr>
      <w:r>
        <w:rPr>
          <w:rFonts w:ascii="Source Han Sans CN" w:hAnsi="Source Han Sans CN" w:eastAsia="Source Han Sans CN" w:cs="Source Han Sans CN"/>
          <w:b/>
          <w:color w:val="1F4E78"/>
          <w:sz w:val="26"/>
        </w:rPr>
        <w:t>16.3 标准流程</w:t>
      </w:r>
    </w:p>
    <w:p>
      <w:pPr>
        <w:numPr>
          <w:ilvl w:val="0"/>
          <w:numId w:val="11"/>
        </w:numPr>
        <w:spacing w:before="0" w:after="100" w:line="293" w:lineRule="auto"/>
        <w:keepLines/>
      </w:pPr>
      <w:r>
        <w:rPr>
          <w:rFonts w:ascii="Source Han Sans CN" w:hAnsi="Source Han Sans CN" w:eastAsia="Source Han Sans CN" w:cs="Source Han Sans CN"/>
          <w:color w:val="1F2937"/>
          <w:sz w:val="21"/>
        </w:rPr>
        <w:t>按结算周期、供应商、法律主体、币种和采购组织生成对账单及明细。</w:t>
      </w:r>
    </w:p>
    <w:p>
      <w:pPr>
        <w:numPr>
          <w:ilvl w:val="0"/>
          <w:numId w:val="11"/>
        </w:numPr>
        <w:spacing w:before="0" w:after="100" w:line="293" w:lineRule="auto"/>
        <w:keepLines/>
      </w:pPr>
      <w:r>
        <w:rPr>
          <w:rFonts w:ascii="Source Han Sans CN" w:hAnsi="Source Han Sans CN" w:eastAsia="Source Han Sans CN" w:cs="Source Han Sans CN"/>
          <w:color w:val="1F2937"/>
          <w:sz w:val="21"/>
        </w:rPr>
        <w:t>系统执行订单—收货—质量/退货—发票的匹配并标记差异。</w:t>
      </w:r>
    </w:p>
    <w:p>
      <w:pPr>
        <w:numPr>
          <w:ilvl w:val="0"/>
          <w:numId w:val="11"/>
        </w:numPr>
        <w:spacing w:before="0" w:after="100" w:line="293" w:lineRule="auto"/>
        <w:keepLines/>
      </w:pPr>
      <w:r>
        <w:rPr>
          <w:rFonts w:ascii="Source Han Sans CN" w:hAnsi="Source Han Sans CN" w:eastAsia="Source Han Sans CN" w:cs="Source Han Sans CN"/>
          <w:color w:val="1F2937"/>
          <w:sz w:val="21"/>
        </w:rPr>
        <w:t>采购方和供应商对差异逐项确认、举证、调整或转为争议。</w:t>
      </w:r>
    </w:p>
    <w:p>
      <w:pPr>
        <w:numPr>
          <w:ilvl w:val="0"/>
          <w:numId w:val="11"/>
        </w:numPr>
        <w:spacing w:before="0" w:after="100" w:line="293" w:lineRule="auto"/>
        <w:keepLines/>
      </w:pPr>
      <w:r>
        <w:rPr>
          <w:rFonts w:ascii="Source Han Sans CN" w:hAnsi="Source Han Sans CN" w:eastAsia="Source Han Sans CN" w:cs="Source Han Sans CN"/>
          <w:color w:val="1F2937"/>
          <w:sz w:val="21"/>
        </w:rPr>
        <w:t>对账通过后，供应商按政策提交发票和请款材料；系统校验重复、金额和必要附件。</w:t>
      </w:r>
    </w:p>
    <w:p>
      <w:pPr>
        <w:numPr>
          <w:ilvl w:val="0"/>
          <w:numId w:val="11"/>
        </w:numPr>
        <w:spacing w:before="0" w:after="100" w:line="293" w:lineRule="auto"/>
        <w:keepLines/>
      </w:pPr>
      <w:r>
        <w:rPr>
          <w:rFonts w:ascii="Source Han Sans CN" w:hAnsi="Source Han Sans CN" w:eastAsia="Source Han Sans CN" w:cs="Source Han Sans CN"/>
          <w:color w:val="1F2937"/>
          <w:sz w:val="21"/>
        </w:rPr>
        <w:t>SRM将通过的结算数据同步ERP/财务，接收应付凭证、到期日、付款批次和结果。</w:t>
      </w:r>
    </w:p>
    <w:p>
      <w:pPr>
        <w:numPr>
          <w:ilvl w:val="0"/>
          <w:numId w:val="11"/>
        </w:numPr>
        <w:spacing w:before="0" w:after="100" w:line="293" w:lineRule="auto"/>
        <w:keepLines/>
      </w:pPr>
      <w:r>
        <w:rPr>
          <w:rFonts w:ascii="Source Han Sans CN" w:hAnsi="Source Han Sans CN" w:eastAsia="Source Han Sans CN" w:cs="Source Han Sans CN"/>
          <w:color w:val="1F2937"/>
          <w:sz w:val="21"/>
        </w:rPr>
        <w:t>付款完成或关闭后归档完整证据；异常状态继续在工作台跟踪。</w:t>
      </w:r>
    </w:p>
    <w:p>
      <w:pPr>
        <w:pStyle w:val="Heading2"/>
      </w:pPr>
      <w:r>
        <w:rPr>
          <w:rFonts w:ascii="Source Han Sans CN" w:hAnsi="Source Han Sans CN" w:eastAsia="Source Han Sans CN" w:cs="Source Han Sans CN"/>
          <w:b/>
          <w:color w:val="1F4E78"/>
          <w:sz w:val="26"/>
        </w:rPr>
        <w:t>16.4 状态建议</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75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对象</w:t>
            </w:r>
          </w:p>
        </w:tc>
        <w:tc>
          <w:tcPr>
            <w:tcW w:type="dxa" w:w="7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建议状态</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对账单</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草稿、待采购确认、待供应商确认、有差异、已一致、已关闭、已作废</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差异项</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待识别、待采购方、待供应商、协商中、已接受、已调整、已驳回、已关闭</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发票协同</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待提交、校验中、已接收、被驳回、已入账、已红冲/作废</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请款</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草稿、待审批、已提交财务、处理中、已完成、已拒绝/取消</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付款结果</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未到期、待付款、付款处理中、部分付款、已付款、付款失败、已关闭</w:t>
            </w:r>
          </w:p>
        </w:tc>
      </w:tr>
    </w:tbl>
    <w:p>
      <w:pPr>
        <w:spacing w:after="40"/>
      </w:pPr>
    </w:p>
    <w:p>
      <w:pPr>
        <w:spacing w:before="120" w:after="200" w:line="283" w:lineRule="auto"/>
        <w:ind w:left="173" w:right="115"/>
        <w:shd w:fill="FEF2F2"/>
        <w:pBdr>
          <w:left w:val="single" w:sz="20" w:space="8" w:color="9B1C1C"/>
        </w:pBdr>
        <w:keepLines/>
      </w:pPr>
      <w:r>
        <w:rPr>
          <w:rFonts w:ascii="Source Han Sans CN" w:hAnsi="Source Han Sans CN" w:eastAsia="Source Han Sans CN" w:cs="Source Han Sans CN"/>
          <w:b/>
          <w:color w:val="9B1C1C"/>
          <w:sz w:val="20"/>
        </w:rPr>
        <w:t xml:space="preserve">业务含义　</w:t>
      </w:r>
      <w:r>
        <w:rPr>
          <w:rFonts w:ascii="Source Han Sans CN" w:hAnsi="Source Han Sans CN" w:eastAsia="Source Han Sans CN" w:cs="Source Han Sans CN"/>
          <w:color w:val="1F2937"/>
          <w:sz w:val="20"/>
        </w:rPr>
        <w:t>对账一致不等于应付已确认，应付已确认也不等于已经付款。各状态必须分开，避免供应商把“已对账”误解为“已付款”。</w:t>
      </w:r>
    </w:p>
    <w:p>
      <w:pPr>
        <w:pStyle w:val="Heading1"/>
      </w:pPr>
      <w:r>
        <w:rPr>
          <w:rFonts w:ascii="Source Han Sans CN" w:hAnsi="Source Han Sans CN" w:eastAsia="Source Han Sans CN" w:cs="Source Han Sans CN"/>
          <w:b/>
          <w:color w:val="1F4E78"/>
          <w:sz w:val="32"/>
        </w:rPr>
        <w:t>17. 绩效与风险管理总体设计</w:t>
      </w:r>
    </w:p>
    <w:p>
      <w:pPr>
        <w:pStyle w:val="Heading2"/>
      </w:pPr>
      <w:r>
        <w:rPr>
          <w:rFonts w:ascii="Source Han Sans CN" w:hAnsi="Source Han Sans CN" w:eastAsia="Source Han Sans CN" w:cs="Source Han Sans CN"/>
          <w:b/>
          <w:color w:val="1F4E78"/>
          <w:sz w:val="26"/>
        </w:rPr>
        <w:t>17.1 绩效闭环</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绩效管理应基于订单、承诺、交付、收货、质量、价格和协同任务等事实自动取数，主观评价作为补充。评分结果必须进入供应治理，而不是停留在月报或排行榜。</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4600"/>
        <w:gridCol w:w="32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维度</w:t>
            </w:r>
          </w:p>
        </w:tc>
        <w:tc>
          <w:tcPr>
            <w:tcW w:type="dxa" w:w="4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指标示例</w:t>
            </w:r>
          </w:p>
        </w:tc>
        <w:tc>
          <w:tcPr>
            <w:tcW w:type="dxa" w:w="3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主要数据来源</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交付</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准时交付率、承诺达成、短交/超交、ASN及时准确、加急响应</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PO、确认、ASN、收货</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来料合格率、PPM、不良批次、重大问题、SCAR/8D及时与有效</w:t>
            </w:r>
          </w:p>
        </w:tc>
        <w:tc>
          <w:tcPr>
            <w:tcW w:type="dxa" w:w="3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QMS、收货、质量异常</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成本/商务</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价格竞争力、降本、价格稳定、索赔、条款执行</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寻源、价格、合同、结算</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服务/协同</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报价、订单、整改、对账的响应及时率和一次完成率</w:t>
            </w:r>
          </w:p>
        </w:tc>
        <w:tc>
          <w:tcPr>
            <w:tcW w:type="dxa" w:w="3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任务与门户日志</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技术/创新</w:t>
            </w:r>
          </w:p>
        </w:tc>
        <w:tc>
          <w:tcPr>
            <w:tcW w:type="dxa" w:w="4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NPI配合、样件、量产爬坡、VA/VE和工程变更响应</w:t>
            </w:r>
          </w:p>
        </w:tc>
        <w:tc>
          <w:tcPr>
            <w:tcW w:type="dxa" w:w="3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寻源、质量项目、工程协同</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可持续/合规</w:t>
            </w:r>
          </w:p>
        </w:tc>
        <w:tc>
          <w:tcPr>
            <w:tcW w:type="dxa" w:w="4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证照、审计、ESG、数据安全和违规事件</w:t>
            </w:r>
          </w:p>
        </w:tc>
        <w:tc>
          <w:tcPr>
            <w:tcW w:type="dxa" w:w="3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供应商档案、审核、风险事件</w:t>
            </w:r>
          </w:p>
        </w:tc>
      </w:tr>
    </w:tbl>
    <w:p>
      <w:pPr>
        <w:spacing w:after="40"/>
      </w:pPr>
    </w:p>
    <w:p>
      <w:pPr>
        <w:pStyle w:val="Heading2"/>
      </w:pPr>
      <w:r>
        <w:rPr>
          <w:rFonts w:ascii="Source Han Sans CN" w:hAnsi="Source Han Sans CN" w:eastAsia="Source Han Sans CN" w:cs="Source Han Sans CN"/>
          <w:b/>
          <w:color w:val="1F4E78"/>
          <w:sz w:val="26"/>
        </w:rPr>
        <w:t>17.2 评分与评级原则</w:t>
      </w:r>
    </w:p>
    <w:p>
      <w:pPr>
        <w:numPr>
          <w:ilvl w:val="0"/>
          <w:numId w:val="10"/>
        </w:numPr>
        <w:spacing w:before="0" w:after="80" w:line="293" w:lineRule="auto"/>
        <w:keepLines/>
      </w:pPr>
      <w:r>
        <w:rPr>
          <w:rFonts w:ascii="Source Han Sans CN" w:hAnsi="Source Han Sans CN" w:eastAsia="Source Han Sans CN" w:cs="Source Han Sans CN"/>
          <w:color w:val="1F2937"/>
          <w:sz w:val="21"/>
        </w:rPr>
        <w:t>评分模型按品类、供应商类型、物料风险和业务阶段配置，避免一套权重适用于全部供应商；</w:t>
      </w:r>
    </w:p>
    <w:p>
      <w:pPr>
        <w:numPr>
          <w:ilvl w:val="0"/>
          <w:numId w:val="10"/>
        </w:numPr>
        <w:spacing w:before="0" w:after="80" w:line="293" w:lineRule="auto"/>
        <w:keepLines/>
      </w:pPr>
      <w:r>
        <w:rPr>
          <w:rFonts w:ascii="Source Han Sans CN" w:hAnsi="Source Han Sans CN" w:eastAsia="Source Han Sans CN" w:cs="Source Han Sans CN"/>
          <w:color w:val="1F2937"/>
          <w:sz w:val="21"/>
        </w:rPr>
        <w:t>指标需定义公式、数据源、周期、样本量、缺失值、封顶/保底、申诉和重算规则；</w:t>
      </w:r>
    </w:p>
    <w:p>
      <w:pPr>
        <w:numPr>
          <w:ilvl w:val="0"/>
          <w:numId w:val="10"/>
        </w:numPr>
        <w:spacing w:before="0" w:after="80" w:line="293" w:lineRule="auto"/>
        <w:keepLines/>
      </w:pPr>
      <w:r>
        <w:rPr>
          <w:rFonts w:ascii="Source Han Sans CN" w:hAnsi="Source Han Sans CN" w:eastAsia="Source Han Sans CN" w:cs="Source Han Sans CN"/>
          <w:color w:val="1F2937"/>
          <w:sz w:val="21"/>
        </w:rPr>
        <w:t>严重质量、合规或供应中断事件可作为一票否决或评级上限，不被平均分稀释；</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供应商可查看经授权的事实、分数和改善要求，但内部排名、其他供应商信息和敏感成本不公开；</w:t>
      </w:r>
    </w:p>
    <w:p>
      <w:pPr>
        <w:numPr>
          <w:ilvl w:val="0"/>
          <w:numId w:val="10"/>
        </w:numPr>
        <w:spacing w:before="0" w:after="80" w:line="293" w:lineRule="auto"/>
        <w:keepLines/>
      </w:pPr>
      <w:r>
        <w:rPr>
          <w:rFonts w:ascii="Source Han Sans CN" w:hAnsi="Source Han Sans CN" w:eastAsia="Source Han Sans CN" w:cs="Source Han Sans CN"/>
          <w:color w:val="1F2937"/>
          <w:sz w:val="21"/>
        </w:rPr>
        <w:t>评级版本一经发布不可覆盖，调整必须形成更正版本并保留原因和审批。</w:t>
      </w:r>
    </w:p>
    <w:p>
      <w:pPr>
        <w:pStyle w:val="Heading2"/>
      </w:pPr>
      <w:r>
        <w:rPr>
          <w:rFonts w:ascii="Source Han Sans CN" w:hAnsi="Source Han Sans CN" w:eastAsia="Source Han Sans CN" w:cs="Source Han Sans CN"/>
          <w:b/>
          <w:color w:val="1F4E78"/>
          <w:sz w:val="26"/>
        </w:rPr>
        <w:t>17.3 风险体系</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4400"/>
        <w:gridCol w:w="33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风险类别</w:t>
            </w:r>
          </w:p>
        </w:tc>
        <w:tc>
          <w:tcPr>
            <w:tcW w:type="dxa" w:w="4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信号示例</w:t>
            </w:r>
          </w:p>
        </w:tc>
        <w:tc>
          <w:tcPr>
            <w:tcW w:type="dxa" w:w="3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可能动作</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供应连续性</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单一来源、产能不足、交期恶化、地域/物流中断</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预警、加库存、第二供应源、配额迁移</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重大不良、重复问题、过程变更未报、认证失效</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加强检验、整改、条件供应、暂停</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经营/财务</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经营异常、诉讼、失信、现金流或破产风险</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减少暴露、付款/订单策略、替代供应</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合规/ESG</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制裁、反商业贿赂、环保、劳工、人权或数据合规事件</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调查、阻断、黑名单、退出</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合同/价格</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合同到期、价格失效、超额度、关键条款违约</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续签、调价、限制新PO</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信息安全</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账号异常、敏感资料泄露、接口或门户安全事件</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停用账号、隔离、调查与通报</w:t>
            </w:r>
          </w:p>
        </w:tc>
      </w:tr>
    </w:tbl>
    <w:p>
      <w:pPr>
        <w:spacing w:after="40"/>
      </w:pPr>
    </w:p>
    <w:p>
      <w:pPr>
        <w:pStyle w:val="Heading2"/>
      </w:pPr>
      <w:r>
        <w:rPr>
          <w:rFonts w:ascii="Source Han Sans CN" w:hAnsi="Source Han Sans CN" w:eastAsia="Source Han Sans CN" w:cs="Source Han Sans CN"/>
          <w:b/>
          <w:color w:val="1F4E78"/>
          <w:sz w:val="26"/>
        </w:rPr>
        <w:t>17.4 改善与供应决策</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3900"/>
        <w:gridCol w:w="39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决定</w:t>
            </w:r>
          </w:p>
        </w:tc>
        <w:tc>
          <w:tcPr>
            <w:tcW w:type="dxa" w:w="3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适用</w:t>
            </w:r>
          </w:p>
        </w:tc>
        <w:tc>
          <w:tcPr>
            <w:tcW w:type="dxa" w:w="3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系统效果</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改善计划</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绩效下降但仍可合作</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建立目标、措施、责任人、里程碑、证据和效果验证</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奖励/增份额</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稳定优秀且具备能力</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提出配额/份额调整建议，经审批后生成供应源新版本</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降份额/限制</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表现不稳定或局部风险</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限制新物料、新工厂、数量上限或订单类型</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条件供应</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整改期间允许受控采购</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设置有效期、数量、加强检验和批准人</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暂停/冻结</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重大风险需阻断新业务</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阻断新分配/PO，创建开放订单处置清单</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淘汰/退出</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长期不达标或不可接受风险</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终止供应源，归档证据，启动替代与迁移</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第二供应源计划</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单一来源或韧性不足</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形成资源开发项目并跟踪验证和配额导入</w:t>
            </w:r>
          </w:p>
        </w:tc>
      </w:tr>
    </w:tbl>
    <w:p>
      <w:pPr>
        <w:spacing w:after="40"/>
      </w:pPr>
    </w:p>
    <w:p>
      <w:pPr>
        <w:pStyle w:val="Heading1"/>
      </w:pPr>
      <w:r>
        <w:rPr>
          <w:rFonts w:ascii="Source Han Sans CN" w:hAnsi="Source Han Sans CN" w:eastAsia="Source Han Sans CN" w:cs="Source Han Sans CN"/>
          <w:b/>
          <w:color w:val="1F4E78"/>
          <w:sz w:val="32"/>
        </w:rPr>
        <w:t>18. 基础数据中心与系统管理总体设计</w:t>
      </w:r>
    </w:p>
    <w:p>
      <w:pPr>
        <w:pStyle w:val="Heading2"/>
      </w:pPr>
      <w:r>
        <w:rPr>
          <w:rFonts w:ascii="Source Han Sans CN" w:hAnsi="Source Han Sans CN" w:eastAsia="Source Han Sans CN" w:cs="Source Han Sans CN"/>
          <w:b/>
          <w:color w:val="1F4E78"/>
          <w:sz w:val="26"/>
        </w:rPr>
        <w:t>18.1 基础数据范围与权属</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200"/>
        <w:gridCol w:w="2600"/>
        <w:gridCol w:w="4800"/>
      </w:tblGrid>
      <w:tr>
        <w:trPr>
          <w:tblHeader w:val="true"/>
          <w:cantSplit/>
        </w:trPr>
        <w:tc>
          <w:tcPr>
            <w:tcW w:type="dxa" w:w="2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主数据</w:t>
            </w:r>
          </w:p>
        </w:tc>
        <w:tc>
          <w:tcPr>
            <w:tcW w:type="dxa" w:w="2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建议权威源</w:t>
            </w:r>
          </w:p>
        </w:tc>
        <w:tc>
          <w:tcPr>
            <w:tcW w:type="dxa" w:w="4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SRM扩展/控制</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集团、法律主体、采购组织</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ERP/MDM/组织平台</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数据范围、审批归属、外部编码映射</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工厂、仓库、收货地点</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ERP/WMS</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交付日历、预约能力、供应源适用范围</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物料、版本、BOM摘要</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ERP/PLM</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采购/质量属性、风险等级、资格模板、替代组引用</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品类</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采购主数据/MDM</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品类经理、寻源策略、准入/合同/质量/绩效策略</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单位、币种、税码、付款条件</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ERP/财务</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映射、换算、可用状态和显示规则</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交付条款、物流方式、包装类型</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ERP/物流平台/系统字典</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供应商协同字段及规则</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供应商编码</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SRM与ERP共同治理</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SRM主体ID稳定；记录各法律实体/ERP供应商编码映射</w:t>
            </w:r>
          </w:p>
        </w:tc>
      </w:tr>
    </w:tbl>
    <w:p>
      <w:pPr>
        <w:spacing w:after="40"/>
      </w:pPr>
    </w:p>
    <w:p>
      <w:pPr>
        <w:pStyle w:val="Heading2"/>
      </w:pPr>
      <w:r>
        <w:rPr>
          <w:rFonts w:ascii="Source Han Sans CN" w:hAnsi="Source Han Sans CN" w:eastAsia="Source Han Sans CN" w:cs="Source Han Sans CN"/>
          <w:b/>
          <w:color w:val="1F4E78"/>
          <w:sz w:val="26"/>
        </w:rPr>
        <w:t>18.2 基础数据治理规则</w:t>
      </w:r>
    </w:p>
    <w:p>
      <w:pPr>
        <w:numPr>
          <w:ilvl w:val="0"/>
          <w:numId w:val="10"/>
        </w:numPr>
        <w:spacing w:before="0" w:after="80" w:line="293" w:lineRule="auto"/>
        <w:keepLines/>
      </w:pPr>
      <w:r>
        <w:rPr>
          <w:rFonts w:ascii="Source Han Sans CN" w:hAnsi="Source Han Sans CN" w:eastAsia="Source Han Sans CN" w:cs="Source Han Sans CN"/>
          <w:color w:val="1F2937"/>
          <w:sz w:val="21"/>
        </w:rPr>
        <w:t>所有外部主数据保留来源系统、外部ID、外部版本、同步时间和生效状态；</w:t>
      </w:r>
    </w:p>
    <w:p>
      <w:pPr>
        <w:numPr>
          <w:ilvl w:val="0"/>
          <w:numId w:val="10"/>
        </w:numPr>
        <w:spacing w:before="0" w:after="80" w:line="293" w:lineRule="auto"/>
        <w:keepLines/>
      </w:pPr>
      <w:r>
        <w:rPr>
          <w:rFonts w:ascii="Source Han Sans CN" w:hAnsi="Source Han Sans CN" w:eastAsia="Source Han Sans CN" w:cs="Source Han Sans CN"/>
          <w:color w:val="1F2937"/>
          <w:sz w:val="21"/>
        </w:rPr>
        <w:t>SRM不得覆盖权威系统字段，只能维护明确的业务扩展属性；</w:t>
      </w:r>
    </w:p>
    <w:p>
      <w:pPr>
        <w:numPr>
          <w:ilvl w:val="0"/>
          <w:numId w:val="10"/>
        </w:numPr>
        <w:spacing w:before="0" w:after="80" w:line="293" w:lineRule="auto"/>
        <w:keepLines/>
      </w:pPr>
      <w:r>
        <w:rPr>
          <w:rFonts w:ascii="Source Han Sans CN" w:hAnsi="Source Han Sans CN" w:eastAsia="Source Han Sans CN" w:cs="Source Han Sans CN"/>
          <w:color w:val="1F2937"/>
          <w:sz w:val="21"/>
        </w:rPr>
        <w:t>停用主数据不能删除历史引用，新增业务时阻断或预警；</w:t>
      </w:r>
    </w:p>
    <w:p>
      <w:pPr>
        <w:numPr>
          <w:ilvl w:val="0"/>
          <w:numId w:val="10"/>
        </w:numPr>
        <w:spacing w:before="0" w:after="80" w:line="293" w:lineRule="auto"/>
        <w:keepLines/>
      </w:pPr>
      <w:r>
        <w:rPr>
          <w:rFonts w:ascii="Source Han Sans CN" w:hAnsi="Source Han Sans CN" w:eastAsia="Source Han Sans CN" w:cs="Source Han Sans CN"/>
          <w:color w:val="1F2937"/>
          <w:sz w:val="21"/>
        </w:rPr>
        <w:t>物料版本、工厂和组织变化需评估对资格、价格、供应源和开放业务的影响；</w:t>
      </w:r>
    </w:p>
    <w:p>
      <w:pPr>
        <w:numPr>
          <w:ilvl w:val="0"/>
          <w:numId w:val="10"/>
        </w:numPr>
        <w:spacing w:before="0" w:after="80" w:line="293" w:lineRule="auto"/>
        <w:keepLines/>
      </w:pPr>
      <w:r>
        <w:rPr>
          <w:rFonts w:ascii="Source Han Sans CN" w:hAnsi="Source Han Sans CN" w:eastAsia="Source Han Sans CN" w:cs="Source Han Sans CN"/>
          <w:color w:val="1F2937"/>
          <w:sz w:val="21"/>
        </w:rPr>
        <w:t>映射冲突、重复和同步错误进入数据治理任务，允许人工纠正但必须审计。</w:t>
      </w:r>
    </w:p>
    <w:p>
      <w:pPr>
        <w:pStyle w:val="Heading2"/>
      </w:pPr>
      <w:r>
        <w:rPr>
          <w:rFonts w:ascii="Source Han Sans CN" w:hAnsi="Source Han Sans CN" w:eastAsia="Source Han Sans CN" w:cs="Source Han Sans CN"/>
          <w:b/>
          <w:color w:val="1F4E78"/>
          <w:sz w:val="26"/>
        </w:rPr>
        <w:t>18.3 系统管理能力</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300"/>
        <w:gridCol w:w="7300"/>
      </w:tblGrid>
      <w:tr>
        <w:trPr>
          <w:tblHeader w:val="true"/>
          <w:cantSplit/>
        </w:trPr>
        <w:tc>
          <w:tcPr>
            <w:tcW w:type="dxa" w:w="2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能力</w:t>
            </w:r>
          </w:p>
        </w:tc>
        <w:tc>
          <w:tcPr>
            <w:tcW w:type="dxa" w:w="7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总体设计</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组织与用户</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内部用户、供应商用户、账号生命周期、SSO/MFA、组织和站点绑定。</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角色与挂载用户</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角色详情维护用户、功能权限和数据范围；用户页可查看角色但不作为唯一授权入口。</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流程与审批</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按业务类型、组织、品类、金额、风险和例外配置条件路由、会签、加签和SLA。</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字典与参数</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状态之外的可配置枚举、容差、编号、日期、阈值和业务策略；关键参数版本化。</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模板与附件</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问卷、RFQ、评审、合同、标签、8D、对账等模板；附件分类、版本、病毒扫描和保留期。</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消息与通知</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站内、邮件、短信/企业IM等渠道；模板、多语言、频控、失败重试和通知偏好。</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审计与日志</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登录、查看敏感数据、导出、业务动作、审批、配置和接口日志统一追溯。</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接口与任务监控</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接口配置、凭据引用、调用日志、重试、死信、批任务、对账和告警。</w:t>
            </w:r>
          </w:p>
        </w:tc>
      </w:tr>
    </w:tbl>
    <w:p>
      <w:pPr>
        <w:spacing w:after="40"/>
      </w:pPr>
    </w:p>
    <w:p>
      <w:pPr>
        <w:pStyle w:val="Heading2"/>
      </w:pPr>
      <w:r>
        <w:rPr>
          <w:rFonts w:ascii="Source Han Sans CN" w:hAnsi="Source Han Sans CN" w:eastAsia="Source Han Sans CN" w:cs="Source Han Sans CN"/>
          <w:b/>
          <w:color w:val="1F4E78"/>
          <w:sz w:val="26"/>
        </w:rPr>
        <w:t>18.4 流程引擎边界</w:t>
      </w:r>
    </w:p>
    <w:p>
      <w:pPr>
        <w:spacing w:before="120" w:after="200" w:line="283" w:lineRule="auto"/>
        <w:ind w:left="173" w:right="115"/>
        <w:shd w:fill="F4F7FB"/>
        <w:pBdr>
          <w:left w:val="single" w:sz="20" w:space="8" w:color="1F4E78"/>
        </w:pBdr>
        <w:keepLines/>
      </w:pPr>
      <w:r>
        <w:rPr>
          <w:rFonts w:ascii="Source Han Sans CN" w:hAnsi="Source Han Sans CN" w:eastAsia="Source Han Sans CN" w:cs="Source Han Sans CN"/>
          <w:b/>
          <w:color w:val="1F4E78"/>
          <w:sz w:val="20"/>
        </w:rPr>
        <w:t xml:space="preserve">建模原则　</w:t>
      </w:r>
      <w:r>
        <w:rPr>
          <w:rFonts w:ascii="Source Han Sans CN" w:hAnsi="Source Han Sans CN" w:eastAsia="Source Han Sans CN" w:cs="Source Han Sans CN"/>
          <w:color w:val="1F2937"/>
          <w:sz w:val="20"/>
        </w:rPr>
        <w:t>流程引擎负责“谁在什么条件下审批/处理”，领域服务负责“业务动作是否合法、状态如何变化”。不得把供应源、PO或质量异常的全部业务规则写入通用流程脚本。</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审批实例与业务对象状态必须解耦：例如“定标审批中”是领域状态，“节点待法务审批”是流程状态。流程撤回、驳回、重提或补签时，由领域服务根据规则映射到正确业务状态并记录版本。</w:t>
      </w:r>
    </w:p>
    <w:p>
      <w:pPr>
        <w:pStyle w:val="Heading1"/>
      </w:pPr>
      <w:r>
        <w:rPr>
          <w:rFonts w:ascii="Source Han Sans CN" w:hAnsi="Source Han Sans CN" w:eastAsia="Source Han Sans CN" w:cs="Source Han Sans CN"/>
          <w:b/>
          <w:color w:val="1F4E78"/>
          <w:sz w:val="32"/>
        </w:rPr>
        <w:t>19. 信息架构与核心数据模型</w:t>
      </w:r>
    </w:p>
    <w:p>
      <w:pPr>
        <w:keepNext/>
        <w:spacing w:before="100" w:after="40"/>
        <w:jc w:val="center"/>
      </w:pPr>
      <w:r>
        <w:drawing>
          <wp:inline xmlns:a="http://schemas.openxmlformats.org/drawingml/2006/main" xmlns:pic="http://schemas.openxmlformats.org/drawingml/2006/picture">
            <wp:extent cx="6080760" cy="3547110"/>
            <wp:docPr id="4" name="Picture 4" descr="供应商主体、寻源、资格依据、批准供应源连接采购需求、PO、交付质量结算并反馈绩效风险" title="供应商主体、寻源、资格依据、批准供应源连接采购需求、PO、交付质量结算并反馈绩效风险"/>
            <wp:cNvGraphicFramePr>
              <a:graphicFrameLocks noChangeAspect="1"/>
            </wp:cNvGraphicFramePr>
            <a:graphic>
              <a:graphicData uri="http://schemas.openxmlformats.org/drawingml/2006/picture">
                <pic:pic>
                  <pic:nvPicPr>
                    <pic:cNvPr id="0" name="05_object_chain.png"/>
                    <pic:cNvPicPr/>
                  </pic:nvPicPr>
                  <pic:blipFill>
                    <a:blip r:embed="rId14"/>
                    <a:stretch>
                      <a:fillRect/>
                    </a:stretch>
                  </pic:blipFill>
                  <pic:spPr>
                    <a:xfrm>
                      <a:off x="0" y="0"/>
                      <a:ext cx="6080760" cy="3547110"/>
                    </a:xfrm>
                    <a:prstGeom prst="rect"/>
                  </pic:spPr>
                </pic:pic>
              </a:graphicData>
            </a:graphic>
          </wp:inline>
        </w:drawing>
      </w:r>
    </w:p>
    <w:p>
      <w:pPr>
        <w:pStyle w:val="BlueprintCaption"/>
        <w:keepLines/>
      </w:pPr>
      <w:r>
        <w:t>图 19-1　核心对象链与事实反馈</w:t>
      </w:r>
    </w:p>
    <w:p>
      <w:pPr>
        <w:pStyle w:val="Heading2"/>
      </w:pPr>
      <w:r>
        <w:rPr>
          <w:rFonts w:ascii="Source Han Sans CN" w:hAnsi="Source Han Sans CN" w:eastAsia="Source Han Sans CN" w:cs="Source Han Sans CN"/>
          <w:b/>
          <w:color w:val="1F4E78"/>
          <w:sz w:val="26"/>
        </w:rPr>
        <w:t>19.1 领域对象边界</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3900"/>
        <w:gridCol w:w="40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领域</w:t>
            </w:r>
          </w:p>
        </w:tc>
        <w:tc>
          <w:tcPr>
            <w:tcW w:type="dxa" w:w="3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聚合根/主对象</w:t>
            </w:r>
          </w:p>
        </w:tc>
        <w:tc>
          <w:tcPr>
            <w:tcW w:type="dxa" w:w="4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关键关联</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供应商主体、站点、准入申请、资质、变更</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角色用户、品类、组织、风险</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寻源</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寻源需求、项目、事件、报价、评审、定标</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供应商、物料、需求、价格、转化任务</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合同价格</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合同/协议、采购依据、价格条件、价格版本</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供应商、物料、组织、定标、供应源</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供应源</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供应源关系、能力、配额、限制、变更版本</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准入、资格、依据、价格、需求分配</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采购需求、匹配结果、缺口、实际分配、PO协同副本</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供应源、ERP单据、承诺、ASN</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交付</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交付计划、ASN、包装、物流节点、收货差异</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PO、WMS收货、质量、退货</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审核、物料资格、质量项目、检验事实、异常、整改</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供应商、物料、批次、收货、绩效</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结算</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对账单、差异、发票协同、请款、付款结果</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PO、收货、质量、ERP应付</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绩效风险</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评分周期、指标结果、风险事件、改善、供应决定</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全流程事实、供应商、供应源</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平台</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任务、审批引用、消息、附件、审计、接口事件</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所有领域对象</w:t>
            </w:r>
          </w:p>
        </w:tc>
      </w:tr>
    </w:tbl>
    <w:p>
      <w:pPr>
        <w:spacing w:after="40"/>
      </w:pPr>
    </w:p>
    <w:p>
      <w:pPr>
        <w:pStyle w:val="Heading2"/>
      </w:pPr>
      <w:r>
        <w:rPr>
          <w:rFonts w:ascii="Source Han Sans CN" w:hAnsi="Source Han Sans CN" w:eastAsia="Source Han Sans CN" w:cs="Source Han Sans CN"/>
          <w:b/>
          <w:color w:val="1F4E78"/>
          <w:sz w:val="26"/>
        </w:rPr>
        <w:t>19.2 核心关系</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500"/>
        <w:gridCol w:w="2700"/>
        <w:gridCol w:w="4400"/>
      </w:tblGrid>
      <w:tr>
        <w:trPr>
          <w:tblHeader w:val="true"/>
          <w:cantSplit/>
        </w:trPr>
        <w:tc>
          <w:tcPr>
            <w:tcW w:type="dxa" w:w="2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关系</w:t>
            </w:r>
          </w:p>
        </w:tc>
        <w:tc>
          <w:tcPr>
            <w:tcW w:type="dxa" w:w="2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基数/约束</w:t>
            </w:r>
          </w:p>
        </w:tc>
        <w:tc>
          <w:tcPr>
            <w:tcW w:type="dxa" w:w="4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业务意义</w:t>
            </w:r>
          </w:p>
        </w:tc>
      </w:tr>
      <w:tr>
        <w:trPr>
          <w:cantSplit/>
        </w:trPr>
        <w:tc>
          <w:tcPr>
            <w:tcW w:type="dxa" w:w="2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供应商主体—站点</w:t>
            </w:r>
          </w:p>
        </w:tc>
        <w:tc>
          <w:tcPr>
            <w:tcW w:type="dxa" w:w="2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1:N；站点独立状态</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同一主体可有多生产/发货/开票站点</w:t>
            </w:r>
          </w:p>
        </w:tc>
      </w:tr>
      <w:tr>
        <w:trPr>
          <w:cantSplit/>
        </w:trPr>
        <w:tc>
          <w:tcPr>
            <w:tcW w:type="dxa" w:w="2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供应商站点—物料资格</w:t>
            </w:r>
          </w:p>
        </w:tc>
        <w:tc>
          <w:tcPr>
            <w:tcW w:type="dxa" w:w="2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1:N；按物料/版本/工厂</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资格不能只放在主体层</w:t>
            </w:r>
          </w:p>
        </w:tc>
      </w:tr>
      <w:tr>
        <w:trPr>
          <w:cantSplit/>
        </w:trPr>
        <w:tc>
          <w:tcPr>
            <w:tcW w:type="dxa" w:w="2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定标—供应源</w:t>
            </w:r>
          </w:p>
        </w:tc>
        <w:tc>
          <w:tcPr>
            <w:tcW w:type="dxa" w:w="2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N:N；通过转化任务</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一次定标可产生多个供应源；既有源也可多次调价</w:t>
            </w:r>
          </w:p>
        </w:tc>
      </w:tr>
      <w:tr>
        <w:trPr>
          <w:cantSplit/>
        </w:trPr>
        <w:tc>
          <w:tcPr>
            <w:tcW w:type="dxa" w:w="2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采购依据—供应源</w:t>
            </w:r>
          </w:p>
        </w:tc>
        <w:tc>
          <w:tcPr>
            <w:tcW w:type="dxa" w:w="2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N:N；按覆盖范围和有效期</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一个框架协议可覆盖多源，一个源可组合多项依据</w:t>
            </w:r>
          </w:p>
        </w:tc>
      </w:tr>
      <w:tr>
        <w:trPr>
          <w:cantSplit/>
        </w:trPr>
        <w:tc>
          <w:tcPr>
            <w:tcW w:type="dxa" w:w="2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价格条件—供应源</w:t>
            </w:r>
          </w:p>
        </w:tc>
        <w:tc>
          <w:tcPr>
            <w:tcW w:type="dxa" w:w="2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N:N或按策略优先</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不同数量、期间、工厂或订单类型可使用不同价格</w:t>
            </w:r>
          </w:p>
        </w:tc>
      </w:tr>
      <w:tr>
        <w:trPr>
          <w:cantSplit/>
        </w:trPr>
        <w:tc>
          <w:tcPr>
            <w:tcW w:type="dxa" w:w="2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需求—实际分配</w:t>
            </w:r>
          </w:p>
        </w:tc>
        <w:tc>
          <w:tcPr>
            <w:tcW w:type="dxa" w:w="2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1:N；分配合计受控</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同一需求可分给多个供应商/批次</w:t>
            </w:r>
          </w:p>
        </w:tc>
      </w:tr>
      <w:tr>
        <w:trPr>
          <w:cantSplit/>
        </w:trPr>
        <w:tc>
          <w:tcPr>
            <w:tcW w:type="dxa" w:w="2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分配—正式PO</w:t>
            </w:r>
          </w:p>
        </w:tc>
        <w:tc>
          <w:tcPr>
            <w:tcW w:type="dxa" w:w="2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N:N；保留转换映射</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ERP可能合并/拆分订单，不能假设一一对应</w:t>
            </w:r>
          </w:p>
        </w:tc>
      </w:tr>
      <w:tr>
        <w:trPr>
          <w:cantSplit/>
        </w:trPr>
        <w:tc>
          <w:tcPr>
            <w:tcW w:type="dxa" w:w="2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PO—ASN—收货</w:t>
            </w:r>
          </w:p>
        </w:tc>
        <w:tc>
          <w:tcPr>
            <w:tcW w:type="dxa" w:w="2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1:N:N</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支持分批发货、部分收货、退货和差异</w:t>
            </w:r>
          </w:p>
        </w:tc>
      </w:tr>
      <w:tr>
        <w:trPr>
          <w:cantSplit/>
        </w:trPr>
        <w:tc>
          <w:tcPr>
            <w:tcW w:type="dxa" w:w="2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收货—检验/异常</w:t>
            </w:r>
          </w:p>
        </w:tc>
        <w:tc>
          <w:tcPr>
            <w:tcW w:type="dxa" w:w="2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1:N</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批次可多次检验或产生多个问题</w:t>
            </w:r>
          </w:p>
        </w:tc>
      </w:tr>
      <w:tr>
        <w:trPr>
          <w:cantSplit/>
        </w:trPr>
        <w:tc>
          <w:tcPr>
            <w:tcW w:type="dxa" w:w="2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业务事实—绩效</w:t>
            </w:r>
          </w:p>
        </w:tc>
        <w:tc>
          <w:tcPr>
            <w:tcW w:type="dxa" w:w="2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N:N；按规则聚合</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评分可追溯到每一条订单、收货和整改事实</w:t>
            </w:r>
          </w:p>
        </w:tc>
      </w:tr>
    </w:tbl>
    <w:p>
      <w:pPr>
        <w:spacing w:after="40"/>
      </w:pPr>
    </w:p>
    <w:p>
      <w:pPr>
        <w:pStyle w:val="Heading2"/>
      </w:pPr>
      <w:r>
        <w:rPr>
          <w:rFonts w:ascii="Source Han Sans CN" w:hAnsi="Source Han Sans CN" w:eastAsia="Source Han Sans CN" w:cs="Source Han Sans CN"/>
          <w:b/>
          <w:color w:val="1F4E78"/>
          <w:sz w:val="26"/>
        </w:rPr>
        <w:t>19.3 标识、版本与快照</w:t>
      </w:r>
    </w:p>
    <w:p>
      <w:pPr>
        <w:numPr>
          <w:ilvl w:val="0"/>
          <w:numId w:val="10"/>
        </w:numPr>
        <w:spacing w:before="0" w:after="80" w:line="293" w:lineRule="auto"/>
        <w:keepLines/>
      </w:pPr>
      <w:r>
        <w:rPr>
          <w:rFonts w:ascii="Source Han Sans CN" w:hAnsi="Source Han Sans CN" w:eastAsia="Source Han Sans CN" w:cs="Source Han Sans CN"/>
          <w:color w:val="1F2937"/>
          <w:sz w:val="21"/>
        </w:rPr>
        <w:t>所有领域对象使用内部稳定ID，不把可变业务编号或外部系统编号作为数据库主键；</w:t>
      </w:r>
    </w:p>
    <w:p>
      <w:pPr>
        <w:numPr>
          <w:ilvl w:val="0"/>
          <w:numId w:val="10"/>
        </w:numPr>
        <w:spacing w:before="0" w:after="80" w:line="293" w:lineRule="auto"/>
        <w:keepLines/>
      </w:pPr>
      <w:r>
        <w:rPr>
          <w:rFonts w:ascii="Source Han Sans CN" w:hAnsi="Source Han Sans CN" w:eastAsia="Source Han Sans CN" w:cs="Source Han Sans CN"/>
          <w:color w:val="1F2937"/>
          <w:sz w:val="21"/>
        </w:rPr>
        <w:t>业务编号按对象、组织和年度等规则生成，生成后不重复使用；</w:t>
      </w:r>
    </w:p>
    <w:p>
      <w:pPr>
        <w:numPr>
          <w:ilvl w:val="0"/>
          <w:numId w:val="10"/>
        </w:numPr>
        <w:spacing w:before="0" w:after="80" w:line="293" w:lineRule="auto"/>
        <w:keepLines/>
      </w:pPr>
      <w:r>
        <w:rPr>
          <w:rFonts w:ascii="Source Han Sans CN" w:hAnsi="Source Han Sans CN" w:eastAsia="Source Han Sans CN" w:cs="Source Han Sans CN"/>
          <w:color w:val="1F2937"/>
          <w:sz w:val="21"/>
        </w:rPr>
        <w:t>外部对象保存 source_system、external_id、external_line_id、external_version 和 last_sync_at；</w:t>
      </w:r>
    </w:p>
    <w:p>
      <w:pPr>
        <w:numPr>
          <w:ilvl w:val="0"/>
          <w:numId w:val="10"/>
        </w:numPr>
        <w:spacing w:before="0" w:after="80" w:line="293" w:lineRule="auto"/>
        <w:keepLines/>
      </w:pPr>
      <w:r>
        <w:rPr>
          <w:rFonts w:ascii="Source Han Sans CN" w:hAnsi="Source Han Sans CN" w:eastAsia="Source Han Sans CN" w:cs="Source Han Sans CN"/>
          <w:color w:val="1F2937"/>
          <w:sz w:val="21"/>
        </w:rPr>
        <w:t>合同、价格、资格、供应源、PO、评分等关键对象采用版本化生效，不覆盖历史版本；</w:t>
      </w:r>
    </w:p>
    <w:p>
      <w:pPr>
        <w:numPr>
          <w:ilvl w:val="0"/>
          <w:numId w:val="10"/>
        </w:numPr>
        <w:spacing w:before="0" w:after="80" w:line="293" w:lineRule="auto"/>
        <w:keepLines/>
      </w:pPr>
      <w:r>
        <w:rPr>
          <w:rFonts w:ascii="Source Han Sans CN" w:hAnsi="Source Han Sans CN" w:eastAsia="Source Han Sans CN" w:cs="Source Han Sans CN"/>
          <w:color w:val="1F2937"/>
          <w:sz w:val="21"/>
        </w:rPr>
        <w:t>分配和PO发布时保存资格、价格、供应源及规则快照，保证后续可解释当时为什么允许；</w:t>
      </w:r>
    </w:p>
    <w:p>
      <w:pPr>
        <w:numPr>
          <w:ilvl w:val="0"/>
          <w:numId w:val="10"/>
        </w:numPr>
        <w:spacing w:before="0" w:after="80" w:line="293" w:lineRule="auto"/>
        <w:keepLines/>
      </w:pPr>
      <w:r>
        <w:rPr>
          <w:rFonts w:ascii="Source Han Sans CN" w:hAnsi="Source Han Sans CN" w:eastAsia="Source Han Sans CN" w:cs="Source Han Sans CN"/>
          <w:color w:val="1F2937"/>
          <w:sz w:val="21"/>
        </w:rPr>
        <w:t>状态变化通过事件/操作记录保存操作者、时间、原因、前后状态、审批和关联附件。</w:t>
      </w:r>
    </w:p>
    <w:p>
      <w:pPr>
        <w:pStyle w:val="Heading2"/>
      </w:pPr>
      <w:r>
        <w:rPr>
          <w:rFonts w:ascii="Source Han Sans CN" w:hAnsi="Source Han Sans CN" w:eastAsia="Source Han Sans CN" w:cs="Source Han Sans CN"/>
          <w:b/>
          <w:color w:val="1F4E78"/>
          <w:sz w:val="26"/>
        </w:rPr>
        <w:t>19.4 数据分类与保留</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3700"/>
        <w:gridCol w:w="41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数据类别</w:t>
            </w:r>
          </w:p>
        </w:tc>
        <w:tc>
          <w:tcPr>
            <w:tcW w:type="dxa" w:w="3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示例</w:t>
            </w:r>
          </w:p>
        </w:tc>
        <w:tc>
          <w:tcPr>
            <w:tcW w:type="dxa" w:w="4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保护与保留原则</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公开/普通业务</w:t>
            </w:r>
          </w:p>
        </w:tc>
        <w:tc>
          <w:tcPr>
            <w:tcW w:type="dxa" w:w="3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公开招标公告、一般物料描述</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按业务权限展示，避免无必要公开内部数据</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内部敏感</w:t>
            </w:r>
          </w:p>
        </w:tc>
        <w:tc>
          <w:tcPr>
            <w:tcW w:type="dxa" w:w="3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报价排名、成本分析、评审意见、配额策略</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仅项目/授权角色可见；导出水印和审计</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商业机密</w:t>
            </w:r>
          </w:p>
        </w:tc>
        <w:tc>
          <w:tcPr>
            <w:tcW w:type="dxa" w:w="3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图纸、BOM摘要、工艺、合同、报价和技术方案</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最小权限、加密、下载控制、保密协议和访问日志</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个人信息</w:t>
            </w:r>
          </w:p>
        </w:tc>
        <w:tc>
          <w:tcPr>
            <w:tcW w:type="dxa" w:w="3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联系人姓名、电话、邮箱、身份认证资料</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目的限定、脱敏、访问控制、保留期和删除/匿名化策略</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财务敏感</w:t>
            </w:r>
          </w:p>
        </w:tc>
        <w:tc>
          <w:tcPr>
            <w:tcW w:type="dxa" w:w="3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银行账户、税务、发票和付款信息</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字段级权限、变更复核、加密、完整审计</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审计证据</w:t>
            </w:r>
          </w:p>
        </w:tc>
        <w:tc>
          <w:tcPr>
            <w:tcW w:type="dxa" w:w="3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审批、签署、操作、接口、版本和关键消息</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防篡改、独立保留策略；到期归档而非业务删除</w:t>
            </w:r>
          </w:p>
        </w:tc>
      </w:tr>
    </w:tbl>
    <w:p>
      <w:pPr>
        <w:spacing w:after="40"/>
      </w:pPr>
    </w:p>
    <w:p>
      <w:pPr>
        <w:pStyle w:val="Heading1"/>
      </w:pPr>
      <w:r>
        <w:rPr>
          <w:rFonts w:ascii="Source Han Sans CN" w:hAnsi="Source Han Sans CN" w:eastAsia="Source Han Sans CN" w:cs="Source Han Sans CN"/>
          <w:b/>
          <w:color w:val="1F4E78"/>
          <w:sz w:val="32"/>
        </w:rPr>
        <w:t>20. 应用与技术架构总体设计</w:t>
      </w:r>
    </w:p>
    <w:p>
      <w:pPr>
        <w:keepNext/>
        <w:spacing w:before="100" w:after="40"/>
        <w:jc w:val="center"/>
      </w:pPr>
      <w:r>
        <w:drawing>
          <wp:inline xmlns:a="http://schemas.openxmlformats.org/drawingml/2006/main" xmlns:pic="http://schemas.openxmlformats.org/drawingml/2006/picture">
            <wp:extent cx="6080760" cy="3783584"/>
            <wp:docPr id="5" name="Picture 5" descr="内部门户、供应商门户、十个领域模块、平台支撑服务及数据集成层组成的模块化单体架构" title="内部门户、供应商门户、十个领域模块、平台支撑服务及数据集成层组成的模块化单体架构"/>
            <wp:cNvGraphicFramePr>
              <a:graphicFrameLocks noChangeAspect="1"/>
            </wp:cNvGraphicFramePr>
            <a:graphic>
              <a:graphicData uri="http://schemas.openxmlformats.org/drawingml/2006/picture">
                <pic:pic>
                  <pic:nvPicPr>
                    <pic:cNvPr id="0" name="04_application_architecture.png"/>
                    <pic:cNvPicPr/>
                  </pic:nvPicPr>
                  <pic:blipFill>
                    <a:blip r:embed="rId15"/>
                    <a:stretch>
                      <a:fillRect/>
                    </a:stretch>
                  </pic:blipFill>
                  <pic:spPr>
                    <a:xfrm>
                      <a:off x="0" y="0"/>
                      <a:ext cx="6080760" cy="3783584"/>
                    </a:xfrm>
                    <a:prstGeom prst="rect"/>
                  </pic:spPr>
                </pic:pic>
              </a:graphicData>
            </a:graphic>
          </wp:inline>
        </w:drawing>
      </w:r>
    </w:p>
    <w:p>
      <w:pPr>
        <w:pStyle w:val="BlueprintCaption"/>
        <w:keepLines/>
      </w:pPr>
      <w:r>
        <w:t>图 20-1　目标应用架构</w:t>
      </w:r>
    </w:p>
    <w:p>
      <w:pPr>
        <w:pStyle w:val="Heading2"/>
      </w:pPr>
      <w:r>
        <w:rPr>
          <w:rFonts w:ascii="Source Han Sans CN" w:hAnsi="Source Han Sans CN" w:eastAsia="Source Han Sans CN" w:cs="Source Han Sans CN"/>
          <w:b/>
          <w:color w:val="1F4E78"/>
          <w:sz w:val="26"/>
        </w:rPr>
        <w:t>20.1 架构策略</w:t>
      </w:r>
    </w:p>
    <w:p>
      <w:pPr>
        <w:spacing w:before="120" w:after="200" w:line="283" w:lineRule="auto"/>
        <w:ind w:left="173" w:right="115"/>
        <w:shd w:fill="ECFDF3"/>
        <w:pBdr>
          <w:left w:val="single" w:sz="20" w:space="8" w:color="166534"/>
        </w:pBdr>
        <w:keepLines/>
      </w:pPr>
      <w:r>
        <w:rPr>
          <w:rFonts w:ascii="Source Han Sans CN" w:hAnsi="Source Han Sans CN" w:eastAsia="Source Han Sans CN" w:cs="Source Han Sans CN"/>
          <w:b/>
          <w:color w:val="166534"/>
          <w:sz w:val="20"/>
        </w:rPr>
        <w:t xml:space="preserve">建议　</w:t>
      </w:r>
      <w:r>
        <w:rPr>
          <w:rFonts w:ascii="Source Han Sans CN" w:hAnsi="Source Han Sans CN" w:eastAsia="Source Han Sans CN" w:cs="Source Han Sans CN"/>
          <w:color w:val="1F2937"/>
          <w:sz w:val="20"/>
        </w:rPr>
        <w:t>第一阶段采用模块化单体，而不是立即拆成微服务。按领域包、数据库表前缀、应用服务和事件接口明确边界；单体部署降低个人/小团队开发和单服务器运维复杂度，同时保留未来拆分条件。</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3800"/>
        <w:gridCol w:w="41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架构层</w:t>
            </w:r>
          </w:p>
        </w:tc>
        <w:tc>
          <w:tcPr>
            <w:tcW w:type="dxa" w:w="3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职责</w:t>
            </w:r>
          </w:p>
        </w:tc>
        <w:tc>
          <w:tcPr>
            <w:tcW w:type="dxa" w:w="4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建议实现</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内部前端</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采购方工作台与业务管理</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Vue 3＋TypeScript＋Vite＋Element Plus；按领域路由和权限加载</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供应商前端</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供应商注册、报价、订单、交付、质量、结算协同</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独立入口/应用，复用设计系统与API SDK，不复用内部页面权限</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后端应用</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领域服务、状态机、业务校验、任务和接口</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Java 17＋Spring Boot 3；模块化包结构；REST API</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流程与规则</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审批编排、SLA、参数和策略</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初期可采用应用内可配置引擎；领域规则保留在领域服务</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数据存储</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事务数据、对象附件、缓存和搜索</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MySQL 8；对象存储；Redis/搜索按规模可选</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集成</w:t>
            </w:r>
          </w:p>
        </w:tc>
        <w:tc>
          <w:tcPr>
            <w:tcW w:type="dxa" w:w="3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API、事件、批量同步、文件交换和监控</w:t>
            </w:r>
          </w:p>
        </w:tc>
        <w:tc>
          <w:tcPr>
            <w:tcW w:type="dxa" w:w="4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统一集成层＋Outbox/Inbox＋调度任务＋接口对账</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运行</w:t>
            </w:r>
          </w:p>
        </w:tc>
        <w:tc>
          <w:tcPr>
            <w:tcW w:type="dxa" w:w="3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容器、反向代理、日志、备份和监控</w:t>
            </w:r>
          </w:p>
        </w:tc>
        <w:tc>
          <w:tcPr>
            <w:tcW w:type="dxa" w:w="4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Docker Compose起步；Nginx；可演进为多实例/编排平台</w:t>
            </w:r>
          </w:p>
        </w:tc>
      </w:tr>
    </w:tbl>
    <w:p>
      <w:pPr>
        <w:spacing w:after="40"/>
      </w:pPr>
    </w:p>
    <w:p>
      <w:pPr>
        <w:pStyle w:val="Heading2"/>
      </w:pPr>
      <w:r>
        <w:rPr>
          <w:rFonts w:ascii="Source Han Sans CN" w:hAnsi="Source Han Sans CN" w:eastAsia="Source Han Sans CN" w:cs="Source Han Sans CN"/>
          <w:b/>
          <w:color w:val="1F4E78"/>
          <w:sz w:val="26"/>
        </w:rPr>
        <w:t>20.2 前端应用边界</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300"/>
        <w:gridCol w:w="2600"/>
        <w:gridCol w:w="4700"/>
      </w:tblGrid>
      <w:tr>
        <w:trPr>
          <w:tblHeader w:val="true"/>
          <w:cantSplit/>
        </w:trPr>
        <w:tc>
          <w:tcPr>
            <w:tcW w:type="dxa" w:w="2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应用</w:t>
            </w:r>
          </w:p>
        </w:tc>
        <w:tc>
          <w:tcPr>
            <w:tcW w:type="dxa" w:w="2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用户</w:t>
            </w:r>
          </w:p>
        </w:tc>
        <w:tc>
          <w:tcPr>
            <w:tcW w:type="dxa" w:w="4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边界</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srm-internal-web</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内部采购、质量、仓储、财务、管理和管理员</w:t>
            </w:r>
          </w:p>
        </w:tc>
        <w:tc>
          <w:tcPr>
            <w:tcW w:type="dxa" w:w="4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拥有内部评审、价格策略、审批、治理和系统配置能力</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srm-supplier-web</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供应商主体下的注册、报价、订单、物流、质量和财务用户</w:t>
            </w:r>
          </w:p>
        </w:tc>
        <w:tc>
          <w:tcPr>
            <w:tcW w:type="dxa" w:w="4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只能访问本供应商/站点授权数据；不返回内部隐藏字段</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shared-ui/sdk</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两端复用</w:t>
            </w:r>
          </w:p>
        </w:tc>
        <w:tc>
          <w:tcPr>
            <w:tcW w:type="dxa" w:w="4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仅复用通用组件、字段格式、API类型和设计令牌，不共享业务权限判断</w:t>
            </w:r>
          </w:p>
        </w:tc>
      </w:tr>
    </w:tbl>
    <w:p>
      <w:pPr>
        <w:spacing w:after="40"/>
      </w:pP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供应商门户不应只是内部页面加一个供应商角色。两端在信息密度、任务语言、可见字段、附件、批量导入、通知和服务支持上不同，应从接口DTO到页面导航明确隔离。</w:t>
      </w:r>
    </w:p>
    <w:p>
      <w:pPr>
        <w:pStyle w:val="Heading2"/>
      </w:pPr>
      <w:r>
        <w:rPr>
          <w:rFonts w:ascii="Source Han Sans CN" w:hAnsi="Source Han Sans CN" w:eastAsia="Source Han Sans CN" w:cs="Source Han Sans CN"/>
          <w:b/>
          <w:color w:val="1F4E78"/>
          <w:sz w:val="26"/>
        </w:rPr>
        <w:t>20.3 后端模块建议</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3900"/>
        <w:gridCol w:w="40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模块</w:t>
            </w:r>
          </w:p>
        </w:tc>
        <w:tc>
          <w:tcPr>
            <w:tcW w:type="dxa" w:w="3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包/边界建议</w:t>
            </w:r>
          </w:p>
        </w:tc>
        <w:tc>
          <w:tcPr>
            <w:tcW w:type="dxa" w:w="4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关键服务</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supplier</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供应商主体、站点、准入、资质、变更</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注册、去重、准入、复审、冻结</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sourcing</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需求、项目、事件、报价、评审、定标</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发布、报价密封、评审、定标、转化</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contract</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合同、采购依据、价格</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覆盖匹配、价格计算、版本与临期</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source</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供应源、能力、配额、限制</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激活校验、匹配、推荐和状态传播</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procurement</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需求、匹配、缺口、分配、订单协同</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需求接收、分配、承诺、变更</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delivery</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交付计划、ASN、包装、物流、收货差异</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可发运校验、ASN、节点、差异</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quality</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审核、资格、项目、检验、异常、整改</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资格关口、NCR、8D和再验证</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settlement</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对账、差异、发票、请款、付款状态</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匹配、差异、提交财务、状态回传</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performance</w:t>
            </w:r>
          </w:p>
        </w:tc>
        <w:tc>
          <w:tcPr>
            <w:tcW w:type="dxa" w:w="3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指标、评分、风险、改善、决策</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取数、评分、预警、治理动作</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platform</w:t>
            </w:r>
          </w:p>
        </w:tc>
        <w:tc>
          <w:tcPr>
            <w:tcW w:type="dxa" w:w="3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身份、权限、流程、任务、消息、附件、审计、集成</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共享技术能力；不得承载领域业务状态</w:t>
            </w:r>
          </w:p>
        </w:tc>
      </w:tr>
    </w:tbl>
    <w:p>
      <w:pPr>
        <w:spacing w:after="40"/>
      </w:pPr>
    </w:p>
    <w:p>
      <w:pPr>
        <w:pStyle w:val="Heading2"/>
      </w:pPr>
      <w:r>
        <w:rPr>
          <w:rFonts w:ascii="Source Han Sans CN" w:hAnsi="Source Han Sans CN" w:eastAsia="Source Han Sans CN" w:cs="Source Han Sans CN"/>
          <w:b/>
          <w:color w:val="1F4E78"/>
          <w:sz w:val="26"/>
        </w:rPr>
        <w:t>20.4 模块通信与事务</w:t>
      </w:r>
    </w:p>
    <w:p>
      <w:pPr>
        <w:numPr>
          <w:ilvl w:val="0"/>
          <w:numId w:val="10"/>
        </w:numPr>
        <w:spacing w:before="0" w:after="80" w:line="293" w:lineRule="auto"/>
        <w:keepLines/>
      </w:pPr>
      <w:r>
        <w:rPr>
          <w:rFonts w:ascii="Source Han Sans CN" w:hAnsi="Source Han Sans CN" w:eastAsia="Source Han Sans CN" w:cs="Source Han Sans CN"/>
          <w:color w:val="1F2937"/>
          <w:sz w:val="21"/>
        </w:rPr>
        <w:t>同一模块内使用本地事务；跨模块优先通过应用服务和领域事件协同，避免跨模块直接更新表；</w:t>
      </w:r>
    </w:p>
    <w:p>
      <w:pPr>
        <w:numPr>
          <w:ilvl w:val="0"/>
          <w:numId w:val="10"/>
        </w:numPr>
        <w:spacing w:before="0" w:after="80" w:line="293" w:lineRule="auto"/>
        <w:keepLines/>
      </w:pPr>
      <w:r>
        <w:rPr>
          <w:rFonts w:ascii="Source Han Sans CN" w:hAnsi="Source Han Sans CN" w:eastAsia="Source Han Sans CN" w:cs="Source Han Sans CN"/>
          <w:color w:val="1F2937"/>
          <w:sz w:val="21"/>
        </w:rPr>
        <w:t>关键外部事件采用 Outbox 保证业务提交与待发送事件一致，消费端使用 Inbox/幂等表防重复；</w:t>
      </w:r>
    </w:p>
    <w:p>
      <w:pPr>
        <w:numPr>
          <w:ilvl w:val="0"/>
          <w:numId w:val="10"/>
        </w:numPr>
        <w:spacing w:before="0" w:after="80" w:line="293" w:lineRule="auto"/>
        <w:keepLines/>
      </w:pPr>
      <w:r>
        <w:rPr>
          <w:rFonts w:ascii="Source Han Sans CN" w:hAnsi="Source Han Sans CN" w:eastAsia="Source Han Sans CN" w:cs="Source Han Sans CN"/>
          <w:color w:val="1F2937"/>
          <w:sz w:val="21"/>
        </w:rPr>
        <w:t>同步调用只用于需要立即返回的校验或查询，长流程、批量同步和通知采用异步任务；</w:t>
      </w:r>
    </w:p>
    <w:p>
      <w:pPr>
        <w:numPr>
          <w:ilvl w:val="0"/>
          <w:numId w:val="10"/>
        </w:numPr>
        <w:spacing w:before="0" w:after="80" w:line="293" w:lineRule="auto"/>
        <w:keepLines/>
      </w:pPr>
      <w:r>
        <w:rPr>
          <w:rFonts w:ascii="Source Han Sans CN" w:hAnsi="Source Han Sans CN" w:eastAsia="Source Han Sans CN" w:cs="Source Han Sans CN"/>
          <w:color w:val="1F2937"/>
          <w:sz w:val="21"/>
        </w:rPr>
        <w:t>事件负载包含事件ID、对象ID、版本、发生时间、来源和追踪ID，消费者不得假设严格实时；</w:t>
      </w:r>
    </w:p>
    <w:p>
      <w:pPr>
        <w:numPr>
          <w:ilvl w:val="0"/>
          <w:numId w:val="10"/>
        </w:numPr>
        <w:spacing w:before="0" w:after="80" w:line="293" w:lineRule="auto"/>
        <w:keepLines/>
      </w:pPr>
      <w:r>
        <w:rPr>
          <w:rFonts w:ascii="Source Han Sans CN" w:hAnsi="Source Han Sans CN" w:eastAsia="Source Han Sans CN" w:cs="Source Han Sans CN"/>
          <w:color w:val="1F2937"/>
          <w:sz w:val="21"/>
        </w:rPr>
        <w:t>初期物理数据库可以共用MySQL实例，但按模块表前缀、访问仓储和迁移脚本隔离。</w:t>
      </w:r>
    </w:p>
    <w:p>
      <w:pPr>
        <w:pStyle w:val="Heading2"/>
      </w:pPr>
      <w:r>
        <w:rPr>
          <w:rFonts w:ascii="Source Han Sans CN" w:hAnsi="Source Han Sans CN" w:eastAsia="Source Han Sans CN" w:cs="Source Han Sans CN"/>
          <w:b/>
          <w:color w:val="1F4E78"/>
          <w:sz w:val="26"/>
        </w:rPr>
        <w:t>20.5 部署与演进</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4400"/>
        <w:gridCol w:w="34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阶段</w:t>
            </w:r>
          </w:p>
        </w:tc>
        <w:tc>
          <w:tcPr>
            <w:tcW w:type="dxa" w:w="4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部署建议</w:t>
            </w:r>
          </w:p>
        </w:tc>
        <w:tc>
          <w:tcPr>
            <w:tcW w:type="dxa" w:w="3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演进触发</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起步</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Nginx＋内部前端＋供应商前端＋后端＋MySQL＋对象存储（可外部）</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单正式环境、可恢复备份和基础监控</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增长</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后端无状态多实例、Redis、消息中间件、独立任务执行器、读写优化</w:t>
            </w:r>
          </w:p>
        </w:tc>
        <w:tc>
          <w:tcPr>
            <w:tcW w:type="dxa" w:w="3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用户/供应商量、批任务、接口吞吐或可用性要求提升</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拆分</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按集成、附件、搜索或高负载业务域拆服务；业务域拆分需真实瓶颈</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团队独立交付、扩缩容或故障隔离收益明确</w:t>
            </w:r>
          </w:p>
        </w:tc>
      </w:tr>
    </w:tbl>
    <w:p>
      <w:pPr>
        <w:spacing w:after="40"/>
      </w:pPr>
    </w:p>
    <w:p>
      <w:pPr>
        <w:pStyle w:val="Heading1"/>
      </w:pPr>
      <w:r>
        <w:rPr>
          <w:rFonts w:ascii="Source Han Sans CN" w:hAnsi="Source Han Sans CN" w:eastAsia="Source Han Sans CN" w:cs="Source Han Sans CN"/>
          <w:b/>
          <w:color w:val="1F4E78"/>
          <w:sz w:val="32"/>
        </w:rPr>
        <w:t>21. 集成与数据交换总体设计</w:t>
      </w:r>
    </w:p>
    <w:p>
      <w:pPr>
        <w:pStyle w:val="Heading2"/>
      </w:pPr>
      <w:r>
        <w:rPr>
          <w:rFonts w:ascii="Source Han Sans CN" w:hAnsi="Source Han Sans CN" w:eastAsia="Source Han Sans CN" w:cs="Source Han Sans CN"/>
          <w:b/>
          <w:color w:val="1F4E78"/>
          <w:sz w:val="26"/>
        </w:rPr>
        <w:t>21.1 外围系统集成矩阵</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400"/>
        <w:gridCol w:w="3300"/>
        <w:gridCol w:w="3100"/>
        <w:gridCol w:w="1800"/>
      </w:tblGrid>
      <w:tr>
        <w:trPr>
          <w:tblHeader w:val="true"/>
          <w:cantSplit/>
        </w:trPr>
        <w:tc>
          <w:tcPr>
            <w:tcW w:type="dxa" w:w="1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6"/>
              </w:rPr>
              <w:t>系统</w:t>
            </w:r>
          </w:p>
        </w:tc>
        <w:tc>
          <w:tcPr>
            <w:tcW w:type="dxa" w:w="3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6"/>
              </w:rPr>
              <w:t>入SRM</w:t>
            </w:r>
          </w:p>
        </w:tc>
        <w:tc>
          <w:tcPr>
            <w:tcW w:type="dxa" w:w="3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6"/>
              </w:rPr>
              <w:t>出SRM</w:t>
            </w:r>
          </w:p>
        </w:tc>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6"/>
              </w:rPr>
              <w:t>建议方式</w:t>
            </w:r>
          </w:p>
        </w:tc>
      </w:tr>
      <w:tr>
        <w:trPr>
          <w:cantSplit/>
        </w:trPr>
        <w:tc>
          <w:tcPr>
            <w:tcW w:type="dxa" w:w="1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ERP/MRP</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组织、物料、采购需求、正式PO、收货、应付、付款</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分配/采购指令、供应源/配额、确认/ASN/对账</w:t>
            </w:r>
          </w:p>
        </w:tc>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API＋事件；主数据可增量批量</w:t>
            </w:r>
          </w:p>
        </w:tc>
      </w:tr>
      <w:tr>
        <w:trPr>
          <w:cantSplit/>
        </w:trPr>
        <w:tc>
          <w:tcPr>
            <w:tcW w:type="dxa" w:w="1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PLM</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物料版本、BOM摘要、项目、图纸引用、工程变更</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候选供应商、报价/成本、资格与供应准备度</w:t>
            </w:r>
          </w:p>
        </w:tc>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API/事件；大文件走受控链接</w:t>
            </w:r>
          </w:p>
        </w:tc>
      </w:tr>
      <w:tr>
        <w:trPr>
          <w:cantSplit/>
        </w:trPr>
        <w:tc>
          <w:tcPr>
            <w:tcW w:type="dxa" w:w="1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QMS</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检验计划/结果、不合格、质量判定</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资格、供应商整改、8D/CAPA和复验信息</w:t>
            </w:r>
          </w:p>
        </w:tc>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API＋事件</w:t>
            </w:r>
          </w:p>
        </w:tc>
      </w:tr>
      <w:tr>
        <w:trPr>
          <w:cantSplit/>
        </w:trPr>
        <w:tc>
          <w:tcPr>
            <w:tcW w:type="dxa" w:w="1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WMS</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收货、退货、库存相关协同结果</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ASN、预约、包装标签和预计到达</w:t>
            </w:r>
          </w:p>
        </w:tc>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API＋事件</w:t>
            </w:r>
          </w:p>
        </w:tc>
      </w:tr>
      <w:tr>
        <w:trPr>
          <w:cantSplit/>
        </w:trPr>
        <w:tc>
          <w:tcPr>
            <w:tcW w:type="dxa" w:w="1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财务/税务</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应付、发票校验、付款和失败原因</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已一致对账、发票/请款材料</w:t>
            </w:r>
          </w:p>
        </w:tc>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API＋批量对账</w:t>
            </w:r>
          </w:p>
        </w:tc>
      </w:tr>
      <w:tr>
        <w:trPr>
          <w:cantSplit/>
        </w:trPr>
        <w:tc>
          <w:tcPr>
            <w:tcW w:type="dxa" w:w="1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电子签署/CLM</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签署状态、签署文件、证据链</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合同文件、签署方、流程和回调地址</w:t>
            </w:r>
          </w:p>
        </w:tc>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API＋回调</w:t>
            </w:r>
          </w:p>
        </w:tc>
      </w:tr>
      <w:tr>
        <w:trPr>
          <w:cantSplit/>
        </w:trPr>
        <w:tc>
          <w:tcPr>
            <w:tcW w:type="dxa" w:w="1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物流/TMS</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运单、轨迹、签收和异常</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发运、地址、包装和预约</w:t>
            </w:r>
          </w:p>
        </w:tc>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API/事件</w:t>
            </w:r>
          </w:p>
        </w:tc>
      </w:tr>
      <w:tr>
        <w:trPr>
          <w:cantSplit/>
        </w:trPr>
        <w:tc>
          <w:tcPr>
            <w:tcW w:type="dxa" w:w="1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风险数据</w:t>
            </w:r>
          </w:p>
        </w:tc>
        <w:tc>
          <w:tcPr>
            <w:tcW w:type="dxa" w:w="3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工商、司法、制裁、信用、ESG等信号</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供应商身份或订阅列表</w:t>
            </w:r>
          </w:p>
        </w:tc>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API＋周期拉取</w:t>
            </w:r>
          </w:p>
        </w:tc>
      </w:tr>
      <w:tr>
        <w:trPr>
          <w:cantSplit/>
        </w:trPr>
        <w:tc>
          <w:tcPr>
            <w:tcW w:type="dxa" w:w="1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统一身份/IM</w:t>
            </w:r>
          </w:p>
        </w:tc>
        <w:tc>
          <w:tcPr>
            <w:tcW w:type="dxa" w:w="3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用户、组织、登录断言</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待办、审批和消息</w:t>
            </w:r>
          </w:p>
        </w:tc>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OIDC/SAML＋消息API</w:t>
            </w:r>
          </w:p>
        </w:tc>
      </w:tr>
    </w:tbl>
    <w:p>
      <w:pPr>
        <w:spacing w:after="40"/>
      </w:pPr>
    </w:p>
    <w:p>
      <w:pPr>
        <w:pStyle w:val="Heading2"/>
      </w:pPr>
      <w:r>
        <w:rPr>
          <w:rFonts w:ascii="Source Han Sans CN" w:hAnsi="Source Han Sans CN" w:eastAsia="Source Han Sans CN" w:cs="Source Han Sans CN"/>
          <w:b/>
          <w:color w:val="1F4E78"/>
          <w:sz w:val="26"/>
        </w:rPr>
        <w:t>21.2 集成方式选择</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3500"/>
        <w:gridCol w:w="44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方式</w:t>
            </w:r>
          </w:p>
        </w:tc>
        <w:tc>
          <w:tcPr>
            <w:tcW w:type="dxa" w:w="3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适用</w:t>
            </w:r>
          </w:p>
        </w:tc>
        <w:tc>
          <w:tcPr>
            <w:tcW w:type="dxa" w:w="4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关键要求</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同步API</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实时查询、即时校验、少量命令</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超时、重试边界、幂等、鉴权、版本和降级</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业务事件</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PO发布、收货、检验、付款等状态变化</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至少一次投递、幂等消费、乱序处理、重放和死信</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批量同步</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主数据、历史导入、周期对账和大批量状态</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增量标记、校验报告、断点续传和批次审计</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受控文件</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外围系统能力有限或合规交换</w:t>
            </w:r>
          </w:p>
        </w:tc>
        <w:tc>
          <w:tcPr>
            <w:tcW w:type="dxa" w:w="4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模板版本、签名/加密、病毒扫描、重复识别和结果回执</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人工补录</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紧急兜底、低频例外</w:t>
            </w:r>
          </w:p>
        </w:tc>
        <w:tc>
          <w:tcPr>
            <w:tcW w:type="dxa" w:w="4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权限、双人复核、来源证据和后续对账</w:t>
            </w:r>
          </w:p>
        </w:tc>
      </w:tr>
    </w:tbl>
    <w:p>
      <w:pPr>
        <w:spacing w:after="40"/>
      </w:pPr>
    </w:p>
    <w:p>
      <w:pPr>
        <w:pStyle w:val="Heading2"/>
      </w:pPr>
      <w:r>
        <w:rPr>
          <w:rFonts w:ascii="Source Han Sans CN" w:hAnsi="Source Han Sans CN" w:eastAsia="Source Han Sans CN" w:cs="Source Han Sans CN"/>
          <w:b/>
          <w:color w:val="1F4E78"/>
          <w:sz w:val="26"/>
        </w:rPr>
        <w:t>21.3 接口治理</w:t>
      </w:r>
    </w:p>
    <w:p>
      <w:pPr>
        <w:numPr>
          <w:ilvl w:val="0"/>
          <w:numId w:val="10"/>
        </w:numPr>
        <w:spacing w:before="0" w:after="80" w:line="293" w:lineRule="auto"/>
        <w:keepLines/>
      </w:pPr>
      <w:r>
        <w:rPr>
          <w:rFonts w:ascii="Source Han Sans CN" w:hAnsi="Source Han Sans CN" w:eastAsia="Source Han Sans CN" w:cs="Source Han Sans CN"/>
          <w:color w:val="1F2937"/>
          <w:sz w:val="21"/>
        </w:rPr>
        <w:t>每个接口定义数据权属、方向、触发、频率、SLA、幂等键、版本、错误码和补偿责任；</w:t>
      </w:r>
    </w:p>
    <w:p>
      <w:pPr>
        <w:numPr>
          <w:ilvl w:val="0"/>
          <w:numId w:val="10"/>
        </w:numPr>
        <w:spacing w:before="0" w:after="80" w:line="293" w:lineRule="auto"/>
        <w:keepLines/>
      </w:pPr>
      <w:r>
        <w:rPr>
          <w:rFonts w:ascii="Source Han Sans CN" w:hAnsi="Source Han Sans CN" w:eastAsia="Source Han Sans CN" w:cs="Source Han Sans CN"/>
          <w:color w:val="1F2937"/>
          <w:sz w:val="21"/>
        </w:rPr>
        <w:t>业务状态与接口状态分离；接口失败不得把“已批准PO”退回“草稿”；</w:t>
      </w:r>
    </w:p>
    <w:p>
      <w:pPr>
        <w:numPr>
          <w:ilvl w:val="0"/>
          <w:numId w:val="10"/>
        </w:numPr>
        <w:spacing w:before="0" w:after="80" w:line="293" w:lineRule="auto"/>
        <w:keepLines/>
      </w:pPr>
      <w:r>
        <w:rPr>
          <w:rFonts w:ascii="Source Han Sans CN" w:hAnsi="Source Han Sans CN" w:eastAsia="Source Han Sans CN" w:cs="Source Han Sans CN"/>
          <w:color w:val="1F2937"/>
          <w:sz w:val="21"/>
        </w:rPr>
        <w:t>使用 correlation_id/trace_id 串联SRM、ERP、WMS、QMS和财务日志；</w:t>
      </w:r>
    </w:p>
    <w:p>
      <w:pPr>
        <w:numPr>
          <w:ilvl w:val="0"/>
          <w:numId w:val="10"/>
        </w:numPr>
        <w:spacing w:before="0" w:after="80" w:line="293" w:lineRule="auto"/>
        <w:keepLines/>
      </w:pPr>
      <w:r>
        <w:rPr>
          <w:rFonts w:ascii="Source Han Sans CN" w:hAnsi="Source Han Sans CN" w:eastAsia="Source Han Sans CN" w:cs="Source Han Sans CN"/>
          <w:color w:val="1F2937"/>
          <w:sz w:val="21"/>
        </w:rPr>
        <w:t>对关键对象执行日终/周期对账，识别漏单、重复、版本不一致和状态悬挂；</w:t>
      </w:r>
    </w:p>
    <w:p>
      <w:pPr>
        <w:numPr>
          <w:ilvl w:val="0"/>
          <w:numId w:val="10"/>
        </w:numPr>
        <w:spacing w:before="0" w:after="80" w:line="293" w:lineRule="auto"/>
        <w:keepLines/>
      </w:pPr>
      <w:r>
        <w:rPr>
          <w:rFonts w:ascii="Source Han Sans CN" w:hAnsi="Source Han Sans CN" w:eastAsia="Source Han Sans CN" w:cs="Source Han Sans CN"/>
          <w:color w:val="1F2937"/>
          <w:sz w:val="21"/>
        </w:rPr>
        <w:t>失败按可重试、需人工修复、业务拒绝和不可恢复分类；重试必须指数退避并设上限；</w:t>
      </w:r>
    </w:p>
    <w:p>
      <w:pPr>
        <w:numPr>
          <w:ilvl w:val="0"/>
          <w:numId w:val="10"/>
        </w:numPr>
        <w:spacing w:before="0" w:after="80" w:line="293" w:lineRule="auto"/>
        <w:keepLines/>
      </w:pPr>
      <w:r>
        <w:rPr>
          <w:rFonts w:ascii="Source Han Sans CN" w:hAnsi="Source Han Sans CN" w:eastAsia="Source Han Sans CN" w:cs="Source Han Sans CN"/>
          <w:color w:val="1F2937"/>
          <w:sz w:val="21"/>
        </w:rPr>
        <w:t>接口凭据进入安全配置或密钥服务，前端、日志和数据库业务表不得保存明文密钥。</w:t>
      </w:r>
    </w:p>
    <w:p>
      <w:pPr>
        <w:pStyle w:val="Heading2"/>
      </w:pPr>
      <w:r>
        <w:rPr>
          <w:rFonts w:ascii="Source Han Sans CN" w:hAnsi="Source Han Sans CN" w:eastAsia="Source Han Sans CN" w:cs="Source Han Sans CN"/>
          <w:b/>
          <w:color w:val="1F4E78"/>
          <w:sz w:val="26"/>
        </w:rPr>
        <w:t>21.4 正式PO接口建议流程</w:t>
      </w:r>
    </w:p>
    <w:p>
      <w:pPr>
        <w:numPr>
          <w:ilvl w:val="0"/>
          <w:numId w:val="11"/>
        </w:numPr>
        <w:spacing w:before="0" w:after="100" w:line="293" w:lineRule="auto"/>
        <w:keepLines/>
      </w:pPr>
      <w:r>
        <w:rPr>
          <w:rFonts w:ascii="Source Han Sans CN" w:hAnsi="Source Han Sans CN" w:eastAsia="Source Han Sans CN" w:cs="Source Han Sans CN"/>
          <w:color w:val="1F2937"/>
          <w:sz w:val="21"/>
        </w:rPr>
        <w:t>SRM完成需求分配和下单前治理校验，生成批准的采购指令及幂等号。</w:t>
      </w:r>
    </w:p>
    <w:p>
      <w:pPr>
        <w:numPr>
          <w:ilvl w:val="0"/>
          <w:numId w:val="11"/>
        </w:numPr>
        <w:spacing w:before="0" w:after="100" w:line="293" w:lineRule="auto"/>
        <w:keepLines/>
      </w:pPr>
      <w:r>
        <w:rPr>
          <w:rFonts w:ascii="Source Han Sans CN" w:hAnsi="Source Han Sans CN" w:eastAsia="Source Han Sans CN" w:cs="Source Han Sans CN"/>
          <w:color w:val="1F2937"/>
          <w:sz w:val="21"/>
        </w:rPr>
        <w:t>ERP接收采购指令，执行其自身预算、账户、税务和采购审批/创建规则。</w:t>
      </w:r>
    </w:p>
    <w:p>
      <w:pPr>
        <w:numPr>
          <w:ilvl w:val="0"/>
          <w:numId w:val="11"/>
        </w:numPr>
        <w:spacing w:before="0" w:after="100" w:line="293" w:lineRule="auto"/>
        <w:keepLines/>
      </w:pPr>
      <w:r>
        <w:rPr>
          <w:rFonts w:ascii="Source Han Sans CN" w:hAnsi="Source Han Sans CN" w:eastAsia="Source Han Sans CN" w:cs="Source Han Sans CN"/>
          <w:color w:val="1F2937"/>
          <w:sz w:val="21"/>
        </w:rPr>
        <w:t>ERP返回正式PO号、行/计划行、版本和状态；SRM建立映射并校验金额/数量。</w:t>
      </w:r>
    </w:p>
    <w:p>
      <w:pPr>
        <w:numPr>
          <w:ilvl w:val="0"/>
          <w:numId w:val="11"/>
        </w:numPr>
        <w:spacing w:before="0" w:after="100" w:line="293" w:lineRule="auto"/>
        <w:keepLines/>
      </w:pPr>
      <w:r>
        <w:rPr>
          <w:rFonts w:ascii="Source Han Sans CN" w:hAnsi="Source Han Sans CN" w:eastAsia="Source Han Sans CN" w:cs="Source Han Sans CN"/>
          <w:color w:val="1F2937"/>
          <w:sz w:val="21"/>
        </w:rPr>
        <w:t>SRM向供应商发布可见PO，接收确认和差异；需要变更时形成变更请求或同步ERP变更。</w:t>
      </w:r>
    </w:p>
    <w:p>
      <w:pPr>
        <w:numPr>
          <w:ilvl w:val="0"/>
          <w:numId w:val="11"/>
        </w:numPr>
        <w:spacing w:before="0" w:after="100" w:line="293" w:lineRule="auto"/>
        <w:keepLines/>
      </w:pPr>
      <w:r>
        <w:rPr>
          <w:rFonts w:ascii="Source Han Sans CN" w:hAnsi="Source Han Sans CN" w:eastAsia="Source Han Sans CN" w:cs="Source Han Sans CN"/>
          <w:color w:val="1F2937"/>
          <w:sz w:val="21"/>
        </w:rPr>
        <w:t>ERP返回正式变更版本；SRM使旧版本不可继续确认，并通知供应商重新响应。</w:t>
      </w:r>
    </w:p>
    <w:p>
      <w:pPr>
        <w:numPr>
          <w:ilvl w:val="0"/>
          <w:numId w:val="11"/>
        </w:numPr>
        <w:spacing w:before="0" w:after="100" w:line="293" w:lineRule="auto"/>
        <w:keepLines/>
      </w:pPr>
      <w:r>
        <w:rPr>
          <w:rFonts w:ascii="Source Han Sans CN" w:hAnsi="Source Han Sans CN" w:eastAsia="Source Han Sans CN" w:cs="Source Han Sans CN"/>
          <w:color w:val="1F2937"/>
          <w:sz w:val="21"/>
        </w:rPr>
        <w:t>双方通过周期对账检查PO、版本、状态、取消和行数量一致性。</w:t>
      </w:r>
    </w:p>
    <w:p>
      <w:pPr>
        <w:pStyle w:val="Heading1"/>
      </w:pPr>
      <w:r>
        <w:rPr>
          <w:rFonts w:ascii="Source Han Sans CN" w:hAnsi="Source Han Sans CN" w:eastAsia="Source Han Sans CN" w:cs="Source Han Sans CN"/>
          <w:b/>
          <w:color w:val="1F4E78"/>
          <w:sz w:val="32"/>
        </w:rPr>
        <w:t>22. 安全、权限与审计总体设计</w:t>
      </w:r>
    </w:p>
    <w:p>
      <w:pPr>
        <w:pStyle w:val="Heading2"/>
      </w:pPr>
      <w:r>
        <w:rPr>
          <w:rFonts w:ascii="Source Han Sans CN" w:hAnsi="Source Han Sans CN" w:eastAsia="Source Han Sans CN" w:cs="Source Han Sans CN"/>
          <w:b/>
          <w:color w:val="1F4E78"/>
          <w:sz w:val="26"/>
        </w:rPr>
        <w:t>22.1 身份与访问安全</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000"/>
        <w:gridCol w:w="7600"/>
      </w:tblGrid>
      <w:tr>
        <w:trPr>
          <w:tblHeader w:val="true"/>
          <w:cantSplit/>
        </w:trPr>
        <w:tc>
          <w:tcPr>
            <w:tcW w:type="dxa" w:w="2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控制域</w:t>
            </w:r>
          </w:p>
        </w:tc>
        <w:tc>
          <w:tcPr>
            <w:tcW w:type="dxa" w:w="7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总体要求</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内部身份</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优先接入企业SSO/OIDC；高风险管理员和审批启用MFA；离职/禁用及时同步。</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供应商身份</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账号必须绑定供应商主体和站点；邀请/注册验证；供应商管理员授权受控。</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会话</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短期访问令牌、刷新策略、设备/地域异常、空闲超时和强制退出。</w:t>
            </w:r>
          </w:p>
        </w:tc>
      </w:tr>
      <w:tr>
        <w:trPr>
          <w:cantSplit/>
        </w:trPr>
        <w:tc>
          <w:tcPr>
            <w:tcW w:type="dxa" w:w="2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服务鉴权</w:t>
            </w:r>
          </w:p>
        </w:tc>
        <w:tc>
          <w:tcPr>
            <w:tcW w:type="dxa" w:w="7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后端对每个接口执行权限和数据域校验，不能依赖前端隐藏按钮。</w:t>
            </w:r>
          </w:p>
        </w:tc>
      </w:tr>
      <w:tr>
        <w:trPr>
          <w:cantSplit/>
        </w:trPr>
        <w:tc>
          <w:tcPr>
            <w:tcW w:type="dxa" w:w="2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特权访问</w:t>
            </w:r>
          </w:p>
        </w:tc>
        <w:tc>
          <w:tcPr>
            <w:tcW w:type="dxa" w:w="7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管理员权限最小化、临时授权、关键配置双人复核和操作审计。</w:t>
            </w:r>
          </w:p>
        </w:tc>
      </w:tr>
    </w:tbl>
    <w:p>
      <w:pPr>
        <w:spacing w:after="40"/>
      </w:pPr>
    </w:p>
    <w:p>
      <w:pPr>
        <w:pStyle w:val="Heading2"/>
      </w:pPr>
      <w:r>
        <w:rPr>
          <w:rFonts w:ascii="Source Han Sans CN" w:hAnsi="Source Han Sans CN" w:eastAsia="Source Han Sans CN" w:cs="Source Han Sans CN"/>
          <w:b/>
          <w:color w:val="1F4E78"/>
          <w:sz w:val="26"/>
        </w:rPr>
        <w:t>22.2 供应商隔离</w:t>
      </w:r>
    </w:p>
    <w:p>
      <w:pPr>
        <w:spacing w:before="120" w:after="200" w:line="283" w:lineRule="auto"/>
        <w:ind w:left="173" w:right="115"/>
        <w:shd w:fill="FEF2F2"/>
        <w:pBdr>
          <w:left w:val="single" w:sz="20" w:space="8" w:color="9B1C1C"/>
        </w:pBdr>
        <w:keepLines/>
      </w:pPr>
      <w:r>
        <w:rPr>
          <w:rFonts w:ascii="Source Han Sans CN" w:hAnsi="Source Han Sans CN" w:eastAsia="Source Han Sans CN" w:cs="Source Han Sans CN"/>
          <w:b/>
          <w:color w:val="9B1C1C"/>
          <w:sz w:val="20"/>
        </w:rPr>
        <w:t xml:space="preserve">强制规则　</w:t>
      </w:r>
      <w:r>
        <w:rPr>
          <w:rFonts w:ascii="Source Han Sans CN" w:hAnsi="Source Han Sans CN" w:eastAsia="Source Han Sans CN" w:cs="Source Han Sans CN"/>
          <w:color w:val="1F2937"/>
          <w:sz w:val="20"/>
        </w:rPr>
        <w:t>任何供应商请求都必须由后端从身份上下文确定 supplier_id/site_scope，不接受前端提交任意供应商ID作为访问依据。查询、导出、附件下载、搜索索引和消息同样执行隔离。</w:t>
      </w:r>
    </w:p>
    <w:p>
      <w:pPr>
        <w:numPr>
          <w:ilvl w:val="0"/>
          <w:numId w:val="10"/>
        </w:numPr>
        <w:spacing w:before="0" w:after="80" w:line="293" w:lineRule="auto"/>
        <w:keepLines/>
      </w:pPr>
      <w:r>
        <w:rPr>
          <w:rFonts w:ascii="Source Han Sans CN" w:hAnsi="Source Han Sans CN" w:eastAsia="Source Han Sans CN" w:cs="Source Han Sans CN"/>
          <w:color w:val="1F2937"/>
          <w:sz w:val="21"/>
        </w:rPr>
        <w:t>内部与供应商使用不同安全域、角色集合或令牌声明；</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供应商不能通过顺序ID、URL或批量接口枚举其他供应商数据；</w:t>
      </w:r>
    </w:p>
    <w:p>
      <w:pPr>
        <w:numPr>
          <w:ilvl w:val="0"/>
          <w:numId w:val="10"/>
        </w:numPr>
        <w:spacing w:before="0" w:after="80" w:line="293" w:lineRule="auto"/>
        <w:keepLines/>
      </w:pPr>
      <w:r>
        <w:rPr>
          <w:rFonts w:ascii="Source Han Sans CN" w:hAnsi="Source Han Sans CN" w:eastAsia="Source Han Sans CN" w:cs="Source Han Sans CN"/>
          <w:color w:val="1F2937"/>
          <w:sz w:val="21"/>
        </w:rPr>
        <w:t>采购方内部评审意见、成本、排名、底价和其他供应商报价必须字段级隔离；</w:t>
      </w:r>
    </w:p>
    <w:p>
      <w:pPr>
        <w:numPr>
          <w:ilvl w:val="0"/>
          <w:numId w:val="10"/>
        </w:numPr>
        <w:spacing w:before="0" w:after="80" w:line="293" w:lineRule="auto"/>
        <w:keepLines/>
      </w:pPr>
      <w:r>
        <w:rPr>
          <w:rFonts w:ascii="Source Han Sans CN" w:hAnsi="Source Han Sans CN" w:eastAsia="Source Han Sans CN" w:cs="Source Han Sans CN"/>
          <w:color w:val="1F2937"/>
          <w:sz w:val="21"/>
        </w:rPr>
        <w:t>附件下载使用短期授权、权限复核和审计，不暴露永久公共链接；</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供应商用户跨站点授权需显式配置，默认只访问所属站点相关业务。</w:t>
      </w:r>
    </w:p>
    <w:p>
      <w:pPr>
        <w:pStyle w:val="Heading2"/>
      </w:pPr>
      <w:r>
        <w:rPr>
          <w:rFonts w:ascii="Source Han Sans CN" w:hAnsi="Source Han Sans CN" w:eastAsia="Source Han Sans CN" w:cs="Source Han Sans CN"/>
          <w:b/>
          <w:color w:val="1F4E78"/>
          <w:sz w:val="26"/>
        </w:rPr>
        <w:t>22.3 数据保护</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78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场景</w:t>
            </w:r>
          </w:p>
        </w:tc>
        <w:tc>
          <w:tcPr>
            <w:tcW w:type="dxa" w:w="7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控制</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传输</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全站TLS；内部接口双向认证或受信网络；禁止明文协议。</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存储</w:t>
            </w:r>
          </w:p>
        </w:tc>
        <w:tc>
          <w:tcPr>
            <w:tcW w:type="dxa" w:w="7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密码不可逆哈希；银行、身份证明、密钥等敏感字段加密或令牌化。</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导出</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单独权限、行数限制、脱敏、水印、异步生成、有效期和下载审计。</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附件</w:t>
            </w:r>
          </w:p>
        </w:tc>
        <w:tc>
          <w:tcPr>
            <w:tcW w:type="dxa" w:w="7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白名单类型、大小限制、病毒扫描、内容类型验证、版本和访问控制。</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日志</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不得记录密码、令牌、完整银行账户、身份证明和敏感附件内容。</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隐私</w:t>
            </w:r>
          </w:p>
        </w:tc>
        <w:tc>
          <w:tcPr>
            <w:tcW w:type="dxa" w:w="7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目的限定、最小收集、保留期、纠错和合规删除/匿名化。</w:t>
            </w:r>
          </w:p>
        </w:tc>
      </w:tr>
    </w:tbl>
    <w:p>
      <w:pPr>
        <w:spacing w:after="40"/>
      </w:pPr>
    </w:p>
    <w:p>
      <w:pPr>
        <w:pStyle w:val="Heading2"/>
      </w:pPr>
      <w:r>
        <w:rPr>
          <w:rFonts w:ascii="Source Han Sans CN" w:hAnsi="Source Han Sans CN" w:eastAsia="Source Han Sans CN" w:cs="Source Han Sans CN"/>
          <w:b/>
          <w:color w:val="1F4E78"/>
          <w:sz w:val="26"/>
        </w:rPr>
        <w:t>22.4 审计范围</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77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审计类型</w:t>
            </w:r>
          </w:p>
        </w:tc>
        <w:tc>
          <w:tcPr>
            <w:tcW w:type="dxa" w:w="7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至少记录</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身份</w:t>
            </w:r>
          </w:p>
        </w:tc>
        <w:tc>
          <w:tcPr>
            <w:tcW w:type="dxa" w:w="7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登录、失败、MFA、密码/绑定变化、供应商管理员操作和账号禁用</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授权</w:t>
            </w:r>
          </w:p>
        </w:tc>
        <w:tc>
          <w:tcPr>
            <w:tcW w:type="dxa" w:w="7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角色用户挂载、权限、数据范围、临时授权和管理员提升</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业务</w:t>
            </w:r>
          </w:p>
        </w:tc>
        <w:tc>
          <w:tcPr>
            <w:tcW w:type="dxa" w:w="7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创建、提交、撤回、审批、状态变化、价格/份额/供应源/PO/质量决定</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数据</w:t>
            </w:r>
          </w:p>
        </w:tc>
        <w:tc>
          <w:tcPr>
            <w:tcW w:type="dxa" w:w="7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敏感查看、批量查询、导出、下载、删除/匿名化和重要字段变更</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配置</w:t>
            </w:r>
          </w:p>
        </w:tc>
        <w:tc>
          <w:tcPr>
            <w:tcW w:type="dxa" w:w="7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流程、字典、参数、评分模型、容差、编号和消息模板变更</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集成</w:t>
            </w:r>
          </w:p>
        </w:tc>
        <w:tc>
          <w:tcPr>
            <w:tcW w:type="dxa" w:w="7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请求摘要、响应、状态、版本、重试、人工补偿和对账结果</w:t>
            </w:r>
          </w:p>
        </w:tc>
      </w:tr>
    </w:tbl>
    <w:p>
      <w:pPr>
        <w:spacing w:after="40"/>
      </w:pPr>
    </w:p>
    <w:p>
      <w:pPr>
        <w:pStyle w:val="Heading1"/>
      </w:pPr>
      <w:r>
        <w:rPr>
          <w:rFonts w:ascii="Source Han Sans CN" w:hAnsi="Source Han Sans CN" w:eastAsia="Source Han Sans CN" w:cs="Source Han Sans CN"/>
          <w:b/>
          <w:color w:val="1F4E78"/>
          <w:sz w:val="32"/>
        </w:rPr>
        <w:t>23. 非功能设计基线</w:t>
      </w:r>
    </w:p>
    <w:p>
      <w:pPr>
        <w:pStyle w:val="Heading2"/>
      </w:pPr>
      <w:r>
        <w:rPr>
          <w:rFonts w:ascii="Source Han Sans CN" w:hAnsi="Source Han Sans CN" w:eastAsia="Source Han Sans CN" w:cs="Source Han Sans CN"/>
          <w:b/>
          <w:color w:val="1F4E78"/>
          <w:sz w:val="26"/>
        </w:rPr>
        <w:t>23.1 服务目标</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3600"/>
        <w:gridCol w:w="43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类别</w:t>
            </w:r>
          </w:p>
        </w:tc>
        <w:tc>
          <w:tcPr>
            <w:tcW w:type="dxa" w:w="3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建议基线（首期）</w:t>
            </w:r>
          </w:p>
        </w:tc>
        <w:tc>
          <w:tcPr>
            <w:tcW w:type="dxa" w:w="4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说明</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可用性</w:t>
            </w:r>
          </w:p>
        </w:tc>
        <w:tc>
          <w:tcPr>
            <w:tcW w:type="dxa" w:w="3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正式环境月度99.5%，目标演进至99.9%</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排除已公告维护；关键接口需独立监控</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页面性能</w:t>
            </w:r>
          </w:p>
        </w:tc>
        <w:tc>
          <w:tcPr>
            <w:tcW w:type="dxa" w:w="3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常用列表/详情P95≤2秒；复杂报表≤5秒或异步</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以标准并发和数据量测试；不含外部系统长耗时</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接口性能</w:t>
            </w:r>
          </w:p>
        </w:tc>
        <w:tc>
          <w:tcPr>
            <w:tcW w:type="dxa" w:w="3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常用查询P95≤1秒；命令快速接收，长事务异步</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外部依赖设置超时、隔离和降级</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并发与容量</w:t>
            </w:r>
          </w:p>
        </w:tc>
        <w:tc>
          <w:tcPr>
            <w:tcW w:type="dxa" w:w="3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按首期内部用户、供应商用户、年单据量建立容量模型</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详细设计时用真实估算替换，不凭空承诺</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恢复</w:t>
            </w:r>
          </w:p>
        </w:tc>
        <w:tc>
          <w:tcPr>
            <w:tcW w:type="dxa" w:w="3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建议RPO≤24小时、RTO≤4小时；关键数据可提高</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需结合备份频率、对象存储和服务器条件确认</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审计保留</w:t>
            </w:r>
          </w:p>
        </w:tc>
        <w:tc>
          <w:tcPr>
            <w:tcW w:type="dxa" w:w="3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关键交易/审批按企业与法规要求保留，建议不少于7年</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最终由法务、财务和数据政策确定</w:t>
            </w:r>
          </w:p>
        </w:tc>
      </w:tr>
    </w:tbl>
    <w:p>
      <w:pPr>
        <w:spacing w:after="40"/>
      </w:pPr>
    </w:p>
    <w:p>
      <w:pPr>
        <w:pStyle w:val="Heading2"/>
      </w:pPr>
      <w:r>
        <w:rPr>
          <w:rFonts w:ascii="Source Han Sans CN" w:hAnsi="Source Han Sans CN" w:eastAsia="Source Han Sans CN" w:cs="Source Han Sans CN"/>
          <w:b/>
          <w:color w:val="1F4E78"/>
          <w:sz w:val="26"/>
        </w:rPr>
        <w:t>23.2 性能与可扩展性</w:t>
      </w:r>
    </w:p>
    <w:p>
      <w:pPr>
        <w:numPr>
          <w:ilvl w:val="0"/>
          <w:numId w:val="10"/>
        </w:numPr>
        <w:spacing w:before="0" w:after="80" w:line="293" w:lineRule="auto"/>
        <w:keepLines/>
      </w:pPr>
      <w:r>
        <w:rPr>
          <w:rFonts w:ascii="Source Han Sans CN" w:hAnsi="Source Han Sans CN" w:eastAsia="Source Han Sans CN" w:cs="Source Han Sans CN"/>
          <w:color w:val="1F2937"/>
          <w:sz w:val="21"/>
        </w:rPr>
        <w:t>所有清单必须服务端分页、排序和过滤；禁止前端一次拉取全量供应商、物料或订单；</w:t>
      </w:r>
    </w:p>
    <w:p>
      <w:pPr>
        <w:numPr>
          <w:ilvl w:val="0"/>
          <w:numId w:val="10"/>
        </w:numPr>
        <w:spacing w:before="0" w:after="80" w:line="293" w:lineRule="auto"/>
        <w:keepLines/>
      </w:pPr>
      <w:r>
        <w:rPr>
          <w:rFonts w:ascii="Source Han Sans CN" w:hAnsi="Source Han Sans CN" w:eastAsia="Source Han Sans CN" w:cs="Source Han Sans CN"/>
          <w:color w:val="1F2937"/>
          <w:sz w:val="21"/>
        </w:rPr>
        <w:t>批量导入、导出、评分计算、报表和对账使用异步任务，显示进度、结果和错误明细；</w:t>
      </w:r>
    </w:p>
    <w:p>
      <w:pPr>
        <w:numPr>
          <w:ilvl w:val="0"/>
          <w:numId w:val="10"/>
        </w:numPr>
        <w:spacing w:before="0" w:after="80" w:line="293" w:lineRule="auto"/>
        <w:keepLines/>
      </w:pPr>
      <w:r>
        <w:rPr>
          <w:rFonts w:ascii="Source Han Sans CN" w:hAnsi="Source Han Sans CN" w:eastAsia="Source Han Sans CN" w:cs="Source Han Sans CN"/>
          <w:color w:val="1F2937"/>
          <w:sz w:val="21"/>
        </w:rPr>
        <w:t>高频查询建立明确索引；按组织、时间和状态设计访问路径，避免通用模糊查询；</w:t>
      </w:r>
    </w:p>
    <w:p>
      <w:pPr>
        <w:numPr>
          <w:ilvl w:val="0"/>
          <w:numId w:val="10"/>
        </w:numPr>
        <w:spacing w:before="0" w:after="80" w:line="293" w:lineRule="auto"/>
        <w:keepLines/>
      </w:pPr>
      <w:r>
        <w:rPr>
          <w:rFonts w:ascii="Source Han Sans CN" w:hAnsi="Source Han Sans CN" w:eastAsia="Source Han Sans CN" w:cs="Source Han Sans CN"/>
          <w:color w:val="1F2937"/>
          <w:sz w:val="21"/>
        </w:rPr>
        <w:t>附件不存数据库大字段，使用对象存储并保存元数据和校验摘要；</w:t>
      </w:r>
    </w:p>
    <w:p>
      <w:pPr>
        <w:numPr>
          <w:ilvl w:val="0"/>
          <w:numId w:val="10"/>
        </w:numPr>
        <w:spacing w:before="0" w:after="80" w:line="293" w:lineRule="auto"/>
        <w:keepLines/>
      </w:pPr>
      <w:r>
        <w:rPr>
          <w:rFonts w:ascii="Source Han Sans CN" w:hAnsi="Source Han Sans CN" w:eastAsia="Source Han Sans CN" w:cs="Source Han Sans CN"/>
          <w:color w:val="1F2937"/>
          <w:sz w:val="21"/>
        </w:rPr>
        <w:t>指标与工作台可使用预聚合/缓存，但必须显示数据时间并可钻取到权威事实；</w:t>
      </w:r>
    </w:p>
    <w:p>
      <w:pPr>
        <w:numPr>
          <w:ilvl w:val="0"/>
          <w:numId w:val="10"/>
        </w:numPr>
        <w:spacing w:before="0" w:after="80" w:line="293" w:lineRule="auto"/>
        <w:keepLines/>
      </w:pPr>
      <w:r>
        <w:rPr>
          <w:rFonts w:ascii="Source Han Sans CN" w:hAnsi="Source Han Sans CN" w:eastAsia="Source Han Sans CN" w:cs="Source Han Sans CN"/>
          <w:color w:val="1F2937"/>
          <w:sz w:val="21"/>
        </w:rPr>
        <w:t>模块边界、事件与外部ID为未来多实例、消息队列和服务拆分预留。</w:t>
      </w:r>
    </w:p>
    <w:p>
      <w:pPr>
        <w:pStyle w:val="Heading2"/>
      </w:pPr>
      <w:r>
        <w:rPr>
          <w:rFonts w:ascii="Source Han Sans CN" w:hAnsi="Source Han Sans CN" w:eastAsia="Source Han Sans CN" w:cs="Source Han Sans CN"/>
          <w:b/>
          <w:color w:val="1F4E78"/>
          <w:sz w:val="26"/>
        </w:rPr>
        <w:t>23.3 可靠性与可运维性</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77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能力</w:t>
            </w:r>
          </w:p>
        </w:tc>
        <w:tc>
          <w:tcPr>
            <w:tcW w:type="dxa" w:w="7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要求</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健康检查</w:t>
            </w:r>
          </w:p>
        </w:tc>
        <w:tc>
          <w:tcPr>
            <w:tcW w:type="dxa" w:w="7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应用、数据库、对象存储和外部关键依赖分层检查；避免健康接口泄露敏感配置。</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日志</w:t>
            </w:r>
          </w:p>
        </w:tc>
        <w:tc>
          <w:tcPr>
            <w:tcW w:type="dxa" w:w="7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结构化日志、追踪ID、业务对象ID、级别和脱敏；集中检索与保留。</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指标</w:t>
            </w:r>
          </w:p>
        </w:tc>
        <w:tc>
          <w:tcPr>
            <w:tcW w:type="dxa" w:w="7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请求、错误、延迟、线程/连接池、数据库、任务、接口、队列和业务悬挂指标。</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告警</w:t>
            </w:r>
          </w:p>
        </w:tc>
        <w:tc>
          <w:tcPr>
            <w:tcW w:type="dxa" w:w="7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按影响分级、去重和抑制；告警链接运行手册和责任人。</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备份</w:t>
            </w:r>
          </w:p>
        </w:tc>
        <w:tc>
          <w:tcPr>
            <w:tcW w:type="dxa" w:w="7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数据库全量＋增量/日志、对象存储版本、配置备份；定期恢复演练。</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发布</w:t>
            </w:r>
          </w:p>
        </w:tc>
        <w:tc>
          <w:tcPr>
            <w:tcW w:type="dxa" w:w="7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数据库迁移可追踪、向前兼容、灰度/回滚方案；接口版本兼容。</w:t>
            </w:r>
          </w:p>
        </w:tc>
      </w:tr>
    </w:tbl>
    <w:p>
      <w:pPr>
        <w:spacing w:after="40"/>
      </w:pPr>
    </w:p>
    <w:p>
      <w:pPr>
        <w:pStyle w:val="Heading2"/>
      </w:pPr>
      <w:r>
        <w:rPr>
          <w:rFonts w:ascii="Source Han Sans CN" w:hAnsi="Source Han Sans CN" w:eastAsia="Source Han Sans CN" w:cs="Source Han Sans CN"/>
          <w:b/>
          <w:color w:val="1F4E78"/>
          <w:sz w:val="26"/>
        </w:rPr>
        <w:t>23.4 易用性与可访问性</w:t>
      </w:r>
    </w:p>
    <w:p>
      <w:pPr>
        <w:numPr>
          <w:ilvl w:val="0"/>
          <w:numId w:val="10"/>
        </w:numPr>
        <w:spacing w:before="0" w:after="80" w:line="293" w:lineRule="auto"/>
        <w:keepLines/>
      </w:pPr>
      <w:r>
        <w:rPr>
          <w:rFonts w:ascii="Source Han Sans CN" w:hAnsi="Source Han Sans CN" w:eastAsia="Source Han Sans CN" w:cs="Source Han Sans CN"/>
          <w:color w:val="1F2937"/>
          <w:sz w:val="21"/>
        </w:rPr>
        <w:t>统一列表、筛选、分页、状态标签、操作区和详情时间线；</w:t>
      </w:r>
    </w:p>
    <w:p>
      <w:pPr>
        <w:numPr>
          <w:ilvl w:val="0"/>
          <w:numId w:val="10"/>
        </w:numPr>
        <w:spacing w:before="0" w:after="80" w:line="293" w:lineRule="auto"/>
        <w:keepLines/>
      </w:pPr>
      <w:r>
        <w:rPr>
          <w:rFonts w:ascii="Source Han Sans CN" w:hAnsi="Source Han Sans CN" w:eastAsia="Source Han Sans CN" w:cs="Source Han Sans CN"/>
          <w:color w:val="1F2937"/>
          <w:sz w:val="21"/>
        </w:rPr>
        <w:t>关键表单提供草稿、自动保存、校验摘要、分步提交和离开提醒；</w:t>
      </w:r>
    </w:p>
    <w:p>
      <w:pPr>
        <w:numPr>
          <w:ilvl w:val="0"/>
          <w:numId w:val="10"/>
        </w:numPr>
        <w:spacing w:before="0" w:after="80" w:line="293" w:lineRule="auto"/>
        <w:keepLines/>
      </w:pPr>
      <w:r>
        <w:rPr>
          <w:rFonts w:ascii="Source Han Sans CN" w:hAnsi="Source Han Sans CN" w:eastAsia="Source Han Sans CN" w:cs="Source Han Sans CN"/>
          <w:color w:val="1F2937"/>
          <w:sz w:val="21"/>
        </w:rPr>
        <w:t>批量场景提供模板、示例、错误定位和可重试，而不是只返回“导入失败”；</w:t>
      </w:r>
    </w:p>
    <w:p>
      <w:pPr>
        <w:numPr>
          <w:ilvl w:val="0"/>
          <w:numId w:val="10"/>
        </w:numPr>
        <w:spacing w:before="0" w:after="80" w:line="293" w:lineRule="auto"/>
        <w:keepLines/>
      </w:pPr>
      <w:r>
        <w:rPr>
          <w:rFonts w:ascii="Source Han Sans CN" w:hAnsi="Source Han Sans CN" w:eastAsia="Source Han Sans CN" w:cs="Source Han Sans CN"/>
          <w:color w:val="1F2937"/>
          <w:sz w:val="21"/>
        </w:rPr>
        <w:t>颜色不是唯一状态表达，状态同时使用文字/图标；键盘焦点、对比度和表单标签可识别；</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供应商门户采用业务语言，清晰区分“已提交”“采购方已确认”“财务已付款”等状态。</w:t>
      </w:r>
    </w:p>
    <w:p>
      <w:pPr>
        <w:pStyle w:val="Heading1"/>
      </w:pPr>
      <w:r>
        <w:rPr>
          <w:rFonts w:ascii="Source Han Sans CN" w:hAnsi="Source Han Sans CN" w:eastAsia="Source Han Sans CN" w:cs="Source Han Sans CN"/>
          <w:b/>
          <w:color w:val="1F4E78"/>
          <w:sz w:val="32"/>
        </w:rPr>
        <w:t>24. 产品体验与供应商门户设计</w:t>
      </w:r>
    </w:p>
    <w:p>
      <w:pPr>
        <w:pStyle w:val="Heading2"/>
      </w:pPr>
      <w:r>
        <w:rPr>
          <w:rFonts w:ascii="Source Han Sans CN" w:hAnsi="Source Han Sans CN" w:eastAsia="Source Han Sans CN" w:cs="Source Han Sans CN"/>
          <w:b/>
          <w:color w:val="1F4E78"/>
          <w:sz w:val="26"/>
        </w:rPr>
        <w:t>24.1 内部产品体验</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78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模式</w:t>
            </w:r>
          </w:p>
        </w:tc>
        <w:tc>
          <w:tcPr>
            <w:tcW w:type="dxa" w:w="7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设计建议</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列表</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业务视图＋保存筛选＋批量动作＋导出；默认只显示当前角色最常用字段。</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详情</w:t>
            </w:r>
          </w:p>
        </w:tc>
        <w:tc>
          <w:tcPr>
            <w:tcW w:type="dxa" w:w="7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摘要、状态与关键动作置顶；业务数据、协同、审批、附件、变更和审计分区。</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时间线</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统一呈现状态、业务事件、供应商回复、审批和接口结果，按权限过滤。</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跨单据追溯</w:t>
            </w:r>
          </w:p>
        </w:tc>
        <w:tc>
          <w:tcPr>
            <w:tcW w:type="dxa" w:w="7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从需求、寻源、定标、供应源、PO、ASN、收货、质量、对账到付款双向跳转。</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异常优先</w:t>
            </w:r>
          </w:p>
        </w:tc>
        <w:tc>
          <w:tcPr>
            <w:tcW w:type="dxa" w:w="7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列表可按逾期、差异、风险、待确认筛选；关键异常提供明确责任人和下一步。</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批量操作</w:t>
            </w:r>
          </w:p>
        </w:tc>
        <w:tc>
          <w:tcPr>
            <w:tcW w:type="dxa" w:w="7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批量邀请、报价导入、分配、确认、ASN、评分等需预校验、结果明细和部分成功语义。</w:t>
            </w:r>
          </w:p>
        </w:tc>
      </w:tr>
    </w:tbl>
    <w:p>
      <w:pPr>
        <w:spacing w:after="40"/>
      </w:pPr>
    </w:p>
    <w:p>
      <w:pPr>
        <w:pStyle w:val="Heading2"/>
      </w:pPr>
      <w:r>
        <w:rPr>
          <w:rFonts w:ascii="Source Han Sans CN" w:hAnsi="Source Han Sans CN" w:eastAsia="Source Han Sans CN" w:cs="Source Han Sans CN"/>
          <w:b/>
          <w:color w:val="1F4E78"/>
          <w:sz w:val="26"/>
        </w:rPr>
        <w:t>24.2 供应商门户导航</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200"/>
        <w:gridCol w:w="7400"/>
      </w:tblGrid>
      <w:tr>
        <w:trPr>
          <w:tblHeader w:val="true"/>
          <w:cantSplit/>
        </w:trPr>
        <w:tc>
          <w:tcPr>
            <w:tcW w:type="dxa" w:w="2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一级入口</w:t>
            </w:r>
          </w:p>
        </w:tc>
        <w:tc>
          <w:tcPr>
            <w:tcW w:type="dxa" w:w="7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供应商可见内容</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首页/任务</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待报价、待确认订单、待发货、待整改、待对账、资质临期和消息</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企业资料</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主体与站点资料、资质、联系人、用户、变更和准入/复审任务</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寻源与报价</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邀请、文件、澄清、报价、提交历史、中选通知和转化任务</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合同与协议</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待确认/签署文件、已生效协议、履约事项和临期提醒</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订单</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PO、变更、确认、差异、交付计划和开放数量</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发货与收货</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ASN、包装标签、在途、收货反馈、数量差异和退货</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样件/资格任务、检验结果、质量异常、8D/整改、复验</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对账与发票</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对账单、差异、发票/请款材料、应付和付款状态</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绩效与改善</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授权公开的评分、事实、改善要求和申诉</w:t>
            </w:r>
          </w:p>
        </w:tc>
      </w:tr>
    </w:tbl>
    <w:p>
      <w:pPr>
        <w:spacing w:after="40"/>
      </w:pPr>
    </w:p>
    <w:p>
      <w:pPr>
        <w:pStyle w:val="Heading2"/>
      </w:pPr>
      <w:r>
        <w:rPr>
          <w:rFonts w:ascii="Source Han Sans CN" w:hAnsi="Source Han Sans CN" w:eastAsia="Source Han Sans CN" w:cs="Source Han Sans CN"/>
          <w:b/>
          <w:color w:val="1F4E78"/>
          <w:sz w:val="26"/>
        </w:rPr>
        <w:t>24.3 通知与协同</w:t>
      </w:r>
    </w:p>
    <w:p>
      <w:pPr>
        <w:numPr>
          <w:ilvl w:val="0"/>
          <w:numId w:val="10"/>
        </w:numPr>
        <w:spacing w:before="0" w:after="80" w:line="293" w:lineRule="auto"/>
        <w:keepLines/>
      </w:pPr>
      <w:r>
        <w:rPr>
          <w:rFonts w:ascii="Source Han Sans CN" w:hAnsi="Source Han Sans CN" w:eastAsia="Source Han Sans CN" w:cs="Source Han Sans CN"/>
          <w:color w:val="1F2937"/>
          <w:sz w:val="21"/>
        </w:rPr>
        <w:t>通知必须说明业务对象、需要的动作、截止时间、影响和直接入口；</w:t>
      </w:r>
    </w:p>
    <w:p>
      <w:pPr>
        <w:numPr>
          <w:ilvl w:val="0"/>
          <w:numId w:val="10"/>
        </w:numPr>
        <w:spacing w:before="0" w:after="80" w:line="293" w:lineRule="auto"/>
        <w:keepLines/>
      </w:pPr>
      <w:r>
        <w:rPr>
          <w:rFonts w:ascii="Source Han Sans CN" w:hAnsi="Source Han Sans CN" w:eastAsia="Source Han Sans CN" w:cs="Source Han Sans CN"/>
          <w:color w:val="1F2937"/>
          <w:sz w:val="21"/>
        </w:rPr>
        <w:t>邮件/IM只承载提醒和安全链接，不在通知正文暴露敏感报价或个人/银行信息；</w:t>
      </w:r>
    </w:p>
    <w:p>
      <w:pPr>
        <w:numPr>
          <w:ilvl w:val="0"/>
          <w:numId w:val="10"/>
        </w:numPr>
        <w:spacing w:before="0" w:after="80" w:line="293" w:lineRule="auto"/>
        <w:keepLines/>
      </w:pPr>
      <w:r>
        <w:rPr>
          <w:rFonts w:ascii="Source Han Sans CN" w:hAnsi="Source Han Sans CN" w:eastAsia="Source Han Sans CN" w:cs="Source Han Sans CN"/>
          <w:color w:val="1F2937"/>
          <w:sz w:val="21"/>
        </w:rPr>
        <w:t>任务、审批、消息三者区分：需要完成的动作进入任务，需要授权决定的进入审批，信息性内容进入消息；</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供应商回复形成结构化业务数据，普通评论不能替代订单承诺、质量措施或对账结论；</w:t>
      </w:r>
    </w:p>
    <w:p>
      <w:pPr>
        <w:numPr>
          <w:ilvl w:val="0"/>
          <w:numId w:val="10"/>
        </w:numPr>
        <w:spacing w:before="0" w:after="80" w:line="293" w:lineRule="auto"/>
        <w:keepLines/>
      </w:pPr>
      <w:r>
        <w:rPr>
          <w:rFonts w:ascii="Source Han Sans CN" w:hAnsi="Source Han Sans CN" w:eastAsia="Source Han Sans CN" w:cs="Source Han Sans CN"/>
          <w:color w:val="1F2937"/>
          <w:sz w:val="21"/>
        </w:rPr>
        <w:t>关键跨企业沟通支持@、附件和已读状态，但保留内部评论与外部评论隔离。</w:t>
      </w:r>
    </w:p>
    <w:p>
      <w:pPr>
        <w:pStyle w:val="Heading1"/>
      </w:pPr>
      <w:r>
        <w:rPr>
          <w:rFonts w:ascii="Source Han Sans CN" w:hAnsi="Source Han Sans CN" w:eastAsia="Source Han Sans CN" w:cs="Source Han Sans CN"/>
          <w:b/>
          <w:color w:val="1F4E78"/>
          <w:sz w:val="32"/>
        </w:rPr>
        <w:t>25. 分阶段实施路线图</w:t>
      </w:r>
    </w:p>
    <w:p>
      <w:pPr>
        <w:pStyle w:val="Heading2"/>
      </w:pPr>
      <w:r>
        <w:rPr>
          <w:rFonts w:ascii="Source Han Sans CN" w:hAnsi="Source Han Sans CN" w:eastAsia="Source Han Sans CN" w:cs="Source Han Sans CN"/>
          <w:b/>
          <w:color w:val="1F4E78"/>
          <w:sz w:val="26"/>
        </w:rPr>
        <w:t>25.1 实施原则</w:t>
      </w:r>
    </w:p>
    <w:p>
      <w:pPr>
        <w:spacing w:before="0" w:after="120" w:line="293" w:lineRule="auto"/>
        <w:ind w:firstLine="403"/>
        <w:jc w:val="left"/>
        <w:keepLines/>
      </w:pPr>
      <w:r>
        <w:rPr>
          <w:rFonts w:ascii="Source Han Sans CN" w:hAnsi="Source Han Sans CN" w:eastAsia="Source Han Sans CN" w:cs="Source Han Sans CN"/>
          <w:b w:val="0"/>
          <w:i w:val="0"/>
          <w:color w:val="1F2937"/>
          <w:sz w:val="21"/>
        </w:rPr>
        <w:t>项目从零开始建设，应先完成边界、主数据、身份权限、对象状态和最短业务闭环，再扩展高级采购与质量能力。阶段之间以可运行的业务场景验收，不以“完成若干页面”作为结束条件。</w:t>
      </w:r>
    </w:p>
    <w:p>
      <w:pPr>
        <w:spacing w:before="120" w:after="200" w:line="283" w:lineRule="auto"/>
        <w:ind w:left="173" w:right="115"/>
        <w:shd w:fill="ECFDF3"/>
        <w:pBdr>
          <w:left w:val="single" w:sz="20" w:space="8" w:color="166534"/>
        </w:pBdr>
        <w:keepLines/>
      </w:pPr>
      <w:r>
        <w:rPr>
          <w:rFonts w:ascii="Source Han Sans CN" w:hAnsi="Source Han Sans CN" w:eastAsia="Source Han Sans CN" w:cs="Source Han Sans CN"/>
          <w:b/>
          <w:color w:val="166534"/>
          <w:sz w:val="20"/>
        </w:rPr>
        <w:t xml:space="preserve">优先顺序　</w:t>
      </w:r>
      <w:r>
        <w:rPr>
          <w:rFonts w:ascii="Source Han Sans CN" w:hAnsi="Source Han Sans CN" w:eastAsia="Source Han Sans CN" w:cs="Source Han Sans CN"/>
          <w:color w:val="1F2937"/>
          <w:sz w:val="20"/>
        </w:rPr>
        <w:t>工作台与平台基础 → 基础数据与系统设置 → 供应商与供应源基础 → 寻源/合同/转化 → 采购与交付 → 质量/结算 → 绩效风险与高级协同。</w:t>
      </w:r>
    </w:p>
    <w:p>
      <w:pPr>
        <w:pStyle w:val="Heading2"/>
      </w:pPr>
      <w:r>
        <w:rPr>
          <w:rFonts w:ascii="Source Han Sans CN" w:hAnsi="Source Han Sans CN" w:eastAsia="Source Han Sans CN" w:cs="Source Han Sans CN"/>
          <w:b/>
          <w:color w:val="1F4E78"/>
          <w:sz w:val="26"/>
        </w:rPr>
        <w:t>25.2 建议阶段</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4900"/>
        <w:gridCol w:w="28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6"/>
              </w:rPr>
              <w:t>阶段</w:t>
            </w:r>
          </w:p>
        </w:tc>
        <w:tc>
          <w:tcPr>
            <w:tcW w:type="dxa" w:w="4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6"/>
              </w:rPr>
              <w:t>范围</w:t>
            </w:r>
          </w:p>
        </w:tc>
        <w:tc>
          <w:tcPr>
            <w:tcW w:type="dxa" w:w="2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6"/>
              </w:rPr>
              <w:t>阶段验收结果</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阶段0：设计与工程基线</w:t>
            </w:r>
          </w:p>
        </w:tc>
        <w:tc>
          <w:tcPr>
            <w:tcW w:type="dxa" w:w="4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总体蓝图、领域词汇、对象状态、权限模型、接口边界、代码结构和开发规范</w:t>
            </w:r>
          </w:p>
        </w:tc>
        <w:tc>
          <w:tcPr>
            <w:tcW w:type="dxa" w:w="2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设计评审通过；核心决策关闭</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阶段1：平台与数据底座</w:t>
            </w:r>
          </w:p>
        </w:tc>
        <w:tc>
          <w:tcPr>
            <w:tcW w:type="dxa" w:w="4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登录/身份、角色下挂用户、数据权限、流程任务、附件审计、基础数据、工作台骨架</w:t>
            </w:r>
          </w:p>
        </w:tc>
        <w:tc>
          <w:tcPr>
            <w:tcW w:type="dxa" w:w="2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内部用户可登录；角色菜单与数据域正确；主数据可同步/维护</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阶段2：供应商与供应源基础</w:t>
            </w:r>
          </w:p>
        </w:tc>
        <w:tc>
          <w:tcPr>
            <w:tcW w:type="dxa" w:w="4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供应商资源池、注册、档案、准入、资质、站点/用户、候选/试制/正式供应源</w:t>
            </w:r>
          </w:p>
        </w:tc>
        <w:tc>
          <w:tcPr>
            <w:tcW w:type="dxa" w:w="2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新供应商注册到受控供应源；既有供应商物料关系可建立</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阶段3：寻源、合同与转化</w:t>
            </w:r>
          </w:p>
        </w:tc>
        <w:tc>
          <w:tcPr>
            <w:tcW w:type="dxa" w:w="4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寻源需求、RFQ/报价、评审定标、采购依据、价格版本、转化任务</w:t>
            </w:r>
          </w:p>
        </w:tc>
        <w:tc>
          <w:tcPr>
            <w:tcW w:type="dxa" w:w="2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定标结果可并行转化为价格、依据和供应源，来源可追溯</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阶段4：采购与交付闭环</w:t>
            </w:r>
          </w:p>
        </w:tc>
        <w:tc>
          <w:tcPr>
            <w:tcW w:type="dxa" w:w="4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需求接收、匹配缺口、实际分配、PO模式、确认、变更、ASN、收货差异</w:t>
            </w:r>
          </w:p>
        </w:tc>
        <w:tc>
          <w:tcPr>
            <w:tcW w:type="dxa" w:w="2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已有供应源需求从接收到收货完整跑通；异常可闭环</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阶段5：质量与结算闭环</w:t>
            </w:r>
          </w:p>
        </w:tc>
        <w:tc>
          <w:tcPr>
            <w:tcW w:type="dxa" w:w="4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物料资格、样件/试制、IQC结果、质量异常/8D、对账、发票、付款回传</w:t>
            </w:r>
          </w:p>
        </w:tc>
        <w:tc>
          <w:tcPr>
            <w:tcW w:type="dxa" w:w="2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质量影响供应源/结算；对账到付款状态可追溯</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阶段6：绩效风险与优化</w:t>
            </w:r>
          </w:p>
        </w:tc>
        <w:tc>
          <w:tcPr>
            <w:tcW w:type="dxa" w:w="4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指标模型、评分、风险、改善、供应决定、配额治理、管理工作台</w:t>
            </w:r>
          </w:p>
        </w:tc>
        <w:tc>
          <w:tcPr>
            <w:tcW w:type="dxa" w:w="2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绩效和风险可反向触发份额、限制、第二供应源等治理</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6"/>
              </w:rPr>
              <w:t>阶段7：高级制造协同</w:t>
            </w:r>
          </w:p>
        </w:tc>
        <w:tc>
          <w:tcPr>
            <w:tcW w:type="dxa" w:w="4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预测承诺、计划协议、产能协同、VMI/寄售、APQP/PPAP深化、成本/AI</w:t>
            </w:r>
          </w:p>
        </w:tc>
        <w:tc>
          <w:tcPr>
            <w:tcW w:type="dxa" w:w="2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6"/>
              </w:rPr>
              <w:t>按实际企业需求选择，不作为首期完成条件</w:t>
            </w:r>
          </w:p>
        </w:tc>
      </w:tr>
    </w:tbl>
    <w:p>
      <w:pPr>
        <w:spacing w:after="40"/>
      </w:pPr>
    </w:p>
    <w:p>
      <w:pPr>
        <w:pStyle w:val="Heading2"/>
      </w:pPr>
      <w:r>
        <w:rPr>
          <w:rFonts w:ascii="Source Han Sans CN" w:hAnsi="Source Han Sans CN" w:eastAsia="Source Han Sans CN" w:cs="Source Han Sans CN"/>
          <w:b/>
          <w:color w:val="1F4E78"/>
          <w:sz w:val="26"/>
        </w:rPr>
        <w:t>25.3 依赖与先后关系</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4000"/>
        <w:gridCol w:w="35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后续能力</w:t>
            </w:r>
          </w:p>
        </w:tc>
        <w:tc>
          <w:tcPr>
            <w:tcW w:type="dxa" w:w="4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前置依赖</w:t>
            </w:r>
          </w:p>
        </w:tc>
        <w:tc>
          <w:tcPr>
            <w:tcW w:type="dxa" w:w="3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原因</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寻源邀请</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供应商最低注册、寻源资格、品类和组织</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确保参与方和范围可治理</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供应源激活</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供应商/站点、资格、采购依据、价格、工厂物料</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供应源必须引用有效对象</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需求分配</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需求、正式/允许状态供应源、能力配额</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没有供应源无法解释下单依据</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ASN</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正式PO/计划行及可发运量</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控制超发、重复和批次追溯</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对账</w:t>
            </w:r>
          </w:p>
        </w:tc>
        <w:tc>
          <w:tcPr>
            <w:tcW w:type="dxa" w:w="4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PO、收货、质量/退货和价格</w:t>
            </w:r>
          </w:p>
        </w:tc>
        <w:tc>
          <w:tcPr>
            <w:tcW w:type="dxa" w:w="3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缺少事实无法正确匹配</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绩效</w:t>
            </w:r>
          </w:p>
        </w:tc>
        <w:tc>
          <w:tcPr>
            <w:tcW w:type="dxa" w:w="4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足够执行事实、指标口径和周期</w:t>
            </w:r>
          </w:p>
        </w:tc>
        <w:tc>
          <w:tcPr>
            <w:tcW w:type="dxa" w:w="3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过早评分会依赖大量主观数据</w:t>
            </w:r>
          </w:p>
        </w:tc>
      </w:tr>
    </w:tbl>
    <w:p>
      <w:pPr>
        <w:spacing w:after="40"/>
      </w:pPr>
    </w:p>
    <w:p>
      <w:pPr>
        <w:pStyle w:val="Heading2"/>
      </w:pPr>
      <w:r>
        <w:rPr>
          <w:rFonts w:ascii="Source Han Sans CN" w:hAnsi="Source Han Sans CN" w:eastAsia="Source Han Sans CN" w:cs="Source Han Sans CN"/>
          <w:b/>
          <w:color w:val="1F4E78"/>
          <w:sz w:val="26"/>
        </w:rPr>
        <w:t>25.4 旧系统资产处理</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200"/>
        <w:gridCol w:w="7400"/>
      </w:tblGrid>
      <w:tr>
        <w:trPr>
          <w:tblHeader w:val="true"/>
          <w:cantSplit/>
        </w:trPr>
        <w:tc>
          <w:tcPr>
            <w:tcW w:type="dxa" w:w="2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资产类型</w:t>
            </w:r>
          </w:p>
        </w:tc>
        <w:tc>
          <w:tcPr>
            <w:tcW w:type="dxa" w:w="7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8"/>
              </w:rPr>
              <w:t>处理建议</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可复用</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登录、组织用户角色、字典参数、操作日志、附件、通用分页/表格、部署脚本等经审查的技术能力。</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需重构</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供应商、采购协同、控制塔/工作台等与新领域模型部分重叠但业务语义不同的模块。</w:t>
            </w:r>
          </w:p>
        </w:tc>
      </w:tr>
      <w:tr>
        <w:trPr>
          <w:cantSplit/>
        </w:trPr>
        <w:tc>
          <w:tcPr>
            <w:tcW w:type="dxa" w:w="2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不迁移结构</w:t>
            </w:r>
          </w:p>
        </w:tc>
        <w:tc>
          <w:tcPr>
            <w:tcW w:type="dxa" w:w="7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需求计划、S&amp;OP、MRP、制造、库存和订单履约等旧SCM一级模块结构。</w:t>
            </w:r>
          </w:p>
        </w:tc>
      </w:tr>
      <w:tr>
        <w:trPr>
          <w:cantSplit/>
        </w:trPr>
        <w:tc>
          <w:tcPr>
            <w:tcW w:type="dxa" w:w="2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8"/>
              </w:rPr>
              <w:t>数据迁移</w:t>
            </w:r>
          </w:p>
        </w:tc>
        <w:tc>
          <w:tcPr>
            <w:tcW w:type="dxa" w:w="7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8"/>
              </w:rPr>
              <w:t>只迁移清洗后仍有业务价值的组织、物料、供应商及历史事实；不为迁移而保留错误模型。</w:t>
            </w:r>
          </w:p>
        </w:tc>
      </w:tr>
    </w:tbl>
    <w:p>
      <w:pPr>
        <w:spacing w:after="40"/>
      </w:pPr>
    </w:p>
    <w:p>
      <w:pPr>
        <w:pStyle w:val="Heading1"/>
      </w:pPr>
      <w:r>
        <w:rPr>
          <w:rFonts w:ascii="Source Han Sans CN" w:hAnsi="Source Han Sans CN" w:eastAsia="Source Han Sans CN" w:cs="Source Han Sans CN"/>
          <w:b/>
          <w:color w:val="1F4E78"/>
          <w:sz w:val="32"/>
        </w:rPr>
        <w:t>26. 验收框架与业务指标</w:t>
      </w:r>
    </w:p>
    <w:p>
      <w:pPr>
        <w:pStyle w:val="Heading2"/>
      </w:pPr>
      <w:r>
        <w:rPr>
          <w:rFonts w:ascii="Source Han Sans CN" w:hAnsi="Source Han Sans CN" w:eastAsia="Source Han Sans CN" w:cs="Source Han Sans CN"/>
          <w:b/>
          <w:color w:val="1F4E78"/>
          <w:sz w:val="26"/>
        </w:rPr>
        <w:t>26.1 总体验收维度</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700"/>
        <w:gridCol w:w="4800"/>
        <w:gridCol w:w="3100"/>
      </w:tblGrid>
      <w:tr>
        <w:trPr>
          <w:tblHeader w:val="true"/>
          <w:cantSplit/>
        </w:trPr>
        <w:tc>
          <w:tcPr>
            <w:tcW w:type="dxa" w:w="17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维度</w:t>
            </w:r>
          </w:p>
        </w:tc>
        <w:tc>
          <w:tcPr>
            <w:tcW w:type="dxa" w:w="4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验收重点</w:t>
            </w:r>
          </w:p>
        </w:tc>
        <w:tc>
          <w:tcPr>
            <w:tcW w:type="dxa" w:w="3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示例证据</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业务闭环</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标准路径和异常路径均可完成，状态、责任和下一步清晰</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端到端场景脚本、业务单据链</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治理有效</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准入、资格、依据、供应源和PO关口不能被普通操作绕过</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负向用例、审批和阻断日志</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数据一致</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内外门户、SRM与外围系统、历史版本和汇总口径一致</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接口对账、版本、抽样追溯</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权限安全</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角色、数据域、供应商隔离、字段附件和职责分离正确</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权限矩阵、越权测试、安全测试</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可用性</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清单、表单、批量、错误提示和任务符合实际工作</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用户验收、可用性问题清单</w:t>
            </w:r>
          </w:p>
        </w:tc>
      </w:tr>
      <w:tr>
        <w:trPr>
          <w:cantSplit/>
        </w:trPr>
        <w:tc>
          <w:tcPr>
            <w:tcW w:type="dxa" w:w="17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性能可靠</w:t>
            </w:r>
          </w:p>
        </w:tc>
        <w:tc>
          <w:tcPr>
            <w:tcW w:type="dxa" w:w="4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关键页面、接口、批任务、备份恢复和监控达标</w:t>
            </w:r>
          </w:p>
        </w:tc>
        <w:tc>
          <w:tcPr>
            <w:tcW w:type="dxa" w:w="3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压测、恢复演练、监控截图/报告</w:t>
            </w:r>
          </w:p>
        </w:tc>
      </w:tr>
      <w:tr>
        <w:trPr>
          <w:cantSplit/>
        </w:trPr>
        <w:tc>
          <w:tcPr>
            <w:tcW w:type="dxa" w:w="17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审计追溯</w:t>
            </w:r>
          </w:p>
        </w:tc>
        <w:tc>
          <w:tcPr>
            <w:tcW w:type="dxa" w:w="4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关键决定、版本、人员、时间、理由和证据完整</w:t>
            </w:r>
          </w:p>
        </w:tc>
        <w:tc>
          <w:tcPr>
            <w:tcW w:type="dxa" w:w="3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审计抽样、导出与历史回放</w:t>
            </w:r>
          </w:p>
        </w:tc>
      </w:tr>
    </w:tbl>
    <w:p>
      <w:pPr>
        <w:spacing w:after="40"/>
      </w:pPr>
    </w:p>
    <w:p>
      <w:pPr>
        <w:pStyle w:val="Heading2"/>
      </w:pPr>
      <w:r>
        <w:rPr>
          <w:rFonts w:ascii="Source Han Sans CN" w:hAnsi="Source Han Sans CN" w:eastAsia="Source Han Sans CN" w:cs="Source Han Sans CN"/>
          <w:b/>
          <w:color w:val="1F4E78"/>
          <w:sz w:val="26"/>
        </w:rPr>
        <w:t>26.2 首批端到端验收场景</w:t>
      </w:r>
    </w:p>
    <w:p>
      <w:pPr>
        <w:numPr>
          <w:ilvl w:val="0"/>
          <w:numId w:val="11"/>
        </w:numPr>
        <w:spacing w:before="0" w:after="100" w:line="293" w:lineRule="auto"/>
        <w:keepLines/>
      </w:pPr>
      <w:r>
        <w:rPr>
          <w:rFonts w:ascii="Source Han Sans CN" w:hAnsi="Source Han Sans CN" w:eastAsia="Source Han Sans CN" w:cs="Source Han Sans CN"/>
          <w:color w:val="1F2937"/>
          <w:sz w:val="21"/>
        </w:rPr>
        <w:t>已有正式供应源：ERP需求→匹配→多供应商分配→正式PO→确认→ASN→收货→IQC合格→对账→付款回传。</w:t>
      </w:r>
    </w:p>
    <w:p>
      <w:pPr>
        <w:numPr>
          <w:ilvl w:val="0"/>
          <w:numId w:val="11"/>
        </w:numPr>
        <w:spacing w:before="0" w:after="100" w:line="293" w:lineRule="auto"/>
        <w:keepLines/>
      </w:pPr>
      <w:r>
        <w:rPr>
          <w:rFonts w:ascii="Source Han Sans CN" w:hAnsi="Source Han Sans CN" w:eastAsia="Source Han Sans CN" w:cs="Source Han Sans CN"/>
          <w:color w:val="1F2937"/>
          <w:sz w:val="21"/>
        </w:rPr>
        <w:t>新供应商NPI：新物料寻源→预审→报价/评审→条件定标→准入/样件/采购依据并行→试制源→量产认可→正式源。</w:t>
      </w:r>
    </w:p>
    <w:p>
      <w:pPr>
        <w:numPr>
          <w:ilvl w:val="0"/>
          <w:numId w:val="11"/>
        </w:numPr>
        <w:spacing w:before="0" w:after="100" w:line="293" w:lineRule="auto"/>
        <w:keepLines/>
      </w:pPr>
      <w:r>
        <w:rPr>
          <w:rFonts w:ascii="Source Han Sans CN" w:hAnsi="Source Han Sans CN" w:eastAsia="Source Han Sans CN" w:cs="Source Han Sans CN"/>
          <w:color w:val="1F2937"/>
          <w:sz w:val="21"/>
        </w:rPr>
        <w:t>需求部分缺口：现有源满足部分→分配已覆盖数量→缺口触发寻源→新源转化→剩余数量分配。</w:t>
      </w:r>
    </w:p>
    <w:p>
      <w:pPr>
        <w:numPr>
          <w:ilvl w:val="0"/>
          <w:numId w:val="11"/>
        </w:numPr>
        <w:spacing w:before="0" w:after="100" w:line="293" w:lineRule="auto"/>
        <w:keepLines/>
      </w:pPr>
      <w:r>
        <w:rPr>
          <w:rFonts w:ascii="Source Han Sans CN" w:hAnsi="Source Han Sans CN" w:eastAsia="Source Han Sans CN" w:cs="Source Han Sans CN"/>
          <w:color w:val="1F2937"/>
          <w:sz w:val="21"/>
        </w:rPr>
        <w:t>年度议价：复用已准入供应商和供应源→多轮报价→新价格版本→目标份额/配额调整→后续PO使用新价。</w:t>
      </w:r>
    </w:p>
    <w:p>
      <w:pPr>
        <w:numPr>
          <w:ilvl w:val="0"/>
          <w:numId w:val="11"/>
        </w:numPr>
        <w:spacing w:before="0" w:after="100" w:line="293" w:lineRule="auto"/>
        <w:keepLines/>
      </w:pPr>
      <w:r>
        <w:rPr>
          <w:rFonts w:ascii="Source Han Sans CN" w:hAnsi="Source Han Sans CN" w:eastAsia="Source Han Sans CN" w:cs="Source Han Sans CN"/>
          <w:color w:val="1F2937"/>
          <w:sz w:val="21"/>
        </w:rPr>
        <w:t>紧急采购：最低核验→快速询价→例外审批→限量限期条件源→一次性PO→到期关闭，不自动转正式。</w:t>
      </w:r>
    </w:p>
    <w:p>
      <w:pPr>
        <w:numPr>
          <w:ilvl w:val="0"/>
          <w:numId w:val="11"/>
        </w:numPr>
        <w:spacing w:before="0" w:after="100" w:line="293" w:lineRule="auto"/>
        <w:keepLines/>
      </w:pPr>
      <w:r>
        <w:rPr>
          <w:rFonts w:ascii="Source Han Sans CN" w:hAnsi="Source Han Sans CN" w:eastAsia="Source Han Sans CN" w:cs="Source Han Sans CN"/>
          <w:color w:val="1F2937"/>
          <w:sz w:val="21"/>
        </w:rPr>
        <w:t>质量异常：收货/IQC不合格→隔离/退货→SCAR/8D→复验→资格/供应源限制→绩效扣分与改善。</w:t>
      </w:r>
    </w:p>
    <w:p>
      <w:pPr>
        <w:numPr>
          <w:ilvl w:val="0"/>
          <w:numId w:val="11"/>
        </w:numPr>
        <w:spacing w:before="0" w:after="100" w:line="293" w:lineRule="auto"/>
        <w:keepLines/>
      </w:pPr>
      <w:r>
        <w:rPr>
          <w:rFonts w:ascii="Source Han Sans CN" w:hAnsi="Source Han Sans CN" w:eastAsia="Source Han Sans CN" w:cs="Source Han Sans CN"/>
          <w:color w:val="1F2937"/>
          <w:sz w:val="21"/>
        </w:rPr>
        <w:t>供应商冻结：重大风险→冻结新业务→开放PO清单→继续/替代/取消决策→第二供应源建设。</w:t>
      </w:r>
    </w:p>
    <w:p>
      <w:pPr>
        <w:numPr>
          <w:ilvl w:val="0"/>
          <w:numId w:val="11"/>
        </w:numPr>
        <w:spacing w:before="0" w:after="100" w:line="293" w:lineRule="auto"/>
        <w:keepLines/>
      </w:pPr>
      <w:r>
        <w:rPr>
          <w:rFonts w:ascii="Source Han Sans CN" w:hAnsi="Source Han Sans CN" w:eastAsia="Source Han Sans CN" w:cs="Source Han Sans CN"/>
          <w:color w:val="1F2937"/>
          <w:sz w:val="21"/>
        </w:rPr>
        <w:t>对账差异：价格/数量/退货不一致→差异分派→调整/接受→发票/请款→ERP应付和付款结果。</w:t>
      </w:r>
    </w:p>
    <w:p>
      <w:pPr>
        <w:pStyle w:val="Heading2"/>
      </w:pPr>
      <w:r>
        <w:rPr>
          <w:rFonts w:ascii="Source Han Sans CN" w:hAnsi="Source Han Sans CN" w:eastAsia="Source Han Sans CN" w:cs="Source Han Sans CN"/>
          <w:b/>
          <w:color w:val="1F4E78"/>
          <w:sz w:val="26"/>
        </w:rPr>
        <w:t>26.3 指标口径管理</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300"/>
        <w:gridCol w:w="7300"/>
      </w:tblGrid>
      <w:tr>
        <w:trPr>
          <w:tblHeader w:val="true"/>
          <w:cantSplit/>
        </w:trPr>
        <w:tc>
          <w:tcPr>
            <w:tcW w:type="dxa" w:w="2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指标</w:t>
            </w:r>
          </w:p>
        </w:tc>
        <w:tc>
          <w:tcPr>
            <w:tcW w:type="dxa" w:w="7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建议口径说明</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供应商准入周期</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从资料完整/正式提交到最终准入结论，区分供应商等待和内部处理时间。</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寻源周期</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从项目批准/发布到定标批准；按寻源方式和是否新供应商分组。</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供应源转化周期</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从定标到试制/正式供应源生效；展示各并行任务耗时。</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订单确认及时率</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在要求时间内完成接受或差异提交的PO行数/需确认行数。</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准时交付率</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按确认日期或要求日期口径配置；明确按行、批次、数量加权。</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来料合格率</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合格接收数量/检验数量；特采、免检、退货和重复检验口径明确。</w:t>
            </w:r>
          </w:p>
        </w:tc>
      </w:tr>
      <w:tr>
        <w:trPr>
          <w:cantSplit/>
        </w:trPr>
        <w:tc>
          <w:tcPr>
            <w:tcW w:type="dxa" w:w="2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对账一次一致率</w:t>
            </w:r>
          </w:p>
        </w:tc>
        <w:tc>
          <w:tcPr>
            <w:tcW w:type="dxa" w:w="7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首次生成后无需差异调整即双方确认的对账单或明细占比。</w:t>
            </w:r>
          </w:p>
        </w:tc>
      </w:tr>
      <w:tr>
        <w:trPr>
          <w:cantSplit/>
        </w:trPr>
        <w:tc>
          <w:tcPr>
            <w:tcW w:type="dxa" w:w="2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关键料双供覆盖率</w:t>
            </w:r>
          </w:p>
        </w:tc>
        <w:tc>
          <w:tcPr>
            <w:tcW w:type="dxa" w:w="7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拥有两个及以上有效正式供应源且具备可用能力的关键物料占比。</w:t>
            </w:r>
          </w:p>
        </w:tc>
      </w:tr>
    </w:tbl>
    <w:p>
      <w:pPr>
        <w:spacing w:after="40"/>
      </w:pPr>
    </w:p>
    <w:p>
      <w:pPr>
        <w:pStyle w:val="Heading1"/>
      </w:pPr>
      <w:r>
        <w:rPr>
          <w:rFonts w:ascii="Source Han Sans CN" w:hAnsi="Source Han Sans CN" w:eastAsia="Source Han Sans CN" w:cs="Source Han Sans CN"/>
          <w:b/>
          <w:color w:val="1F4E78"/>
          <w:sz w:val="32"/>
        </w:rPr>
        <w:t>27. 设计结论、待决策事项与下一步</w:t>
      </w:r>
    </w:p>
    <w:p>
      <w:pPr>
        <w:pStyle w:val="Heading2"/>
      </w:pPr>
      <w:r>
        <w:rPr>
          <w:rFonts w:ascii="Source Han Sans CN" w:hAnsi="Source Han Sans CN" w:eastAsia="Source Han Sans CN" w:cs="Source Han Sans CN"/>
          <w:b/>
          <w:color w:val="1F4E78"/>
          <w:sz w:val="26"/>
        </w:rPr>
        <w:t>27.1 已锁定的总体设计结论</w:t>
      </w:r>
    </w:p>
    <w:p>
      <w:pPr>
        <w:numPr>
          <w:ilvl w:val="0"/>
          <w:numId w:val="10"/>
        </w:numPr>
        <w:spacing w:before="0" w:after="80" w:line="293" w:lineRule="auto"/>
        <w:keepLines/>
      </w:pPr>
      <w:r>
        <w:rPr>
          <w:rFonts w:ascii="Source Han Sans CN" w:hAnsi="Source Han Sans CN" w:eastAsia="Source Han Sans CN" w:cs="Source Han Sans CN"/>
          <w:color w:val="1F2937"/>
          <w:sz w:val="21"/>
        </w:rPr>
        <w:t>新 SRM 独立建设，不沿用旧 SCM 的一级模块和计划系统业务主线。</w:t>
      </w:r>
    </w:p>
    <w:p>
      <w:pPr>
        <w:numPr>
          <w:ilvl w:val="0"/>
          <w:numId w:val="10"/>
        </w:numPr>
        <w:spacing w:before="0" w:after="80" w:line="293" w:lineRule="auto"/>
        <w:keepLines/>
      </w:pPr>
      <w:r>
        <w:rPr>
          <w:rFonts w:ascii="Source Han Sans CN" w:hAnsi="Source Han Sans CN" w:eastAsia="Source Han Sans CN" w:cs="Source Han Sans CN"/>
          <w:color w:val="1F2937"/>
          <w:sz w:val="21"/>
        </w:rPr>
        <w:t>系统面向制造业直接物料，以供应资源开发和采购执行协同为两条业务循环。</w:t>
      </w:r>
    </w:p>
    <w:p>
      <w:pPr>
        <w:numPr>
          <w:ilvl w:val="0"/>
          <w:numId w:val="10"/>
        </w:numPr>
        <w:spacing w:before="0" w:after="80" w:line="293" w:lineRule="auto"/>
        <w:keepLines/>
      </w:pPr>
      <w:r>
        <w:rPr>
          <w:rFonts w:ascii="Source Han Sans CN" w:hAnsi="Source Han Sans CN" w:eastAsia="Source Han Sans CN" w:cs="Source Han Sans CN"/>
          <w:color w:val="1F2937"/>
          <w:sz w:val="21"/>
        </w:rPr>
        <w:t>采购需求是执行入口，不是整个 SRM 的唯一入口。</w:t>
      </w:r>
    </w:p>
    <w:p>
      <w:pPr>
        <w:numPr>
          <w:ilvl w:val="0"/>
          <w:numId w:val="10"/>
        </w:numPr>
        <w:spacing w:before="0" w:after="80" w:line="293" w:lineRule="auto"/>
        <w:keepLines/>
      </w:pPr>
      <w:r>
        <w:rPr>
          <w:rFonts w:ascii="Source Han Sans CN" w:hAnsi="Source Han Sans CN" w:eastAsia="Source Han Sans CN" w:cs="Source Han Sans CN"/>
          <w:color w:val="1F2937"/>
          <w:sz w:val="21"/>
        </w:rPr>
        <w:t>系统设置12个一级域；工作台即首页且不设普通二级侧栏；角色通常只见4—7个域。</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供应商主体、寻源参与资格、主体准入、物料资格、采购依据、价格和供应源分别管理。</w:t>
      </w:r>
    </w:p>
    <w:p>
      <w:pPr>
        <w:numPr>
          <w:ilvl w:val="0"/>
          <w:numId w:val="10"/>
        </w:numPr>
        <w:spacing w:before="0" w:after="80" w:line="293" w:lineRule="auto"/>
        <w:keepLines/>
      </w:pPr>
      <w:r>
        <w:rPr>
          <w:rFonts w:ascii="Source Han Sans CN" w:hAnsi="Source Han Sans CN" w:eastAsia="Source Han Sans CN" w:cs="Source Han Sans CN"/>
          <w:color w:val="1F2937"/>
          <w:sz w:val="21"/>
        </w:rPr>
        <w:t>物料资格与供应商质量合并为同一一级业务域。</w:t>
      </w:r>
    </w:p>
    <w:p>
      <w:pPr>
        <w:numPr>
          <w:ilvl w:val="0"/>
          <w:numId w:val="10"/>
        </w:numPr>
        <w:spacing w:before="0" w:after="80" w:line="293" w:lineRule="auto"/>
        <w:keepLines/>
      </w:pPr>
      <w:r>
        <w:rPr>
          <w:rFonts w:ascii="Source Han Sans CN" w:hAnsi="Source Han Sans CN" w:eastAsia="Source Han Sans CN" w:cs="Source Han Sans CN"/>
          <w:color w:val="1F2937"/>
          <w:sz w:val="21"/>
        </w:rPr>
        <w:t>需求、供应源匹配、缺口、实际分配和PO协同合并为采购协同。</w:t>
      </w:r>
    </w:p>
    <w:p>
      <w:pPr>
        <w:numPr>
          <w:ilvl w:val="0"/>
          <w:numId w:val="10"/>
        </w:numPr>
        <w:spacing w:before="0" w:after="80" w:line="293" w:lineRule="auto"/>
        <w:keepLines/>
      </w:pPr>
      <w:r>
        <w:rPr>
          <w:rFonts w:ascii="Source Han Sans CN" w:hAnsi="Source Han Sans CN" w:eastAsia="Source Han Sans CN" w:cs="Source Han Sans CN"/>
          <w:color w:val="1F2937"/>
          <w:sz w:val="21"/>
        </w:rPr>
        <w:t>定标确认选择与商务条件，不自动等于准入、合同、正式供应源或可下单。</w:t>
      </w:r>
    </w:p>
    <w:p>
      <w:pPr>
        <w:numPr>
          <w:ilvl w:val="0"/>
          <w:numId w:val="10"/>
        </w:numPr>
        <w:spacing w:before="0" w:after="80" w:line="293" w:lineRule="auto"/>
        <w:keepLines/>
      </w:pPr>
      <w:r>
        <w:rPr>
          <w:rFonts w:ascii="Source Han Sans CN" w:hAnsi="Source Han Sans CN" w:eastAsia="Source Han Sans CN" w:cs="Source Han Sans CN"/>
          <w:color w:val="1F2937"/>
          <w:sz w:val="21"/>
        </w:rPr>
        <w:t>合同不是所有路径的固定串行关口；系统校验企业认可的有效采购依据。</w:t>
      </w:r>
    </w:p>
    <w:p>
      <w:pPr>
        <w:numPr>
          <w:ilvl w:val="0"/>
          <w:numId w:val="10"/>
        </w:numPr>
        <w:spacing w:before="0" w:after="80" w:line="293" w:lineRule="auto"/>
        <w:keepLines/>
      </w:pPr>
      <w:r>
        <w:rPr>
          <w:rFonts w:ascii="Source Han Sans CN" w:hAnsi="Source Han Sans CN" w:eastAsia="Source Han Sans CN" w:cs="Source Han Sans CN"/>
          <w:color w:val="1F2937"/>
          <w:sz w:val="21"/>
        </w:rPr>
        <w:t>供应源至少支持候选、试制、条件、正式、限制、暂停、过期和终止。</w:t>
      </w:r>
    </w:p>
    <w:p>
      <w:pPr>
        <w:numPr>
          <w:ilvl w:val="0"/>
          <w:numId w:val="10"/>
        </w:numPr>
        <w:spacing w:before="0" w:after="80" w:line="293" w:lineRule="auto"/>
        <w:keepLines/>
      </w:pPr>
      <w:r>
        <w:rPr>
          <w:rFonts w:ascii="Source Han Sans CN" w:hAnsi="Source Han Sans CN" w:eastAsia="Source Han Sans CN" w:cs="Source Han Sans CN"/>
          <w:color w:val="1F2937"/>
          <w:sz w:val="21"/>
        </w:rPr>
        <w:t>定标份额、供应配额和实际分配是三个不同对象/阶段。</w:t>
      </w:r>
    </w:p>
    <w:p>
      <w:pPr>
        <w:numPr>
          <w:ilvl w:val="0"/>
          <w:numId w:val="10"/>
        </w:numPr>
        <w:spacing w:before="0" w:after="80" w:line="293" w:lineRule="auto"/>
        <w:keepLines/>
      </w:pPr>
      <w:r>
        <w:rPr>
          <w:rFonts w:ascii="Source Han Sans CN" w:hAnsi="Source Han Sans CN" w:eastAsia="Source Han Sans CN" w:cs="Source Han Sans CN"/>
          <w:color w:val="1F2937"/>
          <w:sz w:val="21"/>
        </w:rPr>
        <w:t>ERP/财务保留计划、正式交易记账、收货过账、应付和付款边界；SRM完成协同与治理。</w:t>
      </w:r>
    </w:p>
    <w:p>
      <w:pPr>
        <w:numPr>
          <w:ilvl w:val="0"/>
          <w:numId w:val="10"/>
        </w:numPr>
        <w:spacing w:before="0" w:after="80" w:line="293" w:lineRule="auto"/>
        <w:keepLines/>
      </w:pPr>
      <w:r>
        <w:rPr>
          <w:rFonts w:ascii="Source Han Sans CN" w:hAnsi="Source Han Sans CN" w:eastAsia="Source Han Sans CN" w:cs="Source Han Sans CN"/>
          <w:color w:val="1F2937"/>
          <w:sz w:val="21"/>
        </w:rPr>
        <w:t>内部采用角色下挂用户＋功能权限＋多维数据权限＋职责分离；供应商强制主体/站点隔离。</w:t>
      </w:r>
    </w:p>
    <w:p>
      <w:pPr>
        <w:numPr>
          <w:ilvl w:val="0"/>
          <w:numId w:val="10"/>
        </w:numPr>
        <w:spacing w:before="0" w:after="80" w:line="293" w:lineRule="auto"/>
        <w:keepLines/>
      </w:pPr>
      <w:r>
        <w:rPr>
          <w:rFonts w:ascii="Source Han Sans CN" w:hAnsi="Source Han Sans CN" w:eastAsia="Source Han Sans CN" w:cs="Source Han Sans CN"/>
          <w:color w:val="1F2937"/>
          <w:sz w:val="21"/>
        </w:rPr>
        <w:t>技术上优先模块化单体与独立内外门户，使用事件和接口边界保持可演进性。</w:t>
      </w:r>
    </w:p>
    <w:p>
      <w:pPr>
        <w:pStyle w:val="Heading2"/>
      </w:pPr>
      <w:r>
        <w:rPr>
          <w:rFonts w:ascii="Source Han Sans CN" w:hAnsi="Source Han Sans CN" w:eastAsia="Source Han Sans CN" w:cs="Source Han Sans CN"/>
          <w:b/>
          <w:color w:val="1F4E78"/>
          <w:sz w:val="26"/>
        </w:rPr>
        <w:t>27.2 进入详细设计前需确认</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800"/>
        <w:gridCol w:w="5200"/>
        <w:gridCol w:w="2600"/>
      </w:tblGrid>
      <w:tr>
        <w:trPr>
          <w:tblHeader w:val="true"/>
          <w:cantSplit/>
        </w:trPr>
        <w:tc>
          <w:tcPr>
            <w:tcW w:type="dxa" w:w="18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待决策</w:t>
            </w:r>
          </w:p>
        </w:tc>
        <w:tc>
          <w:tcPr>
            <w:tcW w:type="dxa" w:w="52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需确认内容</w:t>
            </w:r>
          </w:p>
        </w:tc>
        <w:tc>
          <w:tcPr>
            <w:tcW w:type="dxa" w:w="2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影响</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正式PO权威源</w:t>
            </w:r>
          </w:p>
        </w:tc>
        <w:tc>
          <w:tcPr>
            <w:tcW w:type="dxa" w:w="5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目标企业是否已有ERP；第一阶段采用ERP权威还是SRM原生过渡模式。</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接口与PO审批/编号设计</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行业深度</w:t>
            </w:r>
          </w:p>
        </w:tc>
        <w:tc>
          <w:tcPr>
            <w:tcW w:type="dxa" w:w="5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消费电子为主还是需完整支持汽车APQP/PPAP、计划协议等。</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质量与交付范围</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组织与数据域</w:t>
            </w:r>
          </w:p>
        </w:tc>
        <w:tc>
          <w:tcPr>
            <w:tcW w:type="dxa" w:w="5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实际法律主体、采购组织、工厂、品类和供应商归属规则。</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权限、审批、主数据</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供应商准入策略</w:t>
            </w:r>
          </w:p>
        </w:tc>
        <w:tc>
          <w:tcPr>
            <w:tcW w:type="dxa" w:w="5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不同物料/风险的问卷、审核、证照、复审和例外规则。</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供应商与供应源关口</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采购依据政策</w:t>
            </w:r>
          </w:p>
        </w:tc>
        <w:tc>
          <w:tcPr>
            <w:tcW w:type="dxa" w:w="5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哪些场景必须合同，哪些允许PO条款、试制协议或紧急例外。</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合同、供应源和PO校验</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质量体系</w:t>
            </w:r>
          </w:p>
        </w:tc>
        <w:tc>
          <w:tcPr>
            <w:tcW w:type="dxa" w:w="5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IQC权威系统、物料资格模板、样件/量产认可和特采规则。</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质量对象与接口</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结算方式</w:t>
            </w:r>
          </w:p>
        </w:tc>
        <w:tc>
          <w:tcPr>
            <w:tcW w:type="dxa" w:w="5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对账周期、三单/四单匹配、发票平台、请款和扣款规则。</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结算域与财务接口</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电子签署</w:t>
            </w:r>
          </w:p>
        </w:tc>
        <w:tc>
          <w:tcPr>
            <w:tcW w:type="dxa" w:w="5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是否使用外部平台、线下签署或首期只存合同元数据。</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合同证据和安全</w:t>
            </w:r>
          </w:p>
        </w:tc>
      </w:tr>
      <w:tr>
        <w:trPr>
          <w:cantSplit/>
        </w:trPr>
        <w:tc>
          <w:tcPr>
            <w:tcW w:type="dxa" w:w="18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部署目标</w:t>
            </w:r>
          </w:p>
        </w:tc>
        <w:tc>
          <w:tcPr>
            <w:tcW w:type="dxa" w:w="52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首期用户/供应商/年单据量、SLA、备份恢复和正式环境资源。</w:t>
            </w:r>
          </w:p>
        </w:tc>
        <w:tc>
          <w:tcPr>
            <w:tcW w:type="dxa" w:w="2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容量和非功能方案</w:t>
            </w:r>
          </w:p>
        </w:tc>
      </w:tr>
      <w:tr>
        <w:trPr>
          <w:cantSplit/>
        </w:trPr>
        <w:tc>
          <w:tcPr>
            <w:tcW w:type="dxa" w:w="18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历史迁移</w:t>
            </w:r>
          </w:p>
        </w:tc>
        <w:tc>
          <w:tcPr>
            <w:tcW w:type="dxa" w:w="52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旧系统哪些主数据/历史单据有保留价值，清洗和归档范围。</w:t>
            </w:r>
          </w:p>
        </w:tc>
        <w:tc>
          <w:tcPr>
            <w:tcW w:type="dxa" w:w="2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迁移工作量和切换</w:t>
            </w:r>
          </w:p>
        </w:tc>
      </w:tr>
    </w:tbl>
    <w:p>
      <w:pPr>
        <w:spacing w:after="40"/>
      </w:pPr>
    </w:p>
    <w:p>
      <w:pPr>
        <w:pStyle w:val="Heading2"/>
      </w:pPr>
      <w:r>
        <w:rPr>
          <w:rFonts w:ascii="Source Han Sans CN" w:hAnsi="Source Han Sans CN" w:eastAsia="Source Han Sans CN" w:cs="Source Han Sans CN"/>
          <w:b/>
          <w:color w:val="1F4E78"/>
          <w:sz w:val="26"/>
        </w:rPr>
        <w:t>27.3 后续设计文档顺序</w:t>
      </w:r>
    </w:p>
    <w:p>
      <w:pPr>
        <w:numPr>
          <w:ilvl w:val="0"/>
          <w:numId w:val="11"/>
        </w:numPr>
        <w:spacing w:before="0" w:after="100" w:line="293" w:lineRule="auto"/>
        <w:keepLines/>
      </w:pPr>
      <w:r>
        <w:rPr>
          <w:rFonts w:ascii="Source Han Sans CN" w:hAnsi="Source Han Sans CN" w:eastAsia="Source Han Sans CN" w:cs="Source Han Sans CN"/>
          <w:color w:val="1F2937"/>
          <w:sz w:val="21"/>
        </w:rPr>
        <w:t>《SRM领域模型与核心单据状态机设计》：固化对象、字段组、状态、动作和业务规则。</w:t>
      </w:r>
    </w:p>
    <w:p>
      <w:pPr>
        <w:numPr>
          <w:ilvl w:val="0"/>
          <w:numId w:val="11"/>
        </w:numPr>
        <w:spacing w:before="0" w:after="100" w:line="293" w:lineRule="auto"/>
        <w:keepLines/>
      </w:pPr>
      <w:r>
        <w:rPr>
          <w:rFonts w:ascii="Source Han Sans CN" w:hAnsi="Source Han Sans CN" w:eastAsia="Source Han Sans CN" w:cs="Source Han Sans CN"/>
          <w:color w:val="1F2937"/>
          <w:sz w:val="21"/>
        </w:rPr>
        <w:t>《SRM菜单、页面与角色权限矩阵》：定义内部/供应商门户菜单、按钮、字段和数据范围。</w:t>
      </w:r>
    </w:p>
    <w:p>
      <w:pPr>
        <w:numPr>
          <w:ilvl w:val="0"/>
          <w:numId w:val="11"/>
        </w:numPr>
        <w:spacing w:before="0" w:after="100" w:line="293" w:lineRule="auto"/>
        <w:keepLines/>
      </w:pPr>
      <w:r>
        <w:rPr>
          <w:rFonts w:ascii="Source Han Sans CN" w:hAnsi="Source Han Sans CN" w:eastAsia="Source Han Sans CN" w:cs="Source Han Sans CN"/>
          <w:color w:val="1F2937"/>
          <w:sz w:val="21"/>
        </w:rPr>
        <w:t>《SRM基础数据与主数据集成设计》：明确权威源、映射、同步、编码和数据质量。</w:t>
      </w:r>
    </w:p>
    <w:p>
      <w:pPr>
        <w:numPr>
          <w:ilvl w:val="0"/>
          <w:numId w:val="11"/>
        </w:numPr>
        <w:spacing w:before="0" w:after="100" w:line="293" w:lineRule="auto"/>
        <w:keepLines/>
      </w:pPr>
      <w:r>
        <w:rPr>
          <w:rFonts w:ascii="Source Han Sans CN" w:hAnsi="Source Han Sans CN" w:eastAsia="Source Han Sans CN" w:cs="Source Han Sans CN"/>
          <w:color w:val="1F2937"/>
          <w:sz w:val="21"/>
        </w:rPr>
        <w:t>《SRM接口总体与正式PO集成设计》：确定ERP模式、API/事件、幂等、版本和对账。</w:t>
      </w:r>
    </w:p>
    <w:p>
      <w:pPr>
        <w:numPr>
          <w:ilvl w:val="0"/>
          <w:numId w:val="11"/>
        </w:numPr>
        <w:spacing w:before="0" w:after="100" w:line="293" w:lineRule="auto"/>
        <w:keepLines/>
      </w:pPr>
      <w:r>
        <w:rPr>
          <w:rFonts w:ascii="Source Han Sans CN" w:hAnsi="Source Han Sans CN" w:eastAsia="Source Han Sans CN" w:cs="Source Han Sans CN"/>
          <w:color w:val="1F2937"/>
          <w:sz w:val="21"/>
        </w:rPr>
        <w:t>按阶段编制详细业务需求与开发任务书，从阶段1平台数据底座开始实施。</w:t>
      </w:r>
    </w:p>
    <w:p>
      <w:pPr>
        <w:spacing w:before="120" w:after="200" w:line="283" w:lineRule="auto"/>
        <w:ind w:left="173" w:right="115"/>
        <w:shd w:fill="F4F3FF"/>
        <w:pBdr>
          <w:left w:val="single" w:sz="20" w:space="8" w:color="6941C6"/>
        </w:pBdr>
        <w:keepLines/>
      </w:pPr>
      <w:r>
        <w:rPr>
          <w:rFonts w:ascii="Source Han Sans CN" w:hAnsi="Source Han Sans CN" w:eastAsia="Source Han Sans CN" w:cs="Source Han Sans CN"/>
          <w:b/>
          <w:color w:val="6941C6"/>
          <w:sz w:val="20"/>
        </w:rPr>
        <w:t xml:space="preserve">建议评审方式　</w:t>
      </w:r>
      <w:r>
        <w:rPr>
          <w:rFonts w:ascii="Source Han Sans CN" w:hAnsi="Source Han Sans CN" w:eastAsia="Source Han Sans CN" w:cs="Source Han Sans CN"/>
          <w:color w:val="1F2937"/>
          <w:sz w:val="20"/>
        </w:rPr>
        <w:t>先确认第27.1节总体结论和第27.2节关键选择；不要在总体模型未定时直接进入页面或数据库开发。</w:t>
      </w:r>
    </w:p>
    <w:p>
      <w:pPr>
        <w:pStyle w:val="Heading1"/>
      </w:pPr>
      <w:r>
        <w:rPr>
          <w:rFonts w:ascii="Source Han Sans CN" w:hAnsi="Source Han Sans CN" w:eastAsia="Source Han Sans CN" w:cs="Source Han Sans CN"/>
          <w:b/>
          <w:color w:val="1F4E78"/>
          <w:sz w:val="32"/>
        </w:rPr>
        <w:t>附录 A　核心对象状态摘要</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2100"/>
        <w:gridCol w:w="7500"/>
      </w:tblGrid>
      <w:tr>
        <w:trPr>
          <w:tblHeader w:val="true"/>
          <w:cantSplit/>
        </w:trPr>
        <w:tc>
          <w:tcPr>
            <w:tcW w:type="dxa" w:w="21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对象</w:t>
            </w:r>
          </w:p>
        </w:tc>
        <w:tc>
          <w:tcPr>
            <w:tcW w:type="dxa" w:w="75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主要状态</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供应商主体</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潜在资源、已注册、寻源可参与、准入审核中、已准入、限制、冻结、退出/黑名单</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寻源项目</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草稿、待审批、已发布、响应中、评审中、定标审批中、已定标、转化中、已关闭、暂停/取消</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定标结果</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草稿、待审批、条件定标、正式定标、备选、未中选、撤销/重开</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合同/采购依据</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草稿、评审中、协商中、待签署、已签署待生效、生效、临期、到期、终止/作废</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物料资格</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待评估、技术评审、样件/试制、条件通过、量产认可、暂停/撤销、到期</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供应源</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候选、试制、条件、正式、限制、暂停、过期、终止</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采购需求</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已接收、已校验、匹配中、已匹配、部分/全部缺口、已分配、部分/全部下单、关闭/取消</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采购订单</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待同步/审批、已发布、待确认、已确认/有差异、执行中、部分/全部完成、变更中、取消/关闭</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ASN</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草稿、已提交、已确认、已发运、在途、已到达、部分/全部收货、异常、取消</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质量异常</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草稿、已发布、围堵中、原因分析、整改中、验证中、已关闭、重开/升级</w:t>
            </w:r>
          </w:p>
        </w:tc>
      </w:tr>
      <w:tr>
        <w:trPr>
          <w:cantSplit/>
        </w:trPr>
        <w:tc>
          <w:tcPr>
            <w:tcW w:type="dxa" w:w="21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对账单</w:t>
            </w:r>
          </w:p>
        </w:tc>
        <w:tc>
          <w:tcPr>
            <w:tcW w:type="dxa" w:w="75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草稿、待采购确认、待供应商确认、有差异、已一致、已关闭、作废</w:t>
            </w:r>
          </w:p>
        </w:tc>
      </w:tr>
      <w:tr>
        <w:trPr>
          <w:cantSplit/>
        </w:trPr>
        <w:tc>
          <w:tcPr>
            <w:tcW w:type="dxa" w:w="21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风险/改善</w:t>
            </w:r>
          </w:p>
        </w:tc>
        <w:tc>
          <w:tcPr>
            <w:tcW w:type="dxa" w:w="75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已识别、评估中、处理中、监控中、已关闭、升级；改善另有计划/执行/验证状态</w:t>
            </w:r>
          </w:p>
        </w:tc>
      </w:tr>
    </w:tbl>
    <w:p>
      <w:pPr>
        <w:spacing w:after="40"/>
      </w:pPr>
    </w:p>
    <w:p>
      <w:pPr>
        <w:pStyle w:val="Heading1"/>
      </w:pPr>
      <w:r>
        <w:rPr>
          <w:rFonts w:ascii="Source Han Sans CN" w:hAnsi="Source Han Sans CN" w:eastAsia="Source Han Sans CN" w:cs="Source Han Sans CN"/>
          <w:b/>
          <w:color w:val="1F4E78"/>
          <w:sz w:val="32"/>
        </w:rPr>
        <w:t>附录 B　关键业务规则摘要</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600"/>
        <w:gridCol w:w="8000"/>
      </w:tblGrid>
      <w:tr>
        <w:trPr>
          <w:tblHeader w:val="true"/>
          <w:cantSplit/>
        </w:trPr>
        <w:tc>
          <w:tcPr>
            <w:tcW w:type="dxa" w:w="16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规则编号</w:t>
            </w:r>
          </w:p>
        </w:tc>
        <w:tc>
          <w:tcPr>
            <w:tcW w:type="dxa" w:w="80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规则</w:t>
            </w:r>
          </w:p>
        </w:tc>
      </w:tr>
      <w:tr>
        <w:trPr>
          <w:cantSplit/>
        </w:trPr>
        <w:tc>
          <w:tcPr>
            <w:tcW w:type="dxa" w:w="1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BR-001</w:t>
            </w:r>
          </w:p>
        </w:tc>
        <w:tc>
          <w:tcPr>
            <w:tcW w:type="dxa" w:w="8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定标不能直接赋予正式下单资格。</w:t>
            </w:r>
          </w:p>
        </w:tc>
      </w:tr>
      <w:tr>
        <w:trPr>
          <w:cantSplit/>
        </w:trPr>
        <w:tc>
          <w:tcPr>
            <w:tcW w:type="dxa" w:w="1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BR-002</w:t>
            </w:r>
          </w:p>
        </w:tc>
        <w:tc>
          <w:tcPr>
            <w:tcW w:type="dxa" w:w="8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供应商主体已准入不代表其全部站点、物料和工厂均可供货。</w:t>
            </w:r>
          </w:p>
        </w:tc>
      </w:tr>
      <w:tr>
        <w:trPr>
          <w:cantSplit/>
        </w:trPr>
        <w:tc>
          <w:tcPr>
            <w:tcW w:type="dxa" w:w="1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BR-003</w:t>
            </w:r>
          </w:p>
        </w:tc>
        <w:tc>
          <w:tcPr>
            <w:tcW w:type="dxa" w:w="8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供应源激活条件由场景策略确定，准入、资格和采购依据可并行完成。</w:t>
            </w:r>
          </w:p>
        </w:tc>
      </w:tr>
      <w:tr>
        <w:trPr>
          <w:cantSplit/>
        </w:trPr>
        <w:tc>
          <w:tcPr>
            <w:tcW w:type="dxa" w:w="1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BR-004</w:t>
            </w:r>
          </w:p>
        </w:tc>
        <w:tc>
          <w:tcPr>
            <w:tcW w:type="dxa" w:w="8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正式生产订单默认只能使用正式供应源；试制/条件订单必须符合限制。</w:t>
            </w:r>
          </w:p>
        </w:tc>
      </w:tr>
      <w:tr>
        <w:trPr>
          <w:cantSplit/>
        </w:trPr>
        <w:tc>
          <w:tcPr>
            <w:tcW w:type="dxa" w:w="1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BR-005</w:t>
            </w:r>
          </w:p>
        </w:tc>
        <w:tc>
          <w:tcPr>
            <w:tcW w:type="dxa" w:w="8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采购依据可以是合同、协议、PO条款或批准例外，但必须覆盖当前交易。</w:t>
            </w:r>
          </w:p>
        </w:tc>
      </w:tr>
      <w:tr>
        <w:trPr>
          <w:cantSplit/>
        </w:trPr>
        <w:tc>
          <w:tcPr>
            <w:tcW w:type="dxa" w:w="1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BR-006</w:t>
            </w:r>
          </w:p>
        </w:tc>
        <w:tc>
          <w:tcPr>
            <w:tcW w:type="dxa" w:w="8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需求匹配、分配发布和PO发布均需校验供应源，PO发布执行最终校验。</w:t>
            </w:r>
          </w:p>
        </w:tc>
      </w:tr>
      <w:tr>
        <w:trPr>
          <w:cantSplit/>
        </w:trPr>
        <w:tc>
          <w:tcPr>
            <w:tcW w:type="dxa" w:w="1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BR-007</w:t>
            </w:r>
          </w:p>
        </w:tc>
        <w:tc>
          <w:tcPr>
            <w:tcW w:type="dxa" w:w="8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定标份额、供应配额和实际分配互不替代；实际分配调整需记录原因。</w:t>
            </w:r>
          </w:p>
        </w:tc>
      </w:tr>
      <w:tr>
        <w:trPr>
          <w:cantSplit/>
        </w:trPr>
        <w:tc>
          <w:tcPr>
            <w:tcW w:type="dxa" w:w="1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BR-008</w:t>
            </w:r>
          </w:p>
        </w:tc>
        <w:tc>
          <w:tcPr>
            <w:tcW w:type="dxa" w:w="8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供应商只能提交订单承诺/差异，不得直接修改采购方正式PO。</w:t>
            </w:r>
          </w:p>
        </w:tc>
      </w:tr>
      <w:tr>
        <w:trPr>
          <w:cantSplit/>
        </w:trPr>
        <w:tc>
          <w:tcPr>
            <w:tcW w:type="dxa" w:w="1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BR-009</w:t>
            </w:r>
          </w:p>
        </w:tc>
        <w:tc>
          <w:tcPr>
            <w:tcW w:type="dxa" w:w="8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ASN不得超过可发运量及容差；取消/收货后可发运量实时重算。</w:t>
            </w:r>
          </w:p>
        </w:tc>
      </w:tr>
      <w:tr>
        <w:trPr>
          <w:cantSplit/>
        </w:trPr>
        <w:tc>
          <w:tcPr>
            <w:tcW w:type="dxa" w:w="1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BR-010</w:t>
            </w:r>
          </w:p>
        </w:tc>
        <w:tc>
          <w:tcPr>
            <w:tcW w:type="dxa" w:w="8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检验、退货和质量扣款影响可结算数量，对账一致不等于已付款。</w:t>
            </w:r>
          </w:p>
        </w:tc>
      </w:tr>
      <w:tr>
        <w:trPr>
          <w:cantSplit/>
        </w:trPr>
        <w:tc>
          <w:tcPr>
            <w:tcW w:type="dxa" w:w="1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BR-011</w:t>
            </w:r>
          </w:p>
        </w:tc>
        <w:tc>
          <w:tcPr>
            <w:tcW w:type="dxa" w:w="8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冻结或退出不修改历史事实，只限制新业务并生成开放订单处置。</w:t>
            </w:r>
          </w:p>
        </w:tc>
      </w:tr>
      <w:tr>
        <w:trPr>
          <w:cantSplit/>
        </w:trPr>
        <w:tc>
          <w:tcPr>
            <w:tcW w:type="dxa" w:w="1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BR-012</w:t>
            </w:r>
          </w:p>
        </w:tc>
        <w:tc>
          <w:tcPr>
            <w:tcW w:type="dxa" w:w="8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关键状态、价格、资格、合同、供应源和PO采用版本化，不覆盖历史。</w:t>
            </w:r>
          </w:p>
        </w:tc>
      </w:tr>
      <w:tr>
        <w:trPr>
          <w:cantSplit/>
        </w:trPr>
        <w:tc>
          <w:tcPr>
            <w:tcW w:type="dxa" w:w="1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BR-013</w:t>
            </w:r>
          </w:p>
        </w:tc>
        <w:tc>
          <w:tcPr>
            <w:tcW w:type="dxa" w:w="8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供应商用户后端强制绑定供应商主体/站点，禁止依赖前端传入数据范围。</w:t>
            </w:r>
          </w:p>
        </w:tc>
      </w:tr>
      <w:tr>
        <w:trPr>
          <w:cantSplit/>
        </w:trPr>
        <w:tc>
          <w:tcPr>
            <w:tcW w:type="dxa" w:w="16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BR-014</w:t>
            </w:r>
          </w:p>
        </w:tc>
        <w:tc>
          <w:tcPr>
            <w:tcW w:type="dxa" w:w="80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接口幂等、乱序和重试与业务状态分离，旧版本不得覆盖新版本。</w:t>
            </w:r>
          </w:p>
        </w:tc>
      </w:tr>
      <w:tr>
        <w:trPr>
          <w:cantSplit/>
        </w:trPr>
        <w:tc>
          <w:tcPr>
            <w:tcW w:type="dxa" w:w="16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BR-015</w:t>
            </w:r>
          </w:p>
        </w:tc>
        <w:tc>
          <w:tcPr>
            <w:tcW w:type="dxa" w:w="80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用户不得审批本人发起且受职责分离约束的关键业务。</w:t>
            </w:r>
          </w:p>
        </w:tc>
      </w:tr>
    </w:tbl>
    <w:p>
      <w:pPr>
        <w:spacing w:after="40"/>
      </w:pPr>
    </w:p>
    <w:p>
      <w:pPr>
        <w:pStyle w:val="Heading1"/>
      </w:pPr>
      <w:r>
        <w:rPr>
          <w:rFonts w:ascii="Source Han Sans CN" w:hAnsi="Source Han Sans CN" w:eastAsia="Source Han Sans CN" w:cs="Source Han Sans CN"/>
          <w:b/>
          <w:color w:val="1F4E78"/>
          <w:sz w:val="32"/>
        </w:rPr>
        <w:t>附录 C　公开参考资料</w:t>
      </w:r>
    </w:p>
    <w:p>
      <w:pPr>
        <w:spacing w:before="0" w:after="120" w:line="293" w:lineRule="auto"/>
        <w:jc w:val="left"/>
        <w:keepLines/>
      </w:pPr>
      <w:r>
        <w:rPr>
          <w:rFonts w:ascii="Source Han Sans CN" w:hAnsi="Source Han Sans CN" w:eastAsia="Source Han Sans CN" w:cs="Source Han Sans CN"/>
          <w:b w:val="0"/>
          <w:i w:val="0"/>
          <w:color w:val="475467"/>
          <w:sz w:val="21"/>
        </w:rPr>
        <w:t>下列资料用于识别行业通行能力和对象，不代表本项目依赖或复刻特定厂商产品。访问日期：2026年7月22日。</w:t>
      </w:r>
    </w:p>
    <w:p>
      <w:pPr>
        <w:spacing w:after="100" w:line="276" w:lineRule="auto"/>
        <w:ind w:left="259" w:hanging="259"/>
      </w:pPr>
      <w:r>
        <w:rPr>
          <w:rFonts w:ascii="Source Han Sans CN" w:hAnsi="Source Han Sans CN" w:eastAsia="Source Han Sans CN" w:cs="Source Han Sans CN"/>
          <w:b/>
          <w:color w:val="17365D"/>
          <w:sz w:val="19"/>
        </w:rPr>
        <w:t xml:space="preserve">[S1] </w:t>
      </w:r>
      <w:hyperlink r:id="rId16">
        <w:r>
          <w:rPr>
            <w:rFonts w:ascii="Source Han Sans CN" w:hAnsi="Source Han Sans CN" w:eastAsia="Source Han Sans CN" w:cs="Source Han Sans CN"/>
            <w:color w:val="2E74B5"/>
            <w:u w:val="single"/>
            <w:sz w:val="19"/>
          </w:rPr>
          <w:t>SAP Help：Source Determination / Quota Arrangement</w:t>
        </w:r>
      </w:hyperlink>
    </w:p>
    <w:p>
      <w:pPr>
        <w:spacing w:after="100" w:line="276" w:lineRule="auto"/>
        <w:ind w:left="259" w:hanging="259"/>
      </w:pPr>
      <w:r>
        <w:rPr>
          <w:rFonts w:ascii="Source Han Sans CN" w:hAnsi="Source Han Sans CN" w:eastAsia="Source Han Sans CN" w:cs="Source Han Sans CN"/>
          <w:b/>
          <w:color w:val="17365D"/>
          <w:sz w:val="19"/>
        </w:rPr>
        <w:t xml:space="preserve">[S2] </w:t>
      </w:r>
      <w:hyperlink r:id="rId17">
        <w:r>
          <w:rPr>
            <w:rFonts w:ascii="Source Han Sans CN" w:hAnsi="Source Han Sans CN" w:eastAsia="Source Han Sans CN" w:cs="Source Han Sans CN"/>
            <w:color w:val="2E74B5"/>
            <w:u w:val="single"/>
            <w:sz w:val="19"/>
          </w:rPr>
          <w:t>SAP Business Network for Supply Chain Integration and Configuration Guide</w:t>
        </w:r>
      </w:hyperlink>
    </w:p>
    <w:p>
      <w:pPr>
        <w:spacing w:after="100" w:line="276" w:lineRule="auto"/>
        <w:ind w:left="259" w:hanging="259"/>
      </w:pPr>
      <w:r>
        <w:rPr>
          <w:rFonts w:ascii="Source Han Sans CN" w:hAnsi="Source Han Sans CN" w:eastAsia="Source Han Sans CN" w:cs="Source Han Sans CN"/>
          <w:b/>
          <w:color w:val="17365D"/>
          <w:sz w:val="19"/>
        </w:rPr>
        <w:t xml:space="preserve">[S3] </w:t>
      </w:r>
      <w:hyperlink r:id="rId18">
        <w:r>
          <w:rPr>
            <w:rFonts w:ascii="Source Han Sans CN" w:hAnsi="Source Han Sans CN" w:eastAsia="Source Han Sans CN" w:cs="Source Han Sans CN"/>
            <w:color w:val="2E74B5"/>
            <w:u w:val="single"/>
            <w:sz w:val="19"/>
          </w:rPr>
          <w:t>Oracle Procurement：Supplier Eligibility for Sourcing</w:t>
        </w:r>
      </w:hyperlink>
    </w:p>
    <w:p>
      <w:pPr>
        <w:spacing w:after="100" w:line="276" w:lineRule="auto"/>
        <w:ind w:left="259" w:hanging="259"/>
      </w:pPr>
      <w:r>
        <w:rPr>
          <w:rFonts w:ascii="Source Han Sans CN" w:hAnsi="Source Han Sans CN" w:eastAsia="Source Han Sans CN" w:cs="Source Han Sans CN"/>
          <w:b/>
          <w:color w:val="17365D"/>
          <w:sz w:val="19"/>
        </w:rPr>
        <w:t xml:space="preserve">[S4] </w:t>
      </w:r>
      <w:hyperlink r:id="rId19">
        <w:r>
          <w:rPr>
            <w:rFonts w:ascii="Source Han Sans CN" w:hAnsi="Source Han Sans CN" w:eastAsia="Source Han Sans CN" w:cs="Source Han Sans CN"/>
            <w:color w:val="2E74B5"/>
            <w:u w:val="single"/>
            <w:sz w:val="19"/>
          </w:rPr>
          <w:t>Oracle Procurement：Approved Supplier List</w:t>
        </w:r>
      </w:hyperlink>
    </w:p>
    <w:p>
      <w:pPr>
        <w:spacing w:after="100" w:line="276" w:lineRule="auto"/>
        <w:ind w:left="259" w:hanging="259"/>
      </w:pPr>
      <w:r>
        <w:rPr>
          <w:rFonts w:ascii="Source Han Sans CN" w:hAnsi="Source Han Sans CN" w:eastAsia="Source Han Sans CN" w:cs="Source Han Sans CN"/>
          <w:b/>
          <w:color w:val="17365D"/>
          <w:sz w:val="19"/>
        </w:rPr>
        <w:t xml:space="preserve">[S5] </w:t>
      </w:r>
      <w:hyperlink r:id="rId20">
        <w:r>
          <w:rPr>
            <w:rFonts w:ascii="Source Han Sans CN" w:hAnsi="Source Han Sans CN" w:eastAsia="Source Han Sans CN" w:cs="Source Han Sans CN"/>
            <w:color w:val="2E74B5"/>
            <w:u w:val="single"/>
            <w:sz w:val="19"/>
          </w:rPr>
          <w:t>Oracle Procurement：How You Complete Your Award</w:t>
        </w:r>
      </w:hyperlink>
    </w:p>
    <w:p>
      <w:pPr>
        <w:spacing w:after="100" w:line="276" w:lineRule="auto"/>
        <w:ind w:left="259" w:hanging="259"/>
      </w:pPr>
      <w:r>
        <w:rPr>
          <w:rFonts w:ascii="Source Han Sans CN" w:hAnsi="Source Han Sans CN" w:eastAsia="Source Han Sans CN" w:cs="Source Han Sans CN"/>
          <w:b/>
          <w:color w:val="17365D"/>
          <w:sz w:val="19"/>
        </w:rPr>
        <w:t xml:space="preserve">[S6] </w:t>
      </w:r>
      <w:hyperlink r:id="rId21">
        <w:r>
          <w:rPr>
            <w:rFonts w:ascii="Source Han Sans CN" w:hAnsi="Source Han Sans CN" w:eastAsia="Source Han Sans CN" w:cs="Source Han Sans CN"/>
            <w:color w:val="2E74B5"/>
            <w:u w:val="single"/>
            <w:sz w:val="19"/>
          </w:rPr>
          <w:t>Ivalua：Direct Materials Procurement / Direct Materials Sourcing</w:t>
        </w:r>
      </w:hyperlink>
    </w:p>
    <w:p>
      <w:pPr>
        <w:spacing w:after="100" w:line="276" w:lineRule="auto"/>
        <w:ind w:left="259" w:hanging="259"/>
      </w:pPr>
      <w:r>
        <w:rPr>
          <w:rFonts w:ascii="Source Han Sans CN" w:hAnsi="Source Han Sans CN" w:eastAsia="Source Han Sans CN" w:cs="Source Han Sans CN"/>
          <w:b/>
          <w:color w:val="17365D"/>
          <w:sz w:val="19"/>
        </w:rPr>
        <w:t xml:space="preserve">[S7] </w:t>
      </w:r>
      <w:hyperlink r:id="rId22">
        <w:r>
          <w:rPr>
            <w:rFonts w:ascii="Source Han Sans CN" w:hAnsi="Source Han Sans CN" w:eastAsia="Source Han Sans CN" w:cs="Source Han Sans CN"/>
            <w:color w:val="2E74B5"/>
            <w:u w:val="single"/>
            <w:sz w:val="19"/>
          </w:rPr>
          <w:t>JAGGAER：Procurement Software for the Automotive Industry</w:t>
        </w:r>
      </w:hyperlink>
    </w:p>
    <w:p>
      <w:pPr>
        <w:spacing w:after="100" w:line="276" w:lineRule="auto"/>
        <w:ind w:left="259" w:hanging="259"/>
      </w:pPr>
      <w:r>
        <w:rPr>
          <w:rFonts w:ascii="Source Han Sans CN" w:hAnsi="Source Han Sans CN" w:eastAsia="Source Han Sans CN" w:cs="Source Han Sans CN"/>
          <w:b/>
          <w:color w:val="17365D"/>
          <w:sz w:val="19"/>
        </w:rPr>
        <w:t xml:space="preserve">[S8] </w:t>
      </w:r>
      <w:hyperlink r:id="rId23">
        <w:r>
          <w:rPr>
            <w:rFonts w:ascii="Source Han Sans CN" w:hAnsi="Source Han Sans CN" w:eastAsia="Source Han Sans CN" w:cs="Source Han Sans CN"/>
            <w:color w:val="2E74B5"/>
            <w:u w:val="single"/>
            <w:sz w:val="19"/>
          </w:rPr>
          <w:t>金蝶：AI星瀚采购云</w:t>
        </w:r>
      </w:hyperlink>
    </w:p>
    <w:p>
      <w:pPr>
        <w:spacing w:after="100" w:line="276" w:lineRule="auto"/>
        <w:ind w:left="259" w:hanging="259"/>
      </w:pPr>
      <w:r>
        <w:rPr>
          <w:rFonts w:ascii="Source Han Sans CN" w:hAnsi="Source Han Sans CN" w:eastAsia="Source Han Sans CN" w:cs="Source Han Sans CN"/>
          <w:b/>
          <w:color w:val="17365D"/>
          <w:sz w:val="19"/>
        </w:rPr>
        <w:t xml:space="preserve">[S9] </w:t>
      </w:r>
      <w:hyperlink r:id="rId24">
        <w:r>
          <w:rPr>
            <w:rFonts w:ascii="Source Han Sans CN" w:hAnsi="Source Han Sans CN" w:eastAsia="Source Han Sans CN" w:cs="Source Han Sans CN"/>
            <w:color w:val="2E74B5"/>
            <w:u w:val="single"/>
            <w:sz w:val="19"/>
          </w:rPr>
          <w:t>企企通：供应商全生命周期管理</w:t>
        </w:r>
      </w:hyperlink>
    </w:p>
    <w:p>
      <w:pPr>
        <w:spacing w:after="100" w:line="276" w:lineRule="auto"/>
        <w:ind w:left="259" w:hanging="259"/>
      </w:pPr>
      <w:r>
        <w:rPr>
          <w:rFonts w:ascii="Source Han Sans CN" w:hAnsi="Source Han Sans CN" w:eastAsia="Source Han Sans CN" w:cs="Source Han Sans CN"/>
          <w:b/>
          <w:color w:val="17365D"/>
          <w:sz w:val="19"/>
        </w:rPr>
        <w:t xml:space="preserve">[S10] </w:t>
      </w:r>
      <w:hyperlink r:id="rId25">
        <w:r>
          <w:rPr>
            <w:rFonts w:ascii="Source Han Sans CN" w:hAnsi="Source Han Sans CN" w:eastAsia="Source Han Sans CN" w:cs="Source Han Sans CN"/>
            <w:color w:val="2E74B5"/>
            <w:u w:val="single"/>
            <w:sz w:val="19"/>
          </w:rPr>
          <w:t>甄云：供应商管理系统</w:t>
        </w:r>
      </w:hyperlink>
    </w:p>
    <w:p>
      <w:pPr>
        <w:spacing w:after="100" w:line="276" w:lineRule="auto"/>
        <w:ind w:left="259" w:hanging="259"/>
      </w:pPr>
      <w:r>
        <w:rPr>
          <w:rFonts w:ascii="Source Han Sans CN" w:hAnsi="Source Han Sans CN" w:eastAsia="Source Han Sans CN" w:cs="Source Han Sans CN"/>
          <w:b/>
          <w:color w:val="17365D"/>
          <w:sz w:val="19"/>
        </w:rPr>
        <w:t xml:space="preserve">[S11] </w:t>
      </w:r>
      <w:hyperlink r:id="rId26">
        <w:r>
          <w:rPr>
            <w:rFonts w:ascii="Source Han Sans CN" w:hAnsi="Source Han Sans CN" w:eastAsia="Source Han Sans CN" w:cs="Source Han Sans CN"/>
            <w:color w:val="2E74B5"/>
            <w:u w:val="single"/>
            <w:sz w:val="19"/>
          </w:rPr>
          <w:t>用友：YonBIP采购云</w:t>
        </w:r>
      </w:hyperlink>
    </w:p>
    <w:p>
      <w:pPr>
        <w:spacing w:after="100" w:line="276" w:lineRule="auto"/>
        <w:ind w:left="259" w:hanging="259"/>
      </w:pPr>
      <w:r>
        <w:rPr>
          <w:rFonts w:ascii="Source Han Sans CN" w:hAnsi="Source Han Sans CN" w:eastAsia="Source Han Sans CN" w:cs="Source Han Sans CN"/>
          <w:b/>
          <w:color w:val="17365D"/>
          <w:sz w:val="19"/>
        </w:rPr>
        <w:t xml:space="preserve">[S12] </w:t>
      </w:r>
      <w:hyperlink r:id="rId27">
        <w:r>
          <w:rPr>
            <w:rFonts w:ascii="Source Han Sans CN" w:hAnsi="Source Han Sans CN" w:eastAsia="Source Han Sans CN" w:cs="Source Han Sans CN"/>
            <w:color w:val="2E74B5"/>
            <w:u w:val="single"/>
            <w:sz w:val="19"/>
          </w:rPr>
          <w:t>AIAG：Advanced Product Quality Planning (APQP)</w:t>
        </w:r>
      </w:hyperlink>
    </w:p>
    <w:p>
      <w:pPr>
        <w:pStyle w:val="Heading1"/>
      </w:pPr>
      <w:r>
        <w:rPr>
          <w:rFonts w:ascii="Source Han Sans CN" w:hAnsi="Source Han Sans CN" w:eastAsia="Source Han Sans CN" w:cs="Source Han Sans CN"/>
          <w:b/>
          <w:color w:val="1F4E78"/>
          <w:sz w:val="32"/>
        </w:rPr>
        <w:t>附录 D　后续高级能力储备</w:t>
      </w:r>
    </w:p>
    <w:tbl>
      <w:tblPr>
        <w:tblW w:type="dxa" w:w="9600"/>
        <w:jc w:val="left"/>
        <w:tblLayout w:type="fixed"/>
        <w:tblLook w:firstColumn="1" w:firstRow="1" w:lastColumn="0" w:lastRow="0" w:noHBand="0" w:noVBand="1" w:val="04A0"/>
        <w:tblInd w:w="120" w:type="dxa"/>
        <w:tblBorders>
          <w:top w:val="single" w:sz="5" w:space="0" w:color="C7D0DC"/>
          <w:left w:val="single" w:sz="5" w:space="0" w:color="C7D0DC"/>
          <w:bottom w:val="single" w:sz="5" w:space="0" w:color="C7D0DC"/>
          <w:right w:val="single" w:sz="5" w:space="0" w:color="C7D0DC"/>
          <w:insideH w:val="single" w:sz="5" w:space="0" w:color="C7D0DC"/>
          <w:insideV w:val="single" w:sz="5" w:space="0" w:color="C7D0DC"/>
        </w:tblBorders>
      </w:tblPr>
      <w:tblGrid>
        <w:gridCol w:w="1900"/>
        <w:gridCol w:w="3400"/>
        <w:gridCol w:w="4300"/>
      </w:tblGrid>
      <w:tr>
        <w:trPr>
          <w:tblHeader w:val="true"/>
          <w:cantSplit/>
        </w:trPr>
        <w:tc>
          <w:tcPr>
            <w:tcW w:type="dxa" w:w="19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能力</w:t>
            </w:r>
          </w:p>
        </w:tc>
        <w:tc>
          <w:tcPr>
            <w:tcW w:type="dxa" w:w="34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进入条件</w:t>
            </w:r>
          </w:p>
        </w:tc>
        <w:tc>
          <w:tcPr>
            <w:tcW w:type="dxa" w:w="4300"/>
            <w:shd w:fill="E8EEF5"/>
            <w:tcMar>
              <w:top w:w="85" w:type="dxa"/>
              <w:start w:w="120" w:type="dxa"/>
              <w:bottom w:w="85" w:type="dxa"/>
              <w:end w:w="120" w:type="dxa"/>
            </w:tcMar>
            <w:vAlign w:val="center"/>
          </w:tcPr>
          <w:p>
            <w:pPr>
              <w:spacing w:before="0" w:after="0" w:line="259" w:lineRule="auto"/>
            </w:pPr>
            <w:r>
              <w:rPr>
                <w:rFonts w:ascii="Source Han Sans CN" w:hAnsi="Source Han Sans CN" w:eastAsia="Source Han Sans CN" w:cs="Source Han Sans CN"/>
                <w:b/>
                <w:color w:val="17365D"/>
                <w:sz w:val="17"/>
              </w:rPr>
              <w:t>设计预留</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预测与产能承诺</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订单协同稳定、预测数据可靠</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供应商按周期/物料/工厂提交产能与预测承诺，偏差预警</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计划协议/交付计划</w:t>
            </w:r>
          </w:p>
        </w:tc>
        <w:tc>
          <w:tcPr>
            <w:tcW w:type="dxa" w:w="3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ERP支持且业务量大</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订单类型抽象、计划行版本、释放与确认</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VMI/寄售</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库存权属、结算和补货规则明确</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库存快照、消耗、补货建议和结算触发接口</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多层供应链</w:t>
            </w:r>
          </w:p>
        </w:tc>
        <w:tc>
          <w:tcPr>
            <w:tcW w:type="dxa" w:w="3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关键物料需追溯二三级供应商</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tier关系、子供应商、关键部件和风险传播</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高级成本管理</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报价成本结构标准化</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BOM成本、指数联动、should-cost和VA/VE</w:t>
            </w:r>
          </w:p>
        </w:tc>
      </w:tr>
      <w:tr>
        <w:trPr>
          <w:cantSplit/>
        </w:trPr>
        <w:tc>
          <w:tcPr>
            <w:tcW w:type="dxa" w:w="19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优化分配</w:t>
            </w:r>
          </w:p>
        </w:tc>
        <w:tc>
          <w:tcPr>
            <w:tcW w:type="dxa" w:w="34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配额、能力、风险和成本数据质量成熟</w:t>
            </w:r>
          </w:p>
        </w:tc>
        <w:tc>
          <w:tcPr>
            <w:tcW w:type="dxa" w:w="4300"/>
            <w:shd w:fill="FAFBFC"/>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约束优化、情景比较、推荐解释与人工覆盖</w:t>
            </w:r>
          </w:p>
        </w:tc>
      </w:tr>
      <w:tr>
        <w:trPr>
          <w:cantSplit/>
        </w:trPr>
        <w:tc>
          <w:tcPr>
            <w:tcW w:type="dxa" w:w="19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color w:val="1F2937"/>
                <w:sz w:val="17"/>
              </w:rPr>
              <w:t>AI辅助</w:t>
            </w:r>
          </w:p>
        </w:tc>
        <w:tc>
          <w:tcPr>
            <w:tcW w:type="dxa" w:w="34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规则、数据、权限和审计稳定</w:t>
            </w:r>
          </w:p>
        </w:tc>
        <w:tc>
          <w:tcPr>
            <w:tcW w:type="dxa" w:w="4300"/>
            <w:tcMar>
              <w:top w:w="85" w:type="dxa"/>
              <w:start w:w="120" w:type="dxa"/>
              <w:bottom w:w="85" w:type="dxa"/>
              <w:end w:w="120" w:type="dxa"/>
            </w:tcMar>
            <w:vAlign w:val="center"/>
          </w:tcPr>
          <w:p>
            <w:pPr>
              <w:spacing w:before="0" w:after="0" w:line="269" w:lineRule="auto"/>
            </w:pPr>
            <w:r>
              <w:rPr>
                <w:rFonts w:ascii="Source Han Sans CN" w:hAnsi="Source Han Sans CN" w:eastAsia="Source Han Sans CN" w:cs="Source Han Sans CN"/>
                <w:b w:val="0"/>
                <w:color w:val="1F2937"/>
                <w:sz w:val="17"/>
              </w:rPr>
              <w:t>供应商研究、报价比对、合同风险、异常摘要和任务辅助；关键决定由人批准</w:t>
            </w:r>
          </w:p>
        </w:tc>
      </w:tr>
    </w:tbl>
    <w:p>
      <w:pPr>
        <w:spacing w:after="40"/>
      </w:pPr>
    </w:p>
    <w:p>
      <w:pPr>
        <w:spacing w:before="120" w:after="200" w:line="283" w:lineRule="auto"/>
        <w:ind w:left="173" w:right="115"/>
        <w:shd w:fill="ECFDF3"/>
        <w:pBdr>
          <w:left w:val="single" w:sz="20" w:space="8" w:color="166534"/>
        </w:pBdr>
        <w:keepLines/>
      </w:pPr>
      <w:r>
        <w:rPr>
          <w:rFonts w:ascii="Source Han Sans CN" w:hAnsi="Source Han Sans CN" w:eastAsia="Source Han Sans CN" w:cs="Source Han Sans CN"/>
          <w:b/>
          <w:color w:val="166534"/>
          <w:sz w:val="20"/>
        </w:rPr>
        <w:t xml:space="preserve">文档结束　</w:t>
      </w:r>
      <w:r>
        <w:rPr>
          <w:rFonts w:ascii="Source Han Sans CN" w:hAnsi="Source Han Sans CN" w:eastAsia="Source Han Sans CN" w:cs="Source Han Sans CN"/>
          <w:color w:val="1F2937"/>
          <w:sz w:val="20"/>
        </w:rPr>
        <w:t>本评审稿首先确认业务蓝图和总体设计。确认后再进入领域状态机、权限矩阵、接口和阶段开发任务，不建议直接按本说明书一次性开发全部模块。</w:t>
      </w:r>
    </w:p>
    <w:sectPr w:rsidR="00FC693F" w:rsidRPr="0006063C" w:rsidSect="00034616">
      <w:headerReference w:type="default" r:id="rId9"/>
      <w:footerReference w:type="default" r:id="rId10"/>
      <w:pgSz w:w="11905" w:h="16838"/>
      <w:pgMar w:top="1152" w:right="1152" w:bottom="1152" w:left="1152"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60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6500"/>
      <w:gridCol w:w="3100"/>
    </w:tblGrid>
    <w:tr>
      <w:tc>
        <w:tcPr>
          <w:tcW w:type="dxa" w:w="6500"/>
          <w:tcMar>
            <w:top w:w="85" w:type="dxa"/>
            <w:start w:w="120" w:type="dxa"/>
            <w:bottom w:w="85" w:type="dxa"/>
            <w:end w:w="120" w:type="dxa"/>
          </w:tcMar>
          <w:vAlign w:val="center"/>
        </w:tcPr>
        <w:p>
          <w:pPr>
            <w:spacing w:after="0"/>
          </w:pPr>
          <w:r>
            <w:rPr>
              <w:rFonts w:ascii="Source Han Sans CN" w:hAnsi="Source Han Sans CN" w:eastAsia="Source Han Sans CN" w:cs="Source Han Sans CN"/>
              <w:color w:val="667085"/>
              <w:sz w:val="17"/>
            </w:rPr>
            <w:t>V1.0 评审稿　｜　内部设计资料</w:t>
          </w:r>
        </w:p>
      </w:tc>
      <w:tc>
        <w:tcPr>
          <w:tcW w:type="dxa" w:w="3100"/>
          <w:tcMar>
            <w:top w:w="85" w:type="dxa"/>
            <w:start w:w="120" w:type="dxa"/>
            <w:bottom w:w="85" w:type="dxa"/>
            <w:end w:w="120" w:type="dxa"/>
          </w:tcMar>
          <w:vAlign w:val="center"/>
        </w:tcPr>
        <w:p>
          <w:pPr>
            <w:spacing w:after="0"/>
            <w:jc w:val="right"/>
          </w:pPr>
          <w:r>
            <w:rPr>
              <w:rFonts w:ascii="Source Han Sans CN" w:hAnsi="Source Han Sans CN" w:eastAsia="Source Han Sans CN" w:cs="Source Han Sans CN"/>
              <w:color w:val="667085"/>
              <w:sz w:val="17"/>
            </w:rPr>
            <w:t xml:space="preserve">第 </w:t>
            <w:fldChar w:fldCharType="begin"/>
            <w:instrText xml:space="preserve"> PAGE </w:instrText>
            <w:fldChar w:fldCharType="end"/>
          </w:r>
          <w:r>
            <w:rPr>
              <w:rFonts w:ascii="Source Han Sans CN" w:hAnsi="Source Han Sans CN" w:eastAsia="Source Han Sans CN" w:cs="Source Han Sans CN"/>
              <w:color w:val="667085"/>
              <w:sz w:val="17"/>
            </w:rPr>
            <w:t xml:space="preserve"> 页</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Source Han Sans CN" w:hAnsi="Source Han Sans CN" w:eastAsia="Source Han Sans CN" w:cs="Source Han Sans CN"/>
        <w:color w:val="667085"/>
        <w:sz w:val="17"/>
      </w:rPr>
      <w:t>SRM 供应商协同管理系统　|　蓝图与总体设计说明书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pPr>
      <w:rPr>
        <w:rFonts w:ascii="Source Han Sans CN" w:hAnsi="Source Han Sans CN" w:eastAsia="Source Han Sans CN" w:cs="Source Han Sans CN"/>
        <w:color w:val="1F4E78"/>
      </w:rPr>
    </w:lvl>
  </w:abstractNum>
  <w:num w:numId="10">
    <w:abstractNumId w:val="9"/>
  </w:num>
  <w:abstractNum w:abstractNumId="10">
    <w:multiLevelType w:val="singleLevel"/>
    <w:lvl w:ilvl="0">
      <w:start w:val="1"/>
      <w:numFmt w:val="decimal"/>
      <w:lvlText w:val="%1."/>
      <w:lvlJc w:val="left"/>
      <w:pPr>
        <w:tabs>
          <w:tab w:val="num" w:pos="540"/>
        </w:tabs>
        <w:ind w:left="540" w:hanging="280"/>
      </w:pPr>
      <w:rPr>
        <w:rFonts w:ascii="Source Han Sans CN" w:hAnsi="Source Han Sans CN" w:eastAsia="Source Han Sans CN" w:cs="Source Han Sans CN"/>
        <w:color w:val="1F2937"/>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93" w:lineRule="auto"/>
    </w:pPr>
    <w:rPr>
      <w:rFonts w:ascii="Source Han Sans CN" w:hAnsi="Source Han Sans CN" w:eastAsia="Source Han Sans CN"/>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line="269" w:lineRule="auto"/>
      <w:outlineLvl w:val="0"/>
    </w:pPr>
    <w:rPr>
      <w:rFonts w:asciiTheme="majorHAnsi" w:eastAsiaTheme="majorEastAsia" w:hAnsiTheme="majorHAnsi" w:cstheme="majorBidi" w:ascii="Source Han Sans CN" w:hAnsi="Source Han Sans CN" w:eastAsia="Source Han Sans C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9" w:lineRule="auto"/>
      <w:outlineLvl w:val="1"/>
    </w:pPr>
    <w:rPr>
      <w:rFonts w:asciiTheme="majorHAnsi" w:eastAsiaTheme="majorEastAsia" w:hAnsiTheme="majorHAnsi" w:cstheme="majorBidi" w:ascii="Source Han Sans CN" w:hAnsi="Source Han Sans CN" w:eastAsia="Source Han Sans C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9" w:lineRule="auto"/>
      <w:outlineLvl w:val="2"/>
    </w:pPr>
    <w:rPr>
      <w:rFonts w:asciiTheme="majorHAnsi" w:eastAsiaTheme="majorEastAsia" w:hAnsiTheme="majorHAnsi" w:cstheme="majorBidi" w:ascii="Source Han Sans CN" w:hAnsi="Source Han Sans CN" w:eastAsia="Source Han Sans CN"/>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Caption">
    <w:name w:val="Blueprint Caption"/>
    <w:pPr>
      <w:keepNext/>
      <w:spacing w:before="60" w:after="180"/>
      <w:jc w:val="center"/>
    </w:pPr>
    <w:rPr>
      <w:rFonts w:ascii="Source Han Sans CN" w:hAnsi="Source Han Sans CN" w:eastAsia="Source Han Sans CN"/>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help.sap.com/docs/SAP_S4HANA_ON-PREMISE/af9ef57f504840d2b81be8667206d485/9c7fb65334e6b54ce10000000a174cb4.html" TargetMode="External"/><Relationship Id="rId17" Type="http://schemas.openxmlformats.org/officeDocument/2006/relationships/hyperlink" Target="https://help.sap.com/doc/91878ca67cdc4e49a0821082c775fb3c/2605/en-US/SupplyChainCollaborationConfiguration_1.pdf" TargetMode="External"/><Relationship Id="rId18" Type="http://schemas.openxmlformats.org/officeDocument/2006/relationships/hyperlink" Target="https://docs.oracle.com/en/cloud/saas/procurement/26c/oaprc/supplier-eligibility-for-sourcing.html" TargetMode="External"/><Relationship Id="rId19" Type="http://schemas.openxmlformats.org/officeDocument/2006/relationships/hyperlink" Target="https://docs.oracle.com/en/cloud/saas/procurement/25d/oaprc/approved-supplier-list.html" TargetMode="External"/><Relationship Id="rId20" Type="http://schemas.openxmlformats.org/officeDocument/2006/relationships/hyperlink" Target="https://docs.oracle.com/en/cloud/saas/procurement/26b/oaprc/how-you-complete-your-award.html" TargetMode="External"/><Relationship Id="rId21" Type="http://schemas.openxmlformats.org/officeDocument/2006/relationships/hyperlink" Target="https://www.ivalua.com/solutions/process/direct-spend-management/" TargetMode="External"/><Relationship Id="rId22" Type="http://schemas.openxmlformats.org/officeDocument/2006/relationships/hyperlink" Target="https://www.jaggaer.com/vertical/automotive" TargetMode="External"/><Relationship Id="rId23" Type="http://schemas.openxmlformats.org/officeDocument/2006/relationships/hyperlink" Target="https://www.kingdee.com/products/cosmic_purchase.html" TargetMode="External"/><Relationship Id="rId24" Type="http://schemas.openxmlformats.org/officeDocument/2006/relationships/hyperlink" Target="https://srm.51qqt.com/supplier.html" TargetMode="External"/><Relationship Id="rId25" Type="http://schemas.openxmlformats.org/officeDocument/2006/relationships/hyperlink" Target="https://www.going-link.com/product/manage" TargetMode="External"/><Relationship Id="rId26" Type="http://schemas.openxmlformats.org/officeDocument/2006/relationships/hyperlink" Target="https://yc.yonyoucloud.com/opportunity/youhuhui/homeIndex" TargetMode="External"/><Relationship Id="rId27" Type="http://schemas.openxmlformats.org/officeDocument/2006/relationships/hyperlink" Target="https://www.aiag.org/training-and-resources/manuals/details/APQ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SRM供应商协同管理系统蓝图与总体设计说明书</dc:title>
  <dc:subject>制造业SRM业务蓝图、产品总体设计、应用数据集成与实施路线图</dc:subject>
  <dc:creator>SRM项目组</dc:creator>
  <cp:keywords>SRM,供应商管理,战略寻源,供应源,采购协同,供应商质量</cp:keywords>
  <dc:description>V1.0 评审稿</dc:description>
  <cp:lastModifiedBy/>
  <cp:revision>1</cp:revision>
  <dcterms:created xsi:type="dcterms:W3CDTF">2013-12-23T23:15:00Z</dcterms:created>
  <dcterms:modified xsi:type="dcterms:W3CDTF">2013-12-23T23:15:00Z</dcterms:modified>
  <cp:category/>
</cp:coreProperties>
</file>