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</w:pPr>
      <w:r>
        <w:rPr>
          <w:rFonts w:ascii="Source Han Sans CN" w:hAnsi="Source Han Sans CN" w:eastAsia="Source Han Sans CN" w:cs="Source Han Sans CN"/>
          <w:b/>
          <w:color w:val="2E74B5"/>
          <w:sz w:val="22"/>
        </w:rPr>
        <w:t>STAGE 0 · ENGINEERING BASELINE</w:t>
      </w:r>
    </w:p>
    <w:p>
      <w:pPr>
        <w:spacing w:after="160"/>
      </w:pPr>
      <w:r>
        <w:rPr>
          <w:rFonts w:ascii="Source Han Sans CN" w:hAnsi="Source Han Sans CN" w:eastAsia="Source Han Sans CN" w:cs="Source Han Sans CN"/>
          <w:b/>
          <w:color w:val="17365D"/>
          <w:sz w:val="56"/>
        </w:rPr>
        <w:t>SRM 供应商协同管理系统</w:t>
      </w:r>
    </w:p>
    <w:p>
      <w:pPr>
        <w:spacing w:after="560"/>
      </w:pPr>
      <w:r>
        <w:rPr>
          <w:rFonts w:ascii="Source Han Sans CN" w:hAnsi="Source Han Sans CN" w:eastAsia="Source Han Sans CN" w:cs="Source Han Sans CN"/>
          <w:b/>
          <w:color w:val="1F4E78"/>
          <w:sz w:val="40"/>
        </w:rPr>
        <w:t>阶段0：系统工程架构与功能骨架搭建</w:t>
      </w:r>
    </w:p>
    <w:p>
      <w:pPr>
        <w:spacing w:after="680" w:line="300" w:lineRule="auto"/>
      </w:pPr>
      <w:r>
        <w:rPr>
          <w:rFonts w:ascii="Source Han Sans CN" w:hAnsi="Source Han Sans CN" w:eastAsia="Source Han Sans CN" w:cs="Source Han Sans CN"/>
          <w:color w:val="475467"/>
          <w:sz w:val="26"/>
        </w:rPr>
        <w:t>面向后续多 Agent 并行开发的统一代码基线</w:t>
        <w:br/>
        <w:t>前后端分离 · 模块化单体 · 双前端应用 · 统一菜单权限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7700"/>
      </w:tblGrid>
      <w:tr>
        <w:trPr>
          <w:tblHeader w:val="true"/>
          <w:cantSplit/>
        </w:trPr>
        <w:tc>
          <w:tcPr>
            <w:tcW w:type="dxa" w:w="1900"/>
            <w:shd w:fill="F2F4F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文档属性</w:t>
            </w:r>
          </w:p>
        </w:tc>
        <w:tc>
          <w:tcPr>
            <w:tcW w:type="dxa" w:w="7700"/>
            <w:shd w:fill="F2F4F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文档版本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文档状态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开发执行版（待执行）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编制日期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2026年7月22日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设计基线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《SRM供应商协同管理系统蓝图与总体设计说明书 V1.0》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建议存放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srm-system/docs/02-业务需求与功能规划/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执行对象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Codex 主架构开发；后续 OpenCode/其他 Agent 按模块开发</w:t>
            </w:r>
          </w:p>
        </w:tc>
      </w:tr>
    </w:tbl>
    <w:p>
      <w:pPr>
        <w:spacing w:after="40"/>
      </w:pPr>
    </w:p>
    <w:p>
      <w:pPr>
        <w:spacing w:before="120" w:after="200" w:line="283" w:lineRule="auto"/>
        <w:ind w:left="173" w:right="115"/>
        <w:shd w:fill="F4F7FB"/>
        <w:pBdr>
          <w:left w:val="single" w:sz="20" w:space="8" w:color="1F4E78"/>
        </w:pBdr>
        <w:keepLines/>
      </w:pPr>
      <w:r>
        <w:rPr>
          <w:rFonts w:ascii="Source Han Sans CN" w:hAnsi="Source Han Sans CN" w:eastAsia="Source Han Sans CN" w:cs="Source Han Sans CN"/>
          <w:b/>
          <w:color w:val="1F4E78"/>
          <w:sz w:val="20"/>
        </w:rPr>
        <w:t xml:space="preserve">阶段0完成定义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不是完成任何业务模块，而是交付一个可以构建、启动、登录、按权限加载菜单，并能打开全部功能占位页的全新 SRM 工程基线。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文档控制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100"/>
        <w:gridCol w:w="1700"/>
        <w:gridCol w:w="1600"/>
        <w:gridCol w:w="520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17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1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52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V1.0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2026-07-22</w:t>
            </w:r>
          </w:p>
        </w:tc>
        <w:tc>
          <w:tcPr>
            <w:tcW w:type="dxa" w:w="1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开发执行版</w:t>
            </w:r>
          </w:p>
        </w:tc>
        <w:tc>
          <w:tcPr>
            <w:tcW w:type="dxa" w:w="5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依据已通过评审的总体蓝图，定义阶段0代码、目录、菜单、权限、数据库、部署和验收基线。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基线输入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《SRM供应商协同管理系统蓝图与总体设计说明书 V1.0》：唯一业务与总体架构基线。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《SRM_V1.0分阶段实施与开发任务总表_执行版》：阶段0至阶段6的执行顺序与验收主控表。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已确认的新建策略：旧 SCM 仅作代码和经验参考，不复制旧业务结构，不在旧仓库内继续重构。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已确认的部署策略：一台服务器承载正式环境，本地构建后上传部署，源码仓库不承担云端镜像构建。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阅读与执行顺序</w:t>
      </w:r>
    </w:p>
    <w:p>
      <w:pPr>
        <w:numPr>
          <w:ilvl w:val="0"/>
          <w:numId w:val="13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先确认第2章范围与禁止事项，防止把阶段0扩张为业务开发。</w:t>
      </w:r>
    </w:p>
    <w:p>
      <w:pPr>
        <w:numPr>
          <w:ilvl w:val="0"/>
          <w:numId w:val="13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按第4至第9章冻结工程目录、模块、菜单、权限、API和数据库规范。</w:t>
      </w:r>
    </w:p>
    <w:p>
      <w:pPr>
        <w:numPr>
          <w:ilvl w:val="0"/>
          <w:numId w:val="13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按第11章任务包顺序实现，不并行修改共享基线文件。</w:t>
      </w:r>
    </w:p>
    <w:p>
      <w:pPr>
        <w:numPr>
          <w:ilvl w:val="0"/>
          <w:numId w:val="13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按第13章逐项验收；全部通过后才允许模块 Agent 并行进入阶段1及后续业务开发。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任务书导航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500"/>
        <w:gridCol w:w="810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章节</w:t>
            </w:r>
          </w:p>
        </w:tc>
        <w:tc>
          <w:tcPr>
            <w:tcW w:type="dxa" w:w="81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1–3</w:t>
            </w:r>
          </w:p>
        </w:tc>
        <w:tc>
          <w:tcPr>
            <w:tcW w:type="dxa" w:w="8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任务目标、范围、技术与架构决策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4–5</w:t>
            </w:r>
          </w:p>
        </w:tc>
        <w:tc>
          <w:tcPr>
            <w:tcW w:type="dxa" w:w="8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目标工程目录、12个一级域及功能骨架</w:t>
            </w:r>
          </w:p>
        </w:tc>
      </w:tr>
      <w:tr>
        <w:trPr>
          <w:cantSplit/>
        </w:trP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6–9</w:t>
            </w:r>
          </w:p>
        </w:tc>
        <w:tc>
          <w:tcPr>
            <w:tcW w:type="dxa" w:w="8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后端、前端、权限菜单、API与数据库规范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10–11</w:t>
            </w:r>
          </w:p>
        </w:tc>
        <w:tc>
          <w:tcPr>
            <w:tcW w:type="dxa" w:w="8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部署运行基线与实施任务包</w:t>
            </w:r>
          </w:p>
        </w:tc>
      </w:tr>
      <w:tr>
        <w:trPr>
          <w:cantSplit/>
        </w:trP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12–14</w:t>
            </w:r>
          </w:p>
        </w:tc>
        <w:tc>
          <w:tcPr>
            <w:tcW w:type="dxa" w:w="8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交付物、验收、边界与后续交接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附录A–C</w:t>
            </w:r>
          </w:p>
        </w:tc>
        <w:tc>
          <w:tcPr>
            <w:tcW w:type="dxa" w:w="8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菜单路由权限清单、目录树、执行报告模板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1. 任务定位与目标结果</w:t>
      </w:r>
    </w:p>
    <w:p>
      <w:pPr>
        <w:spacing w:before="0" w:after="120" w:line="293" w:lineRule="auto"/>
        <w:ind w:firstLine="403"/>
        <w:jc w:val="left"/>
        <w:keepLines/>
      </w:pP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阶段0由 Codex 作为主架构开发者执行，目标是把已评审通过的 SRM 蓝图转换成一套可运行、可验证、可供多个开发 Agent 共同遵守的工程基线。阶段0结束后，业务模块开发者不再自行决定根目录、包结构、路由、菜单编码、权限格式、响应格式或部署方式。</w:t>
      </w:r>
    </w:p>
    <w:p>
      <w:pPr>
        <w:spacing w:before="120" w:after="200" w:line="283" w:lineRule="auto"/>
        <w:ind w:left="173" w:right="115"/>
        <w:shd w:fill="ECFDF3"/>
        <w:pBdr>
          <w:left w:val="single" w:sz="20" w:space="8" w:color="166534"/>
        </w:pBdr>
        <w:keepLines/>
      </w:pPr>
      <w:r>
        <w:rPr>
          <w:rFonts w:ascii="Source Han Sans CN" w:hAnsi="Source Han Sans CN" w:eastAsia="Source Han Sans CN" w:cs="Source Han Sans CN"/>
          <w:b/>
          <w:color w:val="166534"/>
          <w:sz w:val="20"/>
        </w:rPr>
        <w:t xml:space="preserve">核心结果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在全新 srm-system 仓库中完成前后端分离、内部端与供应商端双应用、Java 模块化单体、12个一级业务域、二级功能页面骨架、最小登录鉴权、动态菜单、数据库迁移和 Docker 本地运行基线。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1.1 阶段0成功标志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新仓库能够从空环境按 README 一次启动，前后端构建全部通过。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内部用户可以登录，SUPER_ADMIN 可以看到12个一级域并访问所有已启用占位页面。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菜单来自后端数据库与角色授权，前端不是写死一套绕过权限的侧栏。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前端路由、菜单编码、权限码、组件键和目录结构一一对应，并有自动校验。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后端12个领域包均已建立边界，公共代码、平台代码和领域业务代码职责清晰。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供应商门户作为独立前端应用可构建和打开，但其业务登录及供应商隔离在后续阶段实现。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本地 Docker Compose 可以启动 MySQL、后端、内部端、供应商端和 Nginx；不执行服务器部署。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1.2 后续多 Agent 协作价值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700"/>
        <w:gridCol w:w="3900"/>
        <w:gridCol w:w="40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约束对象</w:t>
            </w:r>
          </w:p>
        </w:tc>
        <w:tc>
          <w:tcPr>
            <w:tcW w:type="dxa" w:w="3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阶段0冻结内容</w:t>
            </w:r>
          </w:p>
        </w:tc>
        <w:tc>
          <w:tcPr>
            <w:tcW w:type="dxa" w:w="40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后续收益</w:t>
            </w:r>
          </w:p>
        </w:tc>
      </w:tr>
      <w:tr>
        <w:trPr>
          <w:cantSplit/>
        </w:trP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模块 Agent</w:t>
            </w:r>
          </w:p>
        </w:tc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只在被分配领域目录内开发</w:t>
            </w:r>
          </w:p>
        </w:tc>
        <w:tc>
          <w:tcPr>
            <w:tcW w:type="dxa" w:w="4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减少并行冲突和跨域随意改表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前端 Agent</w:t>
            </w:r>
          </w:p>
        </w:tc>
        <w:tc>
          <w:tcPr>
            <w:tcW w:type="dxa" w:w="3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路由、组件键、API类型和共享组件边界</w:t>
            </w:r>
          </w:p>
        </w:tc>
        <w:tc>
          <w:tcPr>
            <w:tcW w:type="dxa" w:w="40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不重复发明布局、请求封装和菜单</w:t>
            </w:r>
          </w:p>
        </w:tc>
      </w:tr>
      <w:tr>
        <w:trPr>
          <w:cantSplit/>
        </w:trP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后端 Agent</w:t>
            </w:r>
          </w:p>
        </w:tc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模块包、API响应、异常、分页、审计字段</w:t>
            </w:r>
          </w:p>
        </w:tc>
        <w:tc>
          <w:tcPr>
            <w:tcW w:type="dxa" w:w="4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接口风格统一，Codex复核成本下降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Codex 主架构</w:t>
            </w:r>
          </w:p>
        </w:tc>
        <w:tc>
          <w:tcPr>
            <w:tcW w:type="dxa" w:w="3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共享基线文件和跨模块变更审批权</w:t>
            </w:r>
          </w:p>
        </w:tc>
        <w:tc>
          <w:tcPr>
            <w:tcW w:type="dxa" w:w="40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集中处理公共能力和合并冲突</w:t>
            </w:r>
          </w:p>
        </w:tc>
      </w:tr>
      <w:tr>
        <w:trPr>
          <w:cantSplit/>
        </w:trP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IDE Agent</w:t>
            </w:r>
          </w:p>
        </w:tc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固定构建、lint和测试命令</w:t>
            </w:r>
          </w:p>
        </w:tc>
        <w:tc>
          <w:tcPr>
            <w:tcW w:type="dxa" w:w="4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可快速发现类型、格式和依赖问题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2. 开发范围与明确不做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2.1 本阶段必须完成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建立 srm-system 根工程、Git基础文件、工程说明和五类 docs 目录兼容结构。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建立 Java 17 + Spring Boot 3 + Maven 后端，采用包级模块化单体。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建立 npm workspaces 前端工作区：internal-web、supplier-web、shared-ui、api-client、shared-types、config。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建立12个一级业务域、85个V1.0二级页面骨架；工作台作为首页且不显示固定二级菜单。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建立最小内部身份闭环：登录、刷新、退出、当前用户、动态菜单、接口鉴权和SUPER_ADMIN种子。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建立系统基础迁移、菜单权限种子、统一响应/异常/分页、追踪ID、健康检查和日志脱敏。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建立本地Docker Compose、Nginx反代、环境变量样例、构建检查脚本和基础验收记录。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建立模块边界测试、路由菜单一致性校验和最小冒烟测试。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2.2 本阶段明确不做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9B1C1C"/>
          <w:sz w:val="21"/>
        </w:rPr>
        <w:t>不开发供应商、寻源、合同、供应源、采购、交付、质量、结算、绩效等业务CRUD或业务表。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9B1C1C"/>
          <w:sz w:val="21"/>
        </w:rPr>
        <w:t>不迁移旧 SCM 的菜单、数据库、业务代码和历史交易数据。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9B1C1C"/>
          <w:sz w:val="21"/>
        </w:rPr>
        <w:t>不完成系统管理各页面的正式CRUD；用户、角色、数据域和流程管理页面仍为占位页。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9B1C1C"/>
          <w:sz w:val="21"/>
        </w:rPr>
        <w:t>不实现完整SSO/OIDC、MFA、供应商账号生命周期、字段级权限、审批流程引擎和数据范围过滤。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9B1C1C"/>
          <w:sz w:val="21"/>
        </w:rPr>
        <w:t>不引入微服务、服务注册中心、消息中间件、Redis、Elasticsearch、Kubernetes或云原生编排。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9B1C1C"/>
          <w:sz w:val="21"/>
        </w:rPr>
        <w:t>不实现ERP、PLM、QMS、WMS或财务真实接口，只建立集成契约与预留目录。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9B1C1C"/>
          <w:sz w:val="21"/>
        </w:rPr>
        <w:t>不创建云端CI构建镜像流程，不推送远程仓库，不部署正式服务器，除非用户另行明确授权。</w:t>
      </w:r>
    </w:p>
    <w:p>
      <w:pPr>
        <w:spacing w:before="120" w:after="200" w:line="283" w:lineRule="auto"/>
        <w:ind w:left="173" w:right="115"/>
        <w:shd w:fill="FEF2F2"/>
        <w:pBdr>
          <w:left w:val="single" w:sz="20" w:space="8" w:color="9B1C1C"/>
        </w:pBdr>
        <w:keepLines/>
      </w:pPr>
      <w:r>
        <w:rPr>
          <w:rFonts w:ascii="Source Han Sans CN" w:hAnsi="Source Han Sans CN" w:eastAsia="Source Han Sans CN" w:cs="Source Han Sans CN"/>
          <w:b/>
          <w:color w:val="9B1C1C"/>
          <w:sz w:val="20"/>
        </w:rPr>
        <w:t xml:space="preserve">禁止范围漂移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占位页只证明信息架构和权限链路，不得顺手实现业务列表、详情、审批、模拟数据或复杂仪表盘。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2.3 阶段边界说明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700"/>
        <w:gridCol w:w="3800"/>
        <w:gridCol w:w="41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能力</w:t>
            </w:r>
          </w:p>
        </w:tc>
        <w:tc>
          <w:tcPr>
            <w:tcW w:type="dxa" w:w="38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阶段0做到</w:t>
            </w:r>
          </w:p>
        </w:tc>
        <w:tc>
          <w:tcPr>
            <w:tcW w:type="dxa" w:w="41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后续阶段继续</w:t>
            </w:r>
          </w:p>
        </w:tc>
      </w:tr>
      <w:tr>
        <w:trPr>
          <w:cantSplit/>
        </w:trP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身份认证</w:t>
            </w:r>
          </w:p>
        </w:tc>
        <w:tc>
          <w:tcPr>
            <w:tcW w:type="dxa" w:w="3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本地内部账号、令牌、当前用户</w:t>
            </w:r>
          </w:p>
        </w:tc>
        <w:tc>
          <w:tcPr>
            <w:tcW w:type="dxa" w:w="4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SSO/OIDC、MFA、供应商账号生命周期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权限</w:t>
            </w:r>
          </w:p>
        </w:tc>
        <w:tc>
          <w:tcPr>
            <w:tcW w:type="dxa" w:w="3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菜单/接口RBAC最小闭环</w:t>
            </w:r>
          </w:p>
        </w:tc>
        <w:tc>
          <w:tcPr>
            <w:tcW w:type="dxa" w:w="4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角色挂载用户管理、数据范围、对象参与和字段权限</w:t>
            </w:r>
          </w:p>
        </w:tc>
      </w:tr>
      <w:tr>
        <w:trPr>
          <w:cantSplit/>
        </w:trP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工作台</w:t>
            </w:r>
          </w:p>
        </w:tc>
        <w:tc>
          <w:tcPr>
            <w:tcW w:type="dxa" w:w="3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统一首页空壳和区块占位</w:t>
            </w:r>
          </w:p>
        </w:tc>
        <w:tc>
          <w:tcPr>
            <w:tcW w:type="dxa" w:w="4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真实待办、审批、预警、指标和进度聚合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业务模块</w:t>
            </w:r>
          </w:p>
        </w:tc>
        <w:tc>
          <w:tcPr>
            <w:tcW w:type="dxa" w:w="3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目录、包、路由、菜单和占位页</w:t>
            </w:r>
          </w:p>
        </w:tc>
        <w:tc>
          <w:tcPr>
            <w:tcW w:type="dxa" w:w="4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领域模型、数据库、接口和真实页面</w:t>
            </w:r>
          </w:p>
        </w:tc>
      </w:tr>
      <w:tr>
        <w:trPr>
          <w:cantSplit/>
        </w:trP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集成</w:t>
            </w:r>
          </w:p>
        </w:tc>
        <w:tc>
          <w:tcPr>
            <w:tcW w:type="dxa" w:w="3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适配器目录、外部标识与幂等规范</w:t>
            </w:r>
          </w:p>
        </w:tc>
        <w:tc>
          <w:tcPr>
            <w:tcW w:type="dxa" w:w="4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真实ERP/QMS/WMS/财务对接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部署</w:t>
            </w:r>
          </w:p>
        </w:tc>
        <w:tc>
          <w:tcPr>
            <w:tcW w:type="dxa" w:w="3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本地Compose和生产模板</w:t>
            </w:r>
          </w:p>
        </w:tc>
        <w:tc>
          <w:tcPr>
            <w:tcW w:type="dxa" w:w="4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服务器安装、数据切换、监控和正式上线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3. 已冻结的技术与架构决策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100"/>
        <w:gridCol w:w="1900"/>
        <w:gridCol w:w="660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决策项</w:t>
            </w:r>
          </w:p>
        </w:tc>
        <w:tc>
          <w:tcPr>
            <w:tcW w:type="dxa" w:w="6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冻结结论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A0-01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工程形态</w:t>
            </w:r>
          </w:p>
        </w:tc>
        <w:tc>
          <w:tcPr>
            <w:tcW w:type="dxa" w:w="6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全新单仓库 srm-system；前后端分离；后端模块化单体，不拆微服务。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A0-02</w:t>
            </w:r>
          </w:p>
        </w:tc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后端技术</w:t>
            </w:r>
          </w:p>
        </w:tc>
        <w:tc>
          <w:tcPr>
            <w:tcW w:type="dxa" w:w="6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Java 17、Spring Boot 3.x、Maven、Spring Security、Spring JDBC/NamedParameterJdbcTemplate、Flyway、MySQL 8。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A0-03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前端技术</w:t>
            </w:r>
          </w:p>
        </w:tc>
        <w:tc>
          <w:tcPr>
            <w:tcW w:type="dxa" w:w="6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Node 22、npm workspaces、Vue 3、TypeScript、Vite、Element Plus；内部端与供应商端独立构建。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A0-04</w:t>
            </w:r>
          </w:p>
        </w:tc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应用边界</w:t>
            </w:r>
          </w:p>
        </w:tc>
        <w:tc>
          <w:tcPr>
            <w:tcW w:type="dxa" w:w="6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srm-internal-web承载内部12域；srm-supplier-web承载供应商门户；只复用无业务权限判断的UI、类型和SDK。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A0-05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根包与命名</w:t>
            </w:r>
          </w:p>
        </w:tc>
        <w:tc>
          <w:tcPr>
            <w:tcW w:type="dxa" w:w="6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Maven groupId 与Java根包统一为 com.srm；后端模块名与前端一级域目录一一对应。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A0-06</w:t>
            </w:r>
          </w:p>
        </w:tc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API</w:t>
            </w:r>
          </w:p>
        </w:tc>
        <w:tc>
          <w:tcPr>
            <w:tcW w:type="dxa" w:w="6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统一 /api/v1；REST JSON；错误、分页、追踪ID和幂等规则固定；禁止Controller直接返回Map。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A0-07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数据库</w:t>
            </w:r>
          </w:p>
        </w:tc>
        <w:tc>
          <w:tcPr>
            <w:tcW w:type="dxa" w:w="6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Flyway是结构迁移唯一权威；snake_case；BIGINT主键；UTC存储；业务编码独立；逻辑删除和乐观版本按对象使用。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A0-08</w:t>
            </w:r>
          </w:p>
        </w:tc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认证</w:t>
            </w:r>
          </w:p>
        </w:tc>
        <w:tc>
          <w:tcPr>
            <w:tcW w:type="dxa" w:w="6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阶段0采用本地账号与Spring Security最小实现；生产密钥和初始管理员密码只从环境变量注入。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A0-09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部署</w:t>
            </w:r>
          </w:p>
        </w:tc>
        <w:tc>
          <w:tcPr>
            <w:tcW w:type="dxa" w:w="6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Docker Compose + Nginx + MySQL；本地构建镜像/产物后上传单服务器；不建立付费云构建流水线。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A0-10</w:t>
            </w:r>
          </w:p>
        </w:tc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旧系统</w:t>
            </w:r>
          </w:p>
        </w:tc>
        <w:tc>
          <w:tcPr>
            <w:tcW w:type="dxa" w:w="6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旧SCM不作为业务基线；不得复制旧包名、旧菜单树和旧业务表。</w:t>
            </w:r>
          </w:p>
        </w:tc>
      </w:tr>
    </w:tbl>
    <w:p>
      <w:pPr>
        <w:spacing w:after="40"/>
      </w:pPr>
    </w:p>
    <w:p>
      <w:pPr>
        <w:spacing w:before="120" w:after="200" w:line="283" w:lineRule="auto"/>
        <w:ind w:left="173" w:right="115"/>
        <w:shd w:fill="FFF8E6"/>
        <w:pBdr>
          <w:left w:val="single" w:sz="20" w:space="8" w:color="8A6116"/>
        </w:pBdr>
        <w:keepLines/>
      </w:pPr>
      <w:r>
        <w:rPr>
          <w:rFonts w:ascii="Source Han Sans CN" w:hAnsi="Source Han Sans CN" w:eastAsia="Source Han Sans CN" w:cs="Source Han Sans CN"/>
          <w:b/>
          <w:color w:val="8A6116"/>
          <w:sz w:val="20"/>
        </w:rPr>
        <w:t xml:space="preserve">非阻塞预留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正式PO权威源、IQC权威边界和结算边界不影响阶段0工程骨架；集成对象统一预留 source_system、external_id、external_version 与幂等键契约，业务决策在对应阶段前关闭。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3.1 目标应用架构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783584"/>
            <wp:docPr id="1" name="Picture 1" descr="内部端和供应商端通过Nginx访问模块化单体后端，后端连接MySQL并预留对象存储与集成契约。" title="内部端和供应商端通过Nginx访问模块化单体后端，后端连接MySQL并预留对象存储与集成契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8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ueprintCaption"/>
        <w:keepLines/>
      </w:pPr>
      <w:r>
        <w:t>图1　阶段0目标应用与工程结构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4. 目标工程目录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以下目录作为阶段0冻结结构。未列出的顶层目录不得由模块Agent自行新增；确需增加时由Codex主架构先修改基线。</w:t>
      </w:r>
    </w:p>
    <w:p>
      <w:pPr>
        <w:spacing w:before="0" w:after="80" w:line="293" w:lineRule="auto"/>
        <w:jc w:val="left"/>
        <w:keepNext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19"/>
        </w:rPr>
        <w:t>项目根目录</w:t>
      </w:r>
    </w:p>
    <w:p>
      <w:pPr>
        <w:spacing w:before="40" w:after="200" w:line="259" w:lineRule="auto"/>
        <w:ind w:left="144" w:right="72"/>
        <w:shd w:fill="F7F8FA"/>
        <w:pBdr>
          <w:left w:val="single" w:sz="20" w:space="8" w:color="C7D0DC"/>
        </w:pBdr>
        <w:keepLines/>
      </w:pPr>
      <w:r>
        <w:rPr>
          <w:rFonts w:ascii="Noto Sans SC" w:hAnsi="Noto Sans SC" w:eastAsia="Noto Sans SC" w:cs="Noto Sans SC"/>
          <w:color w:val="1F2937"/>
          <w:sz w:val="16"/>
        </w:rPr>
        <w:t>srm-system/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backend/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pom.xml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src/main/java/com/srm/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SrmApplication.java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common/              # 响应、异常、分页、工具和通用契约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config/              # Spring与环境配置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security/            # 认证、令牌、权限入口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platform/            # 菜单、审计、附件、集成等共享平台契约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workbench/           # 01 工作台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supplier/            # 02 供应商管理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sourcing/            # 03 战略寻源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contract/            # 04 合同与价格管理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source/              # 05 供应源管理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procurement/         # 06 采购协同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delivery/            # 07 交付与收货协同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quality/             # 08 供应商质量管理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settlement/          # 09 对账与结算协同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performance/         # 10 绩效与风险管理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masterdata/          # 11 基础数据中心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└── system/              # 12 系统管理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src/main/resources/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application.yml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application-dev.yml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application-prod.yml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└── db/migration/         # Flyway唯一权威迁移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└── src/test/java/com/srm/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frontend/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package.json             # npm workspaces根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apps/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├── internal-web/        # 内部12域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│   └── supplier-web/        # 供应商门户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└── packages/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    ├── api-client/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    ├── shared-types/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    ├── shared-ui/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    └── config/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database/                    # 数据字典、校验与人工运维脚本，不复制Flyway结构SQL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deploy/                      # Compose、Nginx、环境样例和生产模板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docs/                        # 已确定的5类文档目录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scripts/                     # 构建、检查、骨架校验和本地运行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AGENTS.md                    # 多Agent共同规则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.editorconfig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.gitignore</w:t>
        <w:br/>
      </w:r>
      <w:r>
        <w:rPr>
          <w:rFonts w:ascii="Noto Sans SC" w:hAnsi="Noto Sans SC" w:eastAsia="Noto Sans SC" w:cs="Noto Sans SC"/>
          <w:color w:val="1F2937"/>
          <w:sz w:val="16"/>
        </w:rPr>
        <w:t>└── README.md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4.1 单个后端领域模块内部结构</w:t>
      </w:r>
    </w:p>
    <w:p>
      <w:pPr>
        <w:spacing w:before="40" w:after="200" w:line="259" w:lineRule="auto"/>
        <w:ind w:left="144" w:right="72"/>
        <w:shd w:fill="F7F8FA"/>
        <w:pBdr>
          <w:left w:val="single" w:sz="20" w:space="8" w:color="C7D0DC"/>
        </w:pBdr>
        <w:keepLines/>
      </w:pPr>
      <w:r>
        <w:rPr>
          <w:rFonts w:ascii="Noto Sans SC" w:hAnsi="Noto Sans SC" w:eastAsia="Noto Sans SC" w:cs="Noto Sans SC"/>
          <w:color w:val="1F2937"/>
          <w:sz w:val="16"/>
        </w:rPr>
        <w:t>&lt;module&gt;/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api/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controller/              # HTTP适配，禁止写业务规则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request/                 # 入参DTO与校验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└── response/                # 出参DTO，不直接暴露数据库行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application/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command/                 # 改变状态的用例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query/                   # 查询用例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└── service/                 # 用例编排与事务边界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domain/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model/                   # 聚合、实体和值对象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enums/                   # 稳定状态码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repository/              # 仓储接口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└── rule/                    # 领域规则与状态动作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infrastructure/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persistence/             # JDBC实现与行映射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└── integration/             # 外围系统适配器</w:t>
        <w:br/>
      </w:r>
      <w:r>
        <w:rPr>
          <w:rFonts w:ascii="Noto Sans SC" w:hAnsi="Noto Sans SC" w:eastAsia="Noto Sans SC" w:cs="Noto Sans SC"/>
          <w:color w:val="1F2937"/>
          <w:sz w:val="16"/>
        </w:rPr>
        <w:t>└── package-info.java            # 模块职责、允许依赖和对外契约</w:t>
      </w:r>
    </w:p>
    <w:p>
      <w:pPr>
        <w:spacing w:before="120" w:after="200" w:line="283" w:lineRule="auto"/>
        <w:ind w:left="173" w:right="115"/>
        <w:shd w:fill="F4F7FB"/>
        <w:pBdr>
          <w:left w:val="single" w:sz="20" w:space="8" w:color="1F4E78"/>
        </w:pBdr>
        <w:keepLines/>
      </w:pPr>
      <w:r>
        <w:rPr>
          <w:rFonts w:ascii="Source Han Sans CN" w:hAnsi="Source Han Sans CN" w:eastAsia="Source Han Sans CN" w:cs="Source Han Sans CN"/>
          <w:b/>
          <w:color w:val="1F4E78"/>
          <w:sz w:val="20"/>
        </w:rPr>
        <w:t xml:space="preserve">阶段0落地方式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每个领域至少建立 package-info.java 和模块标识；不得为了填满目录批量生成无意义接口。示例分层只在 workbench 或 system 中建立一条最小可运行链路，其余领域保留边界骨架。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4.2 前端单个功能目录</w:t>
      </w:r>
    </w:p>
    <w:p>
      <w:pPr>
        <w:spacing w:before="40" w:after="200" w:line="259" w:lineRule="auto"/>
        <w:ind w:left="144" w:right="72"/>
        <w:shd w:fill="F7F8FA"/>
        <w:pBdr>
          <w:left w:val="single" w:sz="20" w:space="8" w:color="C7D0DC"/>
        </w:pBdr>
        <w:keepLines/>
      </w:pPr>
      <w:r>
        <w:rPr>
          <w:rFonts w:ascii="Noto Sans SC" w:hAnsi="Noto Sans SC" w:eastAsia="Noto Sans SC" w:cs="Noto Sans SC"/>
          <w:color w:val="1F2937"/>
          <w:sz w:val="16"/>
        </w:rPr>
        <w:t>apps/internal-web/src/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api/                         # 仅调用packages/api-client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components/                  # 内部端专用组件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layouts/                     # 登录布局与主布局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router/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index.ts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├── route-registry.ts         # component_key白名单映射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└── guards.ts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stores/                      # 用户、权限、应用状态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views/</w:t>
        <w:br/>
      </w:r>
      <w:r>
        <w:rPr>
          <w:rFonts w:ascii="Noto Sans SC" w:hAnsi="Noto Sans SC" w:eastAsia="Noto Sans SC" w:cs="Noto Sans SC"/>
          <w:color w:val="1F2937"/>
          <w:sz w:val="16"/>
        </w:rPr>
        <w:t>│   └── &lt;module&gt;/&lt;feature&gt;/index.vue</w:t>
        <w:br/>
      </w:r>
      <w:r>
        <w:rPr>
          <w:rFonts w:ascii="Noto Sans SC" w:hAnsi="Noto Sans SC" w:eastAsia="Noto Sans SC" w:cs="Noto Sans SC"/>
          <w:color w:val="1F2937"/>
          <w:sz w:val="16"/>
        </w:rPr>
        <w:t>├── config/module-manifest.ts</w:t>
        <w:br/>
      </w:r>
      <w:r>
        <w:rPr>
          <w:rFonts w:ascii="Noto Sans SC" w:hAnsi="Noto Sans SC" w:eastAsia="Noto Sans SC" w:cs="Noto Sans SC"/>
          <w:color w:val="1F2937"/>
          <w:sz w:val="16"/>
        </w:rPr>
        <w:t>└── main.ts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5. 十二个一级功能域骨架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650"/>
        <w:gridCol w:w="1850"/>
        <w:gridCol w:w="1800"/>
        <w:gridCol w:w="1800"/>
        <w:gridCol w:w="1850"/>
        <w:gridCol w:w="1650"/>
      </w:tblGrid>
      <w:tr>
        <w:trPr>
          <w:tblHeader w:val="true"/>
          <w:cantSplit/>
        </w:trPr>
        <w:tc>
          <w:tcPr>
            <w:tcW w:type="dxa" w:w="65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序号</w:t>
            </w:r>
          </w:p>
        </w:tc>
        <w:tc>
          <w:tcPr>
            <w:tcW w:type="dxa" w:w="185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一级域</w:t>
            </w:r>
          </w:p>
        </w:tc>
        <w:tc>
          <w:tcPr>
            <w:tcW w:type="dxa" w:w="18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后端包</w:t>
            </w:r>
          </w:p>
        </w:tc>
        <w:tc>
          <w:tcPr>
            <w:tcW w:type="dxa" w:w="18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前端目录</w:t>
            </w:r>
          </w:p>
        </w:tc>
        <w:tc>
          <w:tcPr>
            <w:tcW w:type="dxa" w:w="185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路由前缀</w:t>
            </w:r>
          </w:p>
        </w:tc>
        <w:tc>
          <w:tcPr>
            <w:tcW w:type="dxa" w:w="165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权限前缀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01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工作台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com.srm.workbench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views/workbench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/workbench</w:t>
            </w:r>
          </w:p>
        </w:tc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workbench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02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供应商管理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com.srm.supplier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views/supplier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/supplier</w:t>
            </w:r>
          </w:p>
        </w:tc>
        <w:tc>
          <w:tcPr>
            <w:tcW w:type="dxa" w:w="1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supplier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03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战略寻源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com.srm.sourcing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views/sourcing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/sourcing</w:t>
            </w:r>
          </w:p>
        </w:tc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sourcing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04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合同与价格管理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com.srm.contract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views/contract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/contract</w:t>
            </w:r>
          </w:p>
        </w:tc>
        <w:tc>
          <w:tcPr>
            <w:tcW w:type="dxa" w:w="1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05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供应源管理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com.srm.source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views/source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/supply-source</w:t>
            </w:r>
          </w:p>
        </w:tc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source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06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采购协同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com.srm.procurement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views/procurement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/procurement</w:t>
            </w:r>
          </w:p>
        </w:tc>
        <w:tc>
          <w:tcPr>
            <w:tcW w:type="dxa" w:w="1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procurement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07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交付与收货协同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com.srm.delivery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views/delivery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/delivery</w:t>
            </w:r>
          </w:p>
        </w:tc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08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供应商质量管理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com.srm.quality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views/quality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</w:t>
            </w:r>
          </w:p>
        </w:tc>
        <w:tc>
          <w:tcPr>
            <w:tcW w:type="dxa" w:w="1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09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对账与结算协同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com.srm.settlement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views/settlement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/settlement</w:t>
            </w:r>
          </w:p>
        </w:tc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settlement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10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绩效与风险管理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com.srm.performance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views/performance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/performance</w:t>
            </w:r>
          </w:p>
        </w:tc>
        <w:tc>
          <w:tcPr>
            <w:tcW w:type="dxa" w:w="1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performance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11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基础数据中心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com.srm.masterdata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views/masterdata</w:t>
            </w:r>
          </w:p>
        </w:tc>
        <w:tc>
          <w:tcPr>
            <w:tcW w:type="dxa" w:w="18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/master-data</w:t>
            </w:r>
          </w:p>
        </w:tc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masterdata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12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系统管理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com.srm.system</w:t>
            </w:r>
          </w:p>
        </w:tc>
        <w:tc>
          <w:tcPr>
            <w:tcW w:type="dxa" w:w="1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views/system</w:t>
            </w:r>
          </w:p>
        </w:tc>
        <w:tc>
          <w:tcPr>
            <w:tcW w:type="dxa" w:w="18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</w:t>
            </w:r>
          </w:p>
        </w:tc>
        <w:tc>
          <w:tcPr>
            <w:tcW w:type="dxa" w:w="165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</w:t>
            </w:r>
          </w:p>
        </w:tc>
      </w:tr>
    </w:tbl>
    <w:p>
      <w:pPr>
        <w:spacing w:after="40"/>
      </w:pPr>
    </w:p>
    <w:p>
      <w:pPr>
        <w:spacing w:before="120" w:after="200" w:line="283" w:lineRule="auto"/>
        <w:ind w:left="173" w:right="115"/>
        <w:shd w:fill="F4F3FF"/>
        <w:pBdr>
          <w:left w:val="single" w:sz="20" w:space="8" w:color="6941C6"/>
        </w:pBdr>
        <w:keepLines/>
      </w:pPr>
      <w:r>
        <w:rPr>
          <w:rFonts w:ascii="Source Han Sans CN" w:hAnsi="Source Han Sans CN" w:eastAsia="Source Han Sans CN" w:cs="Source Han Sans CN"/>
          <w:b/>
          <w:color w:val="6941C6"/>
          <w:sz w:val="20"/>
        </w:rPr>
        <w:t xml:space="preserve">工作台规则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登录成功默认进入 /workbench。工作台不在侧栏下展开固定二级菜单，待办、审批、预警、进度、指标、消息和快捷入口作为页面区块存在。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5.1 骨架页面统一行为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每个已启用二级功能有独立目录和 index.vue，可被后续模块Agent直接替换。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占位页统一使用 shared-ui 的 SkeletonFeaturePage，显示一级域、二级功能、路由、权限码、计划阶段和‘业务功能待开发’状态。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占位页不得请求模拟业务接口，不保存业务数据，不展示伪造KPI或样例交易。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直接输入路由并刷新不能404；未登录跳登录页；无权限路由显示403页；未知路由显示404页。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侧栏名称、排序、可见性和授权来自后端菜单树；前端route-registry只负责安全地解析component_key。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5.2 供应商门户骨架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2600"/>
        <w:gridCol w:w="3400"/>
        <w:gridCol w:w="360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门户入口</w:t>
            </w:r>
          </w:p>
        </w:tc>
        <w:tc>
          <w:tcPr>
            <w:tcW w:type="dxa" w:w="34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路由</w:t>
            </w:r>
          </w:p>
        </w:tc>
        <w:tc>
          <w:tcPr>
            <w:tcW w:type="dxa" w:w="3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权限码预留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首页/任务</w:t>
            </w:r>
          </w:p>
        </w:tc>
        <w:tc>
          <w:tcPr>
            <w:tcW w:type="dxa" w:w="3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/portal</w:t>
            </w:r>
          </w:p>
        </w:tc>
        <w:tc>
          <w:tcPr>
            <w:tcW w:type="dxa" w:w="3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portal:home:view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企业资料</w:t>
            </w:r>
          </w:p>
        </w:tc>
        <w:tc>
          <w:tcPr>
            <w:tcW w:type="dxa" w:w="34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/portal/company</w:t>
            </w:r>
          </w:p>
        </w:tc>
        <w:tc>
          <w:tcPr>
            <w:tcW w:type="dxa" w:w="3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portal:company:view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寻源与报价</w:t>
            </w:r>
          </w:p>
        </w:tc>
        <w:tc>
          <w:tcPr>
            <w:tcW w:type="dxa" w:w="3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/portal/sourcing</w:t>
            </w:r>
          </w:p>
        </w:tc>
        <w:tc>
          <w:tcPr>
            <w:tcW w:type="dxa" w:w="3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portal:sourcing:view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合同与协议</w:t>
            </w:r>
          </w:p>
        </w:tc>
        <w:tc>
          <w:tcPr>
            <w:tcW w:type="dxa" w:w="34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/portal/contracts</w:t>
            </w:r>
          </w:p>
        </w:tc>
        <w:tc>
          <w:tcPr>
            <w:tcW w:type="dxa" w:w="3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portal:contract:view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订单</w:t>
            </w:r>
          </w:p>
        </w:tc>
        <w:tc>
          <w:tcPr>
            <w:tcW w:type="dxa" w:w="3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/portal/orders</w:t>
            </w:r>
          </w:p>
        </w:tc>
        <w:tc>
          <w:tcPr>
            <w:tcW w:type="dxa" w:w="3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portal:order:view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发货与收货</w:t>
            </w:r>
          </w:p>
        </w:tc>
        <w:tc>
          <w:tcPr>
            <w:tcW w:type="dxa" w:w="34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/portal/delivery</w:t>
            </w:r>
          </w:p>
        </w:tc>
        <w:tc>
          <w:tcPr>
            <w:tcW w:type="dxa" w:w="3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portal:delivery:view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质量</w:t>
            </w:r>
          </w:p>
        </w:tc>
        <w:tc>
          <w:tcPr>
            <w:tcW w:type="dxa" w:w="3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/portal/quality</w:t>
            </w:r>
          </w:p>
        </w:tc>
        <w:tc>
          <w:tcPr>
            <w:tcW w:type="dxa" w:w="3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portal:quality:view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对账与发票</w:t>
            </w:r>
          </w:p>
        </w:tc>
        <w:tc>
          <w:tcPr>
            <w:tcW w:type="dxa" w:w="34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/portal/settlement</w:t>
            </w:r>
          </w:p>
        </w:tc>
        <w:tc>
          <w:tcPr>
            <w:tcW w:type="dxa" w:w="3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portal:settlement:view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绩效与改善</w:t>
            </w:r>
          </w:p>
        </w:tc>
        <w:tc>
          <w:tcPr>
            <w:tcW w:type="dxa" w:w="3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/portal/performance</w:t>
            </w:r>
          </w:p>
        </w:tc>
        <w:tc>
          <w:tcPr>
            <w:tcW w:type="dxa" w:w="3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portal:performance:view</w:t>
            </w:r>
          </w:p>
        </w:tc>
      </w:tr>
    </w:tbl>
    <w:p>
      <w:pPr>
        <w:spacing w:after="40"/>
      </w:pPr>
    </w:p>
    <w:p>
      <w:pPr>
        <w:spacing w:before="120" w:after="200" w:line="283" w:lineRule="auto"/>
        <w:ind w:left="173" w:right="115"/>
        <w:shd w:fill="FFF8E6"/>
        <w:pBdr>
          <w:left w:val="single" w:sz="20" w:space="8" w:color="8A6116"/>
        </w:pBdr>
        <w:keepLines/>
      </w:pPr>
      <w:r>
        <w:rPr>
          <w:rFonts w:ascii="Source Han Sans CN" w:hAnsi="Source Han Sans CN" w:eastAsia="Source Han Sans CN" w:cs="Source Han Sans CN"/>
          <w:b/>
          <w:color w:val="8A6116"/>
          <w:sz w:val="20"/>
        </w:rPr>
        <w:t xml:space="preserve">供应商端边界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阶段0只保证supplier-web可独立构建、打开登录页和门户占位导航；不得复用内部用户令牌、内部菜单接口或内部价格/评审字段。真实供应商身份与数据隔离在阶段2实现。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6. 后端工程骨架要求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6.1 最小可运行接口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000"/>
        <w:gridCol w:w="3100"/>
        <w:gridCol w:w="550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6"/>
              </w:rPr>
              <w:t>方法</w:t>
            </w:r>
          </w:p>
        </w:tc>
        <w:tc>
          <w:tcPr>
            <w:tcW w:type="dxa" w:w="31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6"/>
              </w:rPr>
              <w:t>路径</w:t>
            </w:r>
          </w:p>
        </w:tc>
        <w:tc>
          <w:tcPr>
            <w:tcW w:type="dxa" w:w="5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6"/>
              </w:rPr>
              <w:t>阶段0用途</w:t>
            </w:r>
          </w:p>
        </w:tc>
      </w:tr>
      <w:tr>
        <w:trPr>
          <w:cantSplit/>
        </w:trPr>
        <w:tc>
          <w:tcPr>
            <w:tcW w:type="dxa" w:w="1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6"/>
              </w:rPr>
              <w:t>POST</w:t>
            </w:r>
          </w:p>
        </w:tc>
        <w:tc>
          <w:tcPr>
            <w:tcW w:type="dxa" w:w="3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/api/v1/auth/login</w:t>
            </w:r>
          </w:p>
        </w:tc>
        <w:tc>
          <w:tcPr>
            <w:tcW w:type="dxa" w:w="5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内部本地账号登录；返回短期访问令牌，刷新令牌采用安全Cookie或等效安全机制</w:t>
            </w:r>
          </w:p>
        </w:tc>
      </w:tr>
      <w:tr>
        <w:trPr>
          <w:cantSplit/>
        </w:trPr>
        <w:tc>
          <w:tcPr>
            <w:tcW w:type="dxa" w:w="10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6"/>
              </w:rPr>
              <w:t>POST</w:t>
            </w:r>
          </w:p>
        </w:tc>
        <w:tc>
          <w:tcPr>
            <w:tcW w:type="dxa" w:w="3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/api/v1/auth/refresh</w:t>
            </w:r>
          </w:p>
        </w:tc>
        <w:tc>
          <w:tcPr>
            <w:tcW w:type="dxa" w:w="5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刷新访问令牌；可撤销、可过期</w:t>
            </w:r>
          </w:p>
        </w:tc>
      </w:tr>
      <w:tr>
        <w:trPr>
          <w:cantSplit/>
        </w:trPr>
        <w:tc>
          <w:tcPr>
            <w:tcW w:type="dxa" w:w="1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6"/>
              </w:rPr>
              <w:t>POST</w:t>
            </w:r>
          </w:p>
        </w:tc>
        <w:tc>
          <w:tcPr>
            <w:tcW w:type="dxa" w:w="3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/api/v1/auth/logout</w:t>
            </w:r>
          </w:p>
        </w:tc>
        <w:tc>
          <w:tcPr>
            <w:tcW w:type="dxa" w:w="5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撤销当前刷新会话</w:t>
            </w:r>
          </w:p>
        </w:tc>
      </w:tr>
      <w:tr>
        <w:trPr>
          <w:cantSplit/>
        </w:trPr>
        <w:tc>
          <w:tcPr>
            <w:tcW w:type="dxa" w:w="10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6"/>
              </w:rPr>
              <w:t>GET</w:t>
            </w:r>
          </w:p>
        </w:tc>
        <w:tc>
          <w:tcPr>
            <w:tcW w:type="dxa" w:w="3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/api/v1/auth/me</w:t>
            </w:r>
          </w:p>
        </w:tc>
        <w:tc>
          <w:tcPr>
            <w:tcW w:type="dxa" w:w="5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当前用户、角色和最小权限摘要</w:t>
            </w:r>
          </w:p>
        </w:tc>
      </w:tr>
      <w:tr>
        <w:trPr>
          <w:cantSplit/>
        </w:trPr>
        <w:tc>
          <w:tcPr>
            <w:tcW w:type="dxa" w:w="1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6"/>
              </w:rPr>
              <w:t>GET</w:t>
            </w:r>
          </w:p>
        </w:tc>
        <w:tc>
          <w:tcPr>
            <w:tcW w:type="dxa" w:w="3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/api/v1/navigation/menus</w:t>
            </w:r>
          </w:p>
        </w:tc>
        <w:tc>
          <w:tcPr>
            <w:tcW w:type="dxa" w:w="5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按当前用户返回树形菜单；包含route、componentKey、sortOrder和permission</w:t>
            </w:r>
          </w:p>
        </w:tc>
      </w:tr>
      <w:tr>
        <w:trPr>
          <w:cantSplit/>
        </w:trPr>
        <w:tc>
          <w:tcPr>
            <w:tcW w:type="dxa" w:w="10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6"/>
              </w:rPr>
              <w:t>GET</w:t>
            </w:r>
          </w:p>
        </w:tc>
        <w:tc>
          <w:tcPr>
            <w:tcW w:type="dxa" w:w="3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/api/v1/meta/modules</w:t>
            </w:r>
          </w:p>
        </w:tc>
        <w:tc>
          <w:tcPr>
            <w:tcW w:type="dxa" w:w="5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返回12域及阶段状态，用于骨架一致性检查</w:t>
            </w:r>
          </w:p>
        </w:tc>
      </w:tr>
      <w:tr>
        <w:trPr>
          <w:cantSplit/>
        </w:trPr>
        <w:tc>
          <w:tcPr>
            <w:tcW w:type="dxa" w:w="1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6"/>
              </w:rPr>
              <w:t>GET</w:t>
            </w:r>
          </w:p>
        </w:tc>
        <w:tc>
          <w:tcPr>
            <w:tcW w:type="dxa" w:w="3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/actuator/health/liveness</w:t>
            </w:r>
          </w:p>
        </w:tc>
        <w:tc>
          <w:tcPr>
            <w:tcW w:type="dxa" w:w="5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应用存活，不泄露配置</w:t>
            </w:r>
          </w:p>
        </w:tc>
      </w:tr>
      <w:tr>
        <w:trPr>
          <w:cantSplit/>
        </w:trPr>
        <w:tc>
          <w:tcPr>
            <w:tcW w:type="dxa" w:w="10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6"/>
              </w:rPr>
              <w:t>GET</w:t>
            </w:r>
          </w:p>
        </w:tc>
        <w:tc>
          <w:tcPr>
            <w:tcW w:type="dxa" w:w="3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/actuator/health/readiness</w:t>
            </w:r>
          </w:p>
        </w:tc>
        <w:tc>
          <w:tcPr>
            <w:tcW w:type="dxa" w:w="5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6"/>
              </w:rPr>
              <w:t>应用与数据库就绪状态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6.2 共享技术底座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2600"/>
        <w:gridCol w:w="700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包/能力</w:t>
            </w:r>
          </w:p>
        </w:tc>
        <w:tc>
          <w:tcPr>
            <w:tcW w:type="dxa" w:w="70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职责边界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common</w:t>
            </w:r>
          </w:p>
        </w:tc>
        <w:tc>
          <w:tcPr>
            <w:tcW w:type="dxa" w:w="7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ApiResponse、PageResult、BusinessException、ErrorCode、时间/ID/校验工具；不得放领域业务状态。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security</w:t>
            </w:r>
          </w:p>
        </w:tc>
        <w:tc>
          <w:tcPr>
            <w:tcW w:type="dxa" w:w="70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Spring Security配置、认证主体、令牌服务、权限注解/拦截、登录失败与会话撤销。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platform.navigation</w:t>
            </w:r>
          </w:p>
        </w:tc>
        <w:tc>
          <w:tcPr>
            <w:tcW w:type="dxa" w:w="7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菜单树、组件键、排序、可见性和角色菜单查询。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platform.audit</w:t>
            </w:r>
          </w:p>
        </w:tc>
        <w:tc>
          <w:tcPr>
            <w:tcW w:type="dxa" w:w="70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登录和关键系统操作审计契约；日志字段脱敏。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platform.integration</w:t>
            </w:r>
          </w:p>
        </w:tc>
        <w:tc>
          <w:tcPr>
            <w:tcW w:type="dxa" w:w="7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外部系统引用、幂等键、Outbox/Inbox接口和适配器目录；阶段0不接中间件。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config</w:t>
            </w:r>
          </w:p>
        </w:tc>
        <w:tc>
          <w:tcPr>
            <w:tcW w:type="dxa" w:w="70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环境配置、CORS、JSON、时区、OpenAPI开发环境开关、数据库和健康检查。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6.3 模块依赖规则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common、config、security、platform不得依赖任何业务领域模块。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业务模块只能依赖common、security契约和platform公开契约，禁止直接引用其他模块的infrastructure或repository实现。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跨模块查询通过公开QueryService/DTO；跨模块状态改变通过ApplicationService或领域事件契约。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一个模块不得直接更新另一个模块的数据表；工作台只做只读聚合，不承载业务状态。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使用ArchUnit或等效测试固定依赖规则，违反规则时mvn test必须失败。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6.4 代码约束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Controller只负责协议转换、鉴权入口、参数校验和响应，不写SQL和状态机。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公开API必须使用显式Request/Response DTO；禁止返回Map&lt;String,Object&gt;、JdbcTemplate原始行或数据库实体。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Repository使用NamedParameterJdbcTemplate参数化SQL，禁止字符串拼接用户输入。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状态码使用稳定英文code入库，中文仅作为显示标签；禁止散落魔法字符串。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事务边界位于application service；外部调用不与长数据库事务混在一起。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日志必须带traceId；不得记录密码、令牌、完整银行账号、身份证明或附件内容。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7. 前端工程骨架要求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7.1 internal-web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登录页、主布局、左侧菜单、顶部用户区、面包屑、内容区、403、404和错误页可用。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登录成功进入工作台；侧栏按后端菜单树渲染，一级域排序01至12。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路由守卫校验登录状态和route meta permission；按钮权限提供统一指令或组合式函数，但阶段0不创建业务按钮。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route-registry采用静态白名单将component_key映射到懒加载组件，禁止执行后端返回的任意路径。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API请求通过packages/api-client统一封装，自动注入trace/request信息、处理401刷新和标准错误。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标题、品牌、页签统一为‘SRM 供应商协同管理系统’，不得出现旧SCM名称。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7.2 supplier-web与共享包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2200"/>
        <w:gridCol w:w="740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工作区</w:t>
            </w:r>
          </w:p>
        </w:tc>
        <w:tc>
          <w:tcPr>
            <w:tcW w:type="dxa" w:w="74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阶段0职责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supplier-web</w:t>
            </w:r>
          </w:p>
        </w:tc>
        <w:tc>
          <w:tcPr>
            <w:tcW w:type="dxa" w:w="7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独立Vite入口、登录布局、门户布局、九个导航占位；阶段0不接真实供应商认证。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shared-ui</w:t>
            </w:r>
          </w:p>
        </w:tc>
        <w:tc>
          <w:tcPr>
            <w:tcW w:type="dxa" w:w="74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无业务权限判断的按钮、状态标签、空状态、错误页和SkeletonFeaturePage。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api-client</w:t>
            </w:r>
          </w:p>
        </w:tc>
        <w:tc>
          <w:tcPr>
            <w:tcW w:type="dxa" w:w="7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HTTP客户端、标准响应、错误、认证刷新钩子；内部端与供应商端分别配置认证策略。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shared-types</w:t>
            </w:r>
          </w:p>
        </w:tc>
        <w:tc>
          <w:tcPr>
            <w:tcW w:type="dxa" w:w="74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ApiResponse、PageResult、MenuNode、UserPrincipal、ModuleMeta等跨应用类型。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config</w:t>
            </w:r>
          </w:p>
        </w:tc>
        <w:tc>
          <w:tcPr>
            <w:tcW w:type="dxa" w:w="7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ESLint、TypeScript、Vite共享配置和设计令牌；不保存运行时秘密。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7.3 菜单与路由一致性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建立机器可读的模块清单，至少包含domainCode、menuCode、label、route、componentKey、permission、sortOrder、phase和enabled。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数据库菜单种子、前端route-registry和占位页目录必须来源于同一清单或由校验脚本证明一致。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scripts/validate-skeleton检查：重复menuCode、重复route、重复permission、缺失componentKey、目录缺失和排序冲突。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阶段7的‘预测与交付计划’只作为enabled=false预留，不出现在默认菜单，不允许直接访问。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8. 登录、菜单与权限最小闭环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8.1 最小数据表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2800"/>
        <w:gridCol w:w="680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表名</w:t>
            </w:r>
          </w:p>
        </w:tc>
        <w:tc>
          <w:tcPr>
            <w:tcW w:type="dxa" w:w="68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阶段0用途</w:t>
            </w:r>
          </w:p>
        </w:tc>
      </w:tr>
      <w:tr>
        <w:trPr>
          <w:cantSplit/>
        </w:trPr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sys_user</w:t>
            </w:r>
          </w:p>
        </w:tc>
        <w:tc>
          <w:tcPr>
            <w:tcW w:type="dxa" w:w="6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内部用户账号、密码摘要、状态和基础归属；阶段0仅种子管理员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sys_role</w:t>
            </w:r>
          </w:p>
        </w:tc>
        <w:tc>
          <w:tcPr>
            <w:tcW w:type="dxa" w:w="6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角色编码与状态；种子SUPER_ADMIN和SKELETON_VIEWER</w:t>
            </w:r>
          </w:p>
        </w:tc>
      </w:tr>
      <w:tr>
        <w:trPr>
          <w:cantSplit/>
        </w:trPr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sys_user_role</w:t>
            </w:r>
          </w:p>
        </w:tc>
        <w:tc>
          <w:tcPr>
            <w:tcW w:type="dxa" w:w="6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用户与角色多对多；体现角色下挂用户的关系基础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sys_menu</w:t>
            </w:r>
          </w:p>
        </w:tc>
        <w:tc>
          <w:tcPr>
            <w:tcW w:type="dxa" w:w="6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目录/菜单、父级、路由、组件键、排序、可见性、启用状态和权限码</w:t>
            </w:r>
          </w:p>
        </w:tc>
      </w:tr>
      <w:tr>
        <w:trPr>
          <w:cantSplit/>
        </w:trPr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sys_permission</w:t>
            </w:r>
          </w:p>
        </w:tc>
        <w:tc>
          <w:tcPr>
            <w:tcW w:type="dxa" w:w="6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权限码、领域、资源、动作和说明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sys_role_permission</w:t>
            </w:r>
          </w:p>
        </w:tc>
        <w:tc>
          <w:tcPr>
            <w:tcW w:type="dxa" w:w="6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角色与接口/动作权限</w:t>
            </w:r>
          </w:p>
        </w:tc>
      </w:tr>
      <w:tr>
        <w:trPr>
          <w:cantSplit/>
        </w:trPr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sys_role_menu</w:t>
            </w:r>
          </w:p>
        </w:tc>
        <w:tc>
          <w:tcPr>
            <w:tcW w:type="dxa" w:w="6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角色与菜单可见性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sys_refresh_token</w:t>
            </w:r>
          </w:p>
        </w:tc>
        <w:tc>
          <w:tcPr>
            <w:tcW w:type="dxa" w:w="6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刷新会话摘要、过期、撤销和设备信息；不存明文令牌</w:t>
            </w:r>
          </w:p>
        </w:tc>
      </w:tr>
      <w:tr>
        <w:trPr>
          <w:cantSplit/>
        </w:trPr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sys_login_log</w:t>
            </w:r>
          </w:p>
        </w:tc>
        <w:tc>
          <w:tcPr>
            <w:tcW w:type="dxa" w:w="6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成功/失败、用户、IP摘要、时间、原因和traceId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sys_operation_log</w:t>
            </w:r>
          </w:p>
        </w:tc>
        <w:tc>
          <w:tcPr>
            <w:tcW w:type="dxa" w:w="68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阶段0系统关键操作审计骨架</w:t>
            </w:r>
          </w:p>
        </w:tc>
      </w:tr>
    </w:tbl>
    <w:p>
      <w:pPr>
        <w:spacing w:after="40"/>
      </w:pPr>
    </w:p>
    <w:p>
      <w:pPr>
        <w:spacing w:before="120" w:after="200" w:line="283" w:lineRule="auto"/>
        <w:ind w:left="173" w:right="115"/>
        <w:shd w:fill="FEF2F2"/>
        <w:pBdr>
          <w:left w:val="single" w:sz="20" w:space="8" w:color="9B1C1C"/>
        </w:pBdr>
        <w:keepLines/>
      </w:pPr>
      <w:r>
        <w:rPr>
          <w:rFonts w:ascii="Source Han Sans CN" w:hAnsi="Source Han Sans CN" w:eastAsia="Source Han Sans CN" w:cs="Source Han Sans CN"/>
          <w:b/>
          <w:color w:val="9B1C1C"/>
          <w:sz w:val="20"/>
        </w:rPr>
        <w:t xml:space="preserve">数据库范围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阶段0只创建平台最小表，禁止预先创建12个业务域的空业务表。业务表必须在对应模块详细设计通过后由独立Flyway迁移建立。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8.2 种子与安全规则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SUPER_ADMIN拥有所有已启用菜单和权限，用于骨架验收。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SKELETON_VIEWER只拥有工作台和只读骨架权限，用于验证菜单过滤和403。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初始管理员用户名可配置，密码必须从SRM_BOOTSTRAP_ADMIN_PASSWORD环境变量获得；仓库不得出现真实密码或固定生产密码。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密码使用强哈希算法；生产环境若未提供必要密钥或初始密码，应用应拒绝以不安全默认值启动。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后端接口必须执行权限校验，不能仅依赖前端隐藏菜单。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CORS允许来源、访问令牌密钥、数据库密码和日志级别均由环境配置。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8.3 权限编码规范</w:t>
      </w:r>
    </w:p>
    <w:p>
      <w:pPr>
        <w:spacing w:before="0" w:after="12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统一格式：domain:resource:action。domain与后端模块权限前缀一致；resource使用小写kebab-case；action首期允许view、create、update、delete、submit、approve、export、manage。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3900"/>
        <w:gridCol w:w="5700"/>
      </w:tblGrid>
      <w:tr>
        <w:trPr>
          <w:tblHeader w:val="true"/>
          <w:cantSplit/>
        </w:trPr>
        <w:tc>
          <w:tcPr>
            <w:tcW w:type="dxa" w:w="3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权限码</w:t>
            </w:r>
          </w:p>
        </w:tc>
        <w:tc>
          <w:tcPr>
            <w:tcW w:type="dxa" w:w="57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supplier:profile:view</w:t>
            </w:r>
          </w:p>
        </w:tc>
        <w:tc>
          <w:tcPr>
            <w:tcW w:type="dxa" w:w="5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查看供应商档案</w:t>
            </w:r>
          </w:p>
        </w:tc>
      </w:tr>
      <w:tr>
        <w:trPr>
          <w:cantSplit/>
        </w:trPr>
        <w:tc>
          <w:tcPr>
            <w:tcW w:type="dxa" w:w="3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sourcing:quotation:submit</w:t>
            </w:r>
          </w:p>
        </w:tc>
        <w:tc>
          <w:tcPr>
            <w:tcW w:type="dxa" w:w="5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提交报价/响应</w:t>
            </w:r>
          </w:p>
        </w:tc>
      </w:tr>
      <w:tr>
        <w:trPr>
          <w:cantSplit/>
        </w:trPr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source:approved:manage</w:t>
            </w:r>
          </w:p>
        </w:tc>
        <w:tc>
          <w:tcPr>
            <w:tcW w:type="dxa" w:w="5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管理正式供应源</w:t>
            </w:r>
          </w:p>
        </w:tc>
      </w:tr>
      <w:tr>
        <w:trPr>
          <w:cantSplit/>
        </w:trPr>
        <w:tc>
          <w:tcPr>
            <w:tcW w:type="dxa" w:w="3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procurement:purchase-order:view</w:t>
            </w:r>
          </w:p>
        </w:tc>
        <w:tc>
          <w:tcPr>
            <w:tcW w:type="dxa" w:w="5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查看采购订单</w:t>
            </w:r>
          </w:p>
        </w:tc>
      </w:tr>
      <w:tr>
        <w:trPr>
          <w:cantSplit/>
        </w:trPr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8"/>
              </w:rPr>
              <w:t>system:role:manage</w:t>
            </w:r>
          </w:p>
        </w:tc>
        <w:tc>
          <w:tcPr>
            <w:tcW w:type="dxa" w:w="5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8"/>
              </w:rPr>
              <w:t>维护角色、挂载用户和授权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9. API、数据库与审计工程规范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9.1 统一API响应</w:t>
      </w:r>
    </w:p>
    <w:p>
      <w:pPr>
        <w:spacing w:before="40" w:after="200" w:line="259" w:lineRule="auto"/>
        <w:ind w:left="144" w:right="72"/>
        <w:shd w:fill="F7F8FA"/>
        <w:pBdr>
          <w:left w:val="single" w:sz="20" w:space="8" w:color="C7D0DC"/>
        </w:pBdr>
        <w:keepLines/>
      </w:pPr>
      <w:r>
        <w:rPr>
          <w:rFonts w:ascii="Noto Sans SC" w:hAnsi="Noto Sans SC" w:eastAsia="Noto Sans SC" w:cs="Noto Sans SC"/>
          <w:color w:val="1F2937"/>
          <w:sz w:val="16"/>
        </w:rPr>
        <w:t>{</w:t>
        <w:br/>
      </w:r>
      <w:r>
        <w:rPr>
          <w:rFonts w:ascii="Noto Sans SC" w:hAnsi="Noto Sans SC" w:eastAsia="Noto Sans SC" w:cs="Noto Sans SC"/>
          <w:color w:val="1F2937"/>
          <w:sz w:val="16"/>
        </w:rPr>
        <w:t xml:space="preserve">  "code": "0",</w:t>
        <w:br/>
      </w:r>
      <w:r>
        <w:rPr>
          <w:rFonts w:ascii="Noto Sans SC" w:hAnsi="Noto Sans SC" w:eastAsia="Noto Sans SC" w:cs="Noto Sans SC"/>
          <w:color w:val="1F2937"/>
          <w:sz w:val="16"/>
        </w:rPr>
        <w:t xml:space="preserve">  "message": "success",</w:t>
        <w:br/>
      </w:r>
      <w:r>
        <w:rPr>
          <w:rFonts w:ascii="Noto Sans SC" w:hAnsi="Noto Sans SC" w:eastAsia="Noto Sans SC" w:cs="Noto Sans SC"/>
          <w:color w:val="1F2937"/>
          <w:sz w:val="16"/>
        </w:rPr>
        <w:t xml:space="preserve">  "data": { ... },</w:t>
        <w:br/>
      </w:r>
      <w:r>
        <w:rPr>
          <w:rFonts w:ascii="Noto Sans SC" w:hAnsi="Noto Sans SC" w:eastAsia="Noto Sans SC" w:cs="Noto Sans SC"/>
          <w:color w:val="1F2937"/>
          <w:sz w:val="16"/>
        </w:rPr>
        <w:t xml:space="preserve">  "traceId": "01J...",</w:t>
        <w:br/>
      </w:r>
      <w:r>
        <w:rPr>
          <w:rFonts w:ascii="Noto Sans SC" w:hAnsi="Noto Sans SC" w:eastAsia="Noto Sans SC" w:cs="Noto Sans SC"/>
          <w:color w:val="1F2937"/>
          <w:sz w:val="16"/>
        </w:rPr>
        <w:t xml:space="preserve">  "timestamp": "2026-07-22T06:00:00Z"</w:t>
        <w:br/>
      </w:r>
      <w:r>
        <w:rPr>
          <w:rFonts w:ascii="Noto Sans SC" w:hAnsi="Noto Sans SC" w:eastAsia="Noto Sans SC" w:cs="Noto Sans SC"/>
          <w:color w:val="1F2937"/>
          <w:sz w:val="16"/>
        </w:rPr>
        <w:t>}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分页data固定包含items、page、pageSize、total、totalPages；HTTP状态表达协议结果，code表达稳定业务/平台错误。校验错误返回字段级明细；生产环境不得返回堆栈。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9.2 数据库命名与基础字段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77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规则</w:t>
            </w:r>
          </w:p>
        </w:tc>
        <w:tc>
          <w:tcPr>
            <w:tcW w:type="dxa" w:w="77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阶段0基线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表名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snake_case；领域前缀：wb_、sup_、sor_、con_、src_、prc_、del_、qua_、stl_、perf_、md_、sys_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主键</w:t>
            </w:r>
          </w:p>
        </w:tc>
        <w:tc>
          <w:tcPr>
            <w:tcW w:type="dxa" w:w="7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id BIGINT；业务编号单独设置唯一索引，不把可变业务编号当主键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时间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数据库按UTC存储；API使用ISO 8601；前端按用户时区显示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审计</w:t>
            </w:r>
          </w:p>
        </w:tc>
        <w:tc>
          <w:tcPr>
            <w:tcW w:type="dxa" w:w="7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created_by、created_at、updated_by、updated_at；必要时version和deleted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状态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稳定英文code；业务状态、审批状态和接口状态分列，不共用一个status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集成</w:t>
            </w:r>
          </w:p>
        </w:tc>
        <w:tc>
          <w:tcPr>
            <w:tcW w:type="dxa" w:w="7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适用对象预留source_system、external_id、external_version、idempotency_key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金额数量</w:t>
            </w:r>
          </w:p>
        </w:tc>
        <w:tc>
          <w:tcPr>
            <w:tcW w:type="dxa" w:w="7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DECIMAL明确精度与舍入；禁止float/double承载金额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索引</w:t>
            </w:r>
          </w:p>
        </w:tc>
        <w:tc>
          <w:tcPr>
            <w:tcW w:type="dxa" w:w="7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唯一约束表达业务唯一性；高频组织、供应商、状态、日期组合查询按用例建索引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9.3 迁移、幂等与审计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Flyway脚本一经进入共享分支不得改写已发布版本，只能新增迁移；种子脚本必须幂等或由版本迁移保证只执行一次。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菜单、权限和角色种子使用稳定code定位，不以自增ID作为跨脚本引用。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写入型接口预留Idempotency-Key；重复请求返回原结果或明确冲突，不重复创建数据。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所有错误响应、登录、权限拒绝和关键系统操作带traceId；日志与审计记录分工明确。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删除优先采用状态终止或逻辑删除；审计与集成证据不得随业务删除。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10. 本地运行与部署基线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10.1 Docker Compose服务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2200"/>
        <w:gridCol w:w="740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服务</w:t>
            </w:r>
          </w:p>
        </w:tc>
        <w:tc>
          <w:tcPr>
            <w:tcW w:type="dxa" w:w="74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阶段0要求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mysql</w:t>
            </w:r>
          </w:p>
        </w:tc>
        <w:tc>
          <w:tcPr>
            <w:tcW w:type="dxa" w:w="7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MySQL 8，持久卷，健康检查，初始化仅由Flyway负责结构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backend</w:t>
            </w:r>
          </w:p>
        </w:tc>
        <w:tc>
          <w:tcPr>
            <w:tcW w:type="dxa" w:w="74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Spring Boot后端，等待数据库健康，暴露内部端口和健康检查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internal-web</w:t>
            </w:r>
          </w:p>
        </w:tc>
        <w:tc>
          <w:tcPr>
            <w:tcW w:type="dxa" w:w="7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内部端静态产物或开发服务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supplier-web</w:t>
            </w:r>
          </w:p>
        </w:tc>
        <w:tc>
          <w:tcPr>
            <w:tcW w:type="dxa" w:w="74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供应商端静态产物或开发服务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nginx</w:t>
            </w:r>
          </w:p>
        </w:tc>
        <w:tc>
          <w:tcPr>
            <w:tcW w:type="dxa" w:w="7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统一入口；/api反代后端；两个前端采用明确路径/主机规则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10.2 环境与脚本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提交.env.example，列出变量名、用途和示例占位；不得提交.env、密钥、令牌或真实地址。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提供scripts/check.sh：后端测试、前端lint/typecheck/build、骨架一致性校验。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提供scripts/build-all.sh、scripts/start-local.sh、scripts/stop-local.sh和必要的Windows替代说明（如适用）。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README给出JDK、Node、Docker要求、首次启动、登录、常见故障和重置开发数据方法。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生产Compose模板不得包含固定密码；阶段0不执行服务器上传、容器替换和数据库清理。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11. 阶段0实施任务包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S0-01　仓库与规范基线</w:t>
      </w:r>
    </w:p>
    <w:p>
      <w:pPr>
        <w:spacing w:before="0" w:after="8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开发内容：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建立根目录、README、AGENTS.md、.editorconfig、.gitignore、五类docs兼容结构和构建入口。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66534"/>
          <w:sz w:val="21"/>
        </w:rPr>
        <w:t>完成出口：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目录与规则通过审查；不含旧SCM业务结构。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S0-02　后端模块化单体</w:t>
      </w:r>
    </w:p>
    <w:p>
      <w:pPr>
        <w:spacing w:before="0" w:after="8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开发内容：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初始化Spring Boot；建立common/security/platform及12领域包；统一响应异常分页、traceId、健康检查和ArchUnit。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66534"/>
          <w:sz w:val="21"/>
        </w:rPr>
        <w:t>完成出口：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mvn test通过；依赖违规测试可识别。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S0-03　数据库与最小认证</w:t>
      </w:r>
    </w:p>
    <w:p>
      <w:pPr>
        <w:spacing w:before="0" w:after="8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开发内容：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建立Flyway、10张最小系统表、管理员和查看者种子、登录刷新退出、当前用户及接口鉴权。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66534"/>
          <w:sz w:val="21"/>
        </w:rPr>
        <w:t>完成出口：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可登录、可刷新、可退出；无权限接口返回403。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S0-04　模块清单与菜单种子</w:t>
      </w:r>
    </w:p>
    <w:p>
      <w:pPr>
        <w:spacing w:before="0" w:after="8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开发内容：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固化12域、85个二级页、1个阶段7隐藏预留；生成/校验菜单、权限、路由和组件键。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66534"/>
          <w:sz w:val="21"/>
        </w:rPr>
        <w:t>完成出口：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SUPER_ADMIN菜单完整；重复/缺失校验通过。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S0-05　内部端工程骨架</w:t>
      </w:r>
    </w:p>
    <w:p>
      <w:pPr>
        <w:spacing w:before="0" w:after="8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开发内容：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建立internal-web、布局、路由守卫、动态菜单、工作台、403/404及全部占位页。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66534"/>
          <w:sz w:val="21"/>
        </w:rPr>
        <w:t>完成出口：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登录后默认工作台；路由刷新正常；菜单按角色过滤。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S0-06　供应商端与共享包</w:t>
      </w:r>
    </w:p>
    <w:p>
      <w:pPr>
        <w:spacing w:before="0" w:after="8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开发内容：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建立supplier-web及九个门户占位，shared-ui、api-client、shared-types和config。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66534"/>
          <w:sz w:val="21"/>
        </w:rPr>
        <w:t>完成出口：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两端独立构建；供应商端不调用内部菜单/令牌逻辑。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S0-07　本地运行与部署模板</w:t>
      </w:r>
    </w:p>
    <w:p>
      <w:pPr>
        <w:spacing w:before="0" w:after="8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开发内容：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建立Compose、Nginx、环境样例、构建/启动/停止脚本和日志健康检查。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66534"/>
          <w:sz w:val="21"/>
        </w:rPr>
        <w:t>完成出口：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全栈可一次启动；健康检查通过；无秘密入库。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S0-08　验证与文档交付</w:t>
      </w:r>
    </w:p>
    <w:p>
      <w:pPr>
        <w:spacing w:before="0" w:after="8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开发内容：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执行后端测试、前端lint/typecheck/build、数据库重建、菜单路由校验和人工UI验收；形成报告。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66534"/>
          <w:sz w:val="21"/>
        </w:rPr>
        <w:t>完成出口：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第13章所有必验项通过，无P0/P1问题。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11.1 强制执行顺序</w:t>
      </w:r>
    </w:p>
    <w:p>
      <w:pPr>
        <w:numPr>
          <w:ilvl w:val="0"/>
          <w:numId w:val="15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S0-01先冻结根目录和共享规则。</w:t>
      </w:r>
    </w:p>
    <w:p>
      <w:pPr>
        <w:numPr>
          <w:ilvl w:val="0"/>
          <w:numId w:val="15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S0-02与S0-03完成后，后端接口和数据库基线不可被前端Agent自行改动。</w:t>
      </w:r>
    </w:p>
    <w:p>
      <w:pPr>
        <w:numPr>
          <w:ilvl w:val="0"/>
          <w:numId w:val="15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S0-04先完成模块清单，再生成S0-05页面骨架和菜单种子，避免手工漂移。</w:t>
      </w:r>
    </w:p>
    <w:p>
      <w:pPr>
        <w:numPr>
          <w:ilvl w:val="0"/>
          <w:numId w:val="15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S0-06可在S0-04稳定后并行，但不得占用内部端路由和认证实现。</w:t>
      </w:r>
    </w:p>
    <w:p>
      <w:pPr>
        <w:numPr>
          <w:ilvl w:val="0"/>
          <w:numId w:val="15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S0-07集成所有产物；S0-08只做修复与验证，不新增范围。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11.2 共享文件保护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2400"/>
        <w:gridCol w:w="720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类别</w:t>
            </w:r>
          </w:p>
        </w:tc>
        <w:tc>
          <w:tcPr>
            <w:tcW w:type="dxa" w:w="72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文件/动作</w:t>
            </w:r>
          </w:p>
        </w:tc>
      </w:tr>
      <w:tr>
        <w:trPr>
          <w:cantSplit/>
        </w:trP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Codex主架构维护</w:t>
            </w:r>
          </w:p>
        </w:tc>
        <w:tc>
          <w:tcPr>
            <w:tcW w:type="dxa" w:w="7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backend/pom.xml、根package.json、module-manifest、路由注册表、统一响应、认证、安全配置、Flyway系统迁移、Compose、Nginx、AGENTS.md</w:t>
            </w:r>
          </w:p>
        </w:tc>
      </w:tr>
      <w:tr>
        <w:trPr>
          <w:cantSplit/>
        </w:trPr>
        <w:tc>
          <w:tcPr>
            <w:tcW w:type="dxa" w:w="24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模块Agent可修改</w:t>
            </w:r>
          </w:p>
        </w:tc>
        <w:tc>
          <w:tcPr>
            <w:tcW w:type="dxa" w:w="72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被分配模块的后端包、对应前端views目录、模块API与模块迁移；必须遵守基线</w:t>
            </w:r>
          </w:p>
        </w:tc>
      </w:tr>
      <w:tr>
        <w:trPr>
          <w:cantSplit/>
        </w:trP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必须先申请</w:t>
            </w:r>
          </w:p>
        </w:tc>
        <w:tc>
          <w:tcPr>
            <w:tcW w:type="dxa" w:w="7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新增顶层目录、修改公共响应、改权限编码、跨模块直连表、增加基础设施依赖、修改已有Flyway脚本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12. 阶段0交付物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100"/>
        <w:gridCol w:w="2300"/>
        <w:gridCol w:w="620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23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交付物</w:t>
            </w:r>
          </w:p>
        </w:tc>
        <w:tc>
          <w:tcPr>
            <w:tcW w:type="dxa" w:w="62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D0-01</w:t>
            </w:r>
          </w:p>
        </w:tc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可运行源码</w:t>
            </w:r>
          </w:p>
        </w:tc>
        <w:tc>
          <w:tcPr>
            <w:tcW w:type="dxa" w:w="6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backend、frontend/internal-web、frontend/supplier-web及共享包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D0-02</w:t>
            </w:r>
          </w:p>
        </w:tc>
        <w:tc>
          <w:tcPr>
            <w:tcW w:type="dxa" w:w="23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数据库基线</w:t>
            </w:r>
          </w:p>
        </w:tc>
        <w:tc>
          <w:tcPr>
            <w:tcW w:type="dxa" w:w="62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Flyway系统迁移、菜单权限种子、开发重建与校验说明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D0-03</w:t>
            </w:r>
          </w:p>
        </w:tc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功能骨架</w:t>
            </w:r>
          </w:p>
        </w:tc>
        <w:tc>
          <w:tcPr>
            <w:tcW w:type="dxa" w:w="6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12一级域、85个V1.0二级占位页、1个隐藏预留、供应商门户九入口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D0-04</w:t>
            </w:r>
          </w:p>
        </w:tc>
        <w:tc>
          <w:tcPr>
            <w:tcW w:type="dxa" w:w="23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身份权限最小闭环</w:t>
            </w:r>
          </w:p>
        </w:tc>
        <w:tc>
          <w:tcPr>
            <w:tcW w:type="dxa" w:w="62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登录/刷新/退出/me、动态菜单、SUPER_ADMIN与SKELETON_VIEWER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D0-05</w:t>
            </w:r>
          </w:p>
        </w:tc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运行部署骨架</w:t>
            </w:r>
          </w:p>
        </w:tc>
        <w:tc>
          <w:tcPr>
            <w:tcW w:type="dxa" w:w="6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Compose、Nginx、环境变量样例、构建和本地运行脚本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D0-06</w:t>
            </w:r>
          </w:p>
        </w:tc>
        <w:tc>
          <w:tcPr>
            <w:tcW w:type="dxa" w:w="23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工程规范</w:t>
            </w:r>
          </w:p>
        </w:tc>
        <w:tc>
          <w:tcPr>
            <w:tcW w:type="dxa" w:w="62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AGENTS.md、开发指南、API/数据库/权限规范和模块边界说明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D0-07</w:t>
            </w:r>
          </w:p>
        </w:tc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质量证据</w:t>
            </w:r>
          </w:p>
        </w:tc>
        <w:tc>
          <w:tcPr>
            <w:tcW w:type="dxa" w:w="6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测试结果、构建结果、菜单路由校验、UI验收和问题清单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12.1 文档落位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3900"/>
        <w:gridCol w:w="5700"/>
      </w:tblGrid>
      <w:tr>
        <w:trPr>
          <w:tblHeader w:val="true"/>
          <w:cantSplit/>
        </w:trPr>
        <w:tc>
          <w:tcPr>
            <w:tcW w:type="dxa" w:w="3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目录</w:t>
            </w:r>
          </w:p>
        </w:tc>
        <w:tc>
          <w:tcPr>
            <w:tcW w:type="dxa" w:w="57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7"/>
              </w:rPr>
              <w:t>阶段0文件</w:t>
            </w:r>
          </w:p>
        </w:tc>
      </w:tr>
      <w:tr>
        <w:trPr>
          <w:cantSplit/>
        </w:trPr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docs/01-业务蓝图与总体设计</w:t>
            </w:r>
          </w:p>
        </w:tc>
        <w:tc>
          <w:tcPr>
            <w:tcW w:type="dxa" w:w="5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保留已通过评审的V1.0总体设计说明书，不在阶段0改写</w:t>
            </w:r>
          </w:p>
        </w:tc>
      </w:tr>
      <w:tr>
        <w:trPr>
          <w:cantSplit/>
        </w:trPr>
        <w:tc>
          <w:tcPr>
            <w:tcW w:type="dxa" w:w="3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docs/02-业务需求与功能规划</w:t>
            </w:r>
          </w:p>
        </w:tc>
        <w:tc>
          <w:tcPr>
            <w:tcW w:type="dxa" w:w="5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执行总表、本阶段任务书、模块清单说明</w:t>
            </w:r>
          </w:p>
        </w:tc>
      </w:tr>
      <w:tr>
        <w:trPr>
          <w:cantSplit/>
        </w:trPr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docs/03-模块详细设计</w:t>
            </w:r>
          </w:p>
        </w:tc>
        <w:tc>
          <w:tcPr>
            <w:tcW w:type="dxa" w:w="5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建立12域索引README；暂不批量编写空白详细设计</w:t>
            </w:r>
          </w:p>
        </w:tc>
      </w:tr>
      <w:tr>
        <w:trPr>
          <w:cantSplit/>
        </w:trPr>
        <w:tc>
          <w:tcPr>
            <w:tcW w:type="dxa" w:w="3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docs/04-接口与数据设计</w:t>
            </w:r>
          </w:p>
        </w:tc>
        <w:tc>
          <w:tcPr>
            <w:tcW w:type="dxa" w:w="57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API规范、数据库规范、权限编码规范、系统表数据字典</w:t>
            </w:r>
          </w:p>
        </w:tc>
      </w:tr>
      <w:tr>
        <w:trPr>
          <w:cantSplit/>
        </w:trPr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7"/>
              </w:rPr>
              <w:t>docs/05-测试验收与运维</w:t>
            </w:r>
          </w:p>
        </w:tc>
        <w:tc>
          <w:tcPr>
            <w:tcW w:type="dxa" w:w="57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7"/>
              </w:rPr>
              <w:t>本地运行手册、阶段0验收记录、构建与恢复说明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13. 验收标准与测试清单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 工程与构建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后端mvn clean test成功；模块边界测试成功。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前端npm ci、lint、typecheck、test、build成功；两个应用均生成独立产物。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scripts/check.sh在干净环境可重复执行，退出码正确。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B. 数据库与启动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空MySQL实例启动时Flyway可完整迁移；重复启动不重复插入菜单或管理员。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Compose所有服务健康；停止再启动数据仍在；开发数据重置步骤明确。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应用缺少生产必要秘密时不会使用不安全默认值继续启动。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C. 登录与权限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SUPER_ADMIN可登录、刷新、退出并获得完整菜单。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SKELETON_VIEWER只看到授权菜单；直接访问未授权路由显示403；调用未授权接口返回403。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失效/撤销令牌不可继续访问；日志不打印令牌和密码。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D. 菜单与页面骨架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内部端显示12个一级域，顺序和名称与蓝图一致；工作台无固定二级侧栏。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85个V1.0二级占位页均有唯一menuCode、route、componentKey和view权限。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阶段7预测与交付计划默认隐藏且直接访问不可用。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所有启用路由可打开并刷新；未知地址404；菜单、面包屑和页面标题一致。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E. 应用边界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供应商端独立构建与访问，不进入内部12域，不复用内部权限判断。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业务模块无真实CRUD、业务表、伪造交易或模拟KPI。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代码搜索不存在旧SCM系统名称、旧包名、旧菜单编码和真实秘密。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F. 文档与可交接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README可让新Agent在不询问隐含规则的情况下构建启动。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AGENTS.md明确受保护文件、模块边界、构建命令和报告格式。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阶段0开发报告列出所有新增/修改文件、命令结果、遗留问题和Git状态。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13.1 阶段出口</w:t>
      </w:r>
    </w:p>
    <w:p>
      <w:pPr>
        <w:spacing w:before="120" w:after="200" w:line="283" w:lineRule="auto"/>
        <w:ind w:left="173" w:right="115"/>
        <w:shd w:fill="ECFDF3"/>
        <w:pBdr>
          <w:left w:val="single" w:sz="20" w:space="8" w:color="166534"/>
        </w:pBdr>
        <w:keepLines/>
      </w:pPr>
      <w:r>
        <w:rPr>
          <w:rFonts w:ascii="Source Han Sans CN" w:hAnsi="Source Han Sans CN" w:eastAsia="Source Han Sans CN" w:cs="Source Han Sans CN"/>
          <w:b/>
          <w:color w:val="166534"/>
          <w:sz w:val="20"/>
        </w:rPr>
        <w:t xml:space="preserve">通过条件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所有必验项通过；后端、两个前端和Compose均可复现；无P0/P1缺陷；没有未说明的架构偏差；Codex复核报告结论为‘通过’。</w:t>
      </w:r>
    </w:p>
    <w:p>
      <w:pPr>
        <w:spacing w:before="120" w:after="200" w:line="283" w:lineRule="auto"/>
        <w:ind w:left="173" w:right="115"/>
        <w:shd w:fill="FEF2F2"/>
        <w:pBdr>
          <w:left w:val="single" w:sz="20" w:space="8" w:color="9B1C1C"/>
        </w:pBdr>
        <w:keepLines/>
      </w:pPr>
      <w:r>
        <w:rPr>
          <w:rFonts w:ascii="Source Han Sans CN" w:hAnsi="Source Han Sans CN" w:eastAsia="Source Han Sans CN" w:cs="Source Han Sans CN"/>
          <w:b/>
          <w:color w:val="9B1C1C"/>
          <w:sz w:val="20"/>
        </w:rPr>
        <w:t xml:space="preserve">不通过条件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任何一级域/二级页面缺失、菜单与路由不一致、后端仅靠前端隐藏鉴权、供应商端与内部端权限混用、构建不可复现或出现真实秘密，均不得进入模块并行开发。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14. 执行约束与交接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14.1 Codex执行约束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执行前记录git status和现有文件，不覆盖用户已有文档或未提交变更。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先完成只读盘点；若目标目录不是空仓库或存在冲突架构，停止并报告，不擅自删除。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每完成一个任务包运行对应最小测试；最终运行全量check。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不提交、不推送、不部署、不清库，除非用户在对应步骤明确授权。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发现任务书与已评审蓝图冲突时，以蓝图业务边界为准并报告，不自行创造第13个一级域。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结束时交付开发报告，不只回复‘已完成’。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14.2 阶段0之后</w:t>
      </w:r>
    </w:p>
    <w:p>
      <w:pPr>
        <w:spacing w:before="0" w:after="12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阶段0通过后，先进入阶段1的平台与数据底座，再按已确认依赖进入供应商、供应源及后续业务模块。可以多Agent并行，但并行单元以已冻结的领域目录为边界。</w:t>
      </w:r>
    </w:p>
    <w:p>
      <w:pPr>
        <w:numPr>
          <w:ilvl w:val="0"/>
          <w:numId w:val="17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Codex保留主架构、公共底座、合并复核和跨模块问题处理职责。</w:t>
      </w:r>
    </w:p>
    <w:p>
      <w:pPr>
        <w:numPr>
          <w:ilvl w:val="0"/>
          <w:numId w:val="17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OpenCode + DeepSeek或其他终端Agent按单一领域领取开发任务，不修改共享基线。</w:t>
      </w:r>
    </w:p>
    <w:p>
      <w:pPr>
        <w:numPr>
          <w:ilvl w:val="0"/>
          <w:numId w:val="17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每个业务模块在编码前补齐对应的模块详细设计、状态机、权限矩阵和数据库字段。</w:t>
      </w:r>
    </w:p>
    <w:p>
      <w:pPr>
        <w:numPr>
          <w:ilvl w:val="0"/>
          <w:numId w:val="17"/>
        </w:numPr>
        <w:spacing w:before="0" w:after="10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IDE Agent负责类型、lint、格式和构建细节检查；最终仍由Codex做跨模块复核。</w:t>
      </w:r>
    </w:p>
    <w:p>
      <w:pPr>
        <w:pStyle w:val="Heading1"/>
        <w:keepNext/>
        <w:keepLines/>
        <w:pageBreakBefore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附录 A　一级、二级菜单与权限编码清单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本附录是阶段0菜单、路由、占位目录和权限种子的直接基线。一级菜单code为MENU_&lt;DOMAIN&gt;；二级菜单code与view权限如下。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A.1　工作台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MENU_WORKBENCH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com.srm.workbench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views/workbench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工作台首页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MENU_WORKBENCH_HOME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/workbench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workbench:home:view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A.2　供应商管理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MENU_SUPPLIER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com.srm.supplier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views/supplier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供应商资源池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MENU_SUPPLIER_POOL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/supplier/pool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supplier:pool:view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注册申请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MENU_SUPPLIER_REGISTRATION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/supplier/registrations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supplier:registration:view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供应商档案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MENU_SUPPLIER_PROFILE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/supplier/profiles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supplier:profile:view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准入与认证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MENU_SUPPLIER_ADMISSION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/supplier/admissions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supplier:admission:view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资质证照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MENU_SUPPLIER_QUALIFICATION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/supplier/qualifications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supplier:qualification:view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复审与变更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MENU_SUPPLIER_REVIEW_CHANGE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/supplier/reviews-changes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supplier:review-change:view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冻结与退出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MENU_SUPPLIER_RESTRICTION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/supplier/restrictions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supplier:restriction:view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供应商用户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MENU_SUPPLIER_USER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/supplier/users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supplier:user:view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A.3　战略寻源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MENU_SOURCING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com.srm.sourcing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views/sourcing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寻源需求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MENU_SOURCING_REQUIREMENT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/sourcing/requirements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sourcing:requirement:view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寻源项目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MENU_SOURCING_PROJECT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/sourcing/projects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sourcing:project:view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RFI/RFQ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MENU_SOURCING_RFX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/sourcing/rfx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sourcing:rfx:view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招投标/竞价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MENU_SOURCING_BID_AUCTION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/sourcing/bids-auctions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sourcing:bid-auction:view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供应商报价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MENU_SOURCING_QUOTATION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/sourcing/quotations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sourcing:quotation:view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澄清答疑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MENU_SOURCING_CLARIFICATION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/sourcing/clarifications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sourcing:clarification:view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评审与定标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MENU_SOURCING_EVALUATION_AWARD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/sourcing/evaluations-awards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sourcing:evaluation-award:view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中选转化任务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MENU_SOURCING_CONVERSION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/sourcing/conversions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sourcing:conversion:view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A.4　合同与价格管理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MENU_CONTRACT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com.srm.contract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views/contract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合同台账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MENU_CONTRACT_CONTRACT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/contract/contracts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contract:contract:view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框架/补充协议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MENU_CONTRACT_AGREEMENT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/contract/agreements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contract:agreement:view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采购依据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MENU_CONTRACT_PURCHASING_BASIS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/contract/purchasing-bases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contract:purchasing-basis:view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价格条件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MENU_CONTRACT_PRICE_CONDITION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/contract/price-conditions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contract:price-condition:view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调价与版本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MENU_CONTRACT_PRICE_VERSION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/contract/price-versions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contract:price-version:view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续签/终止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MENU_CONTRACT_RENEWAL_TERMINATION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/contract/renewals-terminations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contract:renewal-termination:view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履约与临期预警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MENU_CONTRACT_PERFORMANCE_ALERT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/contract/performance-alerts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contract:performance-alert:view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A.5　供应源管理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MENU_SOURCE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com.srm.source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views/source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候选供应源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MENU_SOURCE_CANDIDATE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/supply-source/candidates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source:candidate:view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试制/条件供应源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MENU_SOURCE_TRIAL_CONDITIONAL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/supply-source/trial-conditional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source:trial-conditional:view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正式供应源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MENU_SOURCE_APPROVED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/supply-source/approved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source:approved:view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供应配额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MENU_SOURCE_QUOTA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/supply-source/quotas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source:quota:view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能力与交期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MENU_SOURCE_CAPACITY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/supply-source/capacities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source:capacity:view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限制/暂停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MENU_SOURCE_RESTRICTION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/supply-source/restrictions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source:restriction:view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供应源变更历史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MENU_SOURCE_HISTORY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/supply-source/history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source:history:view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A.6　采购协同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MENU_PROCUREMENT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com.srm.procurement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views/procurement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采购需求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MENU_PROCUREMENT_REQUIREMENT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/procurement/requirements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procurement:requirement:view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供应源匹配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MENU_PROCUREMENT_MATCHING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/procurement/matching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procurement:matching:view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需求缺口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MENU_PROCUREMENT_GAP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/procurement/gaps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procurement:gap:view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需求分配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MENU_PROCUREMENT_ALLOCATION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/procurement/allocations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procurement:allocation:view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采购订单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MENU_PROCUREMENT_PURCHASE_ORDER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/procurement/purchase-orders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procurement:purchase-order:view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订单确认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MENU_PROCUREMENT_CONFIRMATION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/procurement/confirmations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procurement:confirmation:view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订单变更/取消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MENU_PROCUREMENT_CHANGE_CANCEL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/procurement/changes-cancellations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procurement:change-cancel:view</w:t>
            </w:r>
          </w:p>
        </w:tc>
      </w:tr>
    </w:tbl>
    <w:p>
      <w:pPr>
        <w:spacing w:after="40"/>
      </w:pPr>
    </w:p>
    <w:p>
      <w:pPr>
        <w:spacing w:before="120" w:after="200" w:line="283" w:lineRule="auto"/>
        <w:ind w:left="173" w:right="115"/>
        <w:shd w:fill="FFF8E6"/>
        <w:pBdr>
          <w:left w:val="single" w:sz="20" w:space="8" w:color="8A6116"/>
        </w:pBdr>
        <w:keepLines/>
      </w:pPr>
      <w:r>
        <w:rPr>
          <w:rFonts w:ascii="Source Han Sans CN" w:hAnsi="Source Han Sans CN" w:eastAsia="Source Han Sans CN" w:cs="Source Han Sans CN"/>
          <w:b/>
          <w:color w:val="8A6116"/>
          <w:sz w:val="20"/>
        </w:rPr>
        <w:t xml:space="preserve">隐藏预留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预测与交付计划：MENU_PROCUREMENT_FORECAST_PLAN；/procurement/forecast-plans；procurement:forecast-plan:view。阶段7，默认隐藏且不生成可访问页面。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A.7　交付与收货协同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MENU_DELIVERY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com.srm.delivery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views/delivery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交付计划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MENU_DELIVERY_PLAN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/delivery/plans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delivery:plan:view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ASN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MENU_DELIVERY_ASN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/delivery/asn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delivery:asn:view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包装与标签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MENU_DELIVERY_PACKAGING_LABEL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/delivery/packaging-labels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delivery:packaging-label:view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发运/在途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MENU_DELIVERY_SHIPMENT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/delivery/shipments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delivery:shipment:view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到货预约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MENU_DELIVERY_APPOINTMENT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/delivery/appointments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delivery:appointment:view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收货反馈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MENU_DELIVERY_RECEIPT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/delivery/receipts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delivery:receipt:view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数量差异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MENU_DELIVERY_QUANTITY_DIFFERENCE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/delivery/quantity-differences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delivery:quantity-difference:view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退货发运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MENU_DELIVERY_RETURN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/delivery/returns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delivery:return:view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A.8　供应商质量管理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MENU_QUALITY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com.srm.quality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views/quality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审核计划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MENU_QUALITY_AUDIT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/quality/audits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quality:audit:view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物料资格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MENU_QUALITY_MATERIAL_QUALIFICATION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/quality/material-qualifications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quality:material-qualification:view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样件/试制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MENU_QUALITY_SAMPLE_TRIAL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/quality/samples-trials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quality:sample-trial:view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量产认可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MENU_QUALITY_PRODUCTION_APPROVAL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/quality/production-approvals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quality:production-approval:view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检验结果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MENU_QUALITY_INSPECTION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/quality/inspections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quality:inspection:view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质量异常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MENU_QUALITY_ISSUE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/quality/issues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quality:issue:view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SCAR/8D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MENU_QUALITY_SCAR_8D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/quality/scar-8d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quality:scar-8d:view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退货/返工/复验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MENU_QUALITY_REWORK_REINSPECTION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/quality/rework-reinspection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quality:rework-reinspection:view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供应商变更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MENU_QUALITY_SUPPLIER_CHANGE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/quality/supplier-changes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quality:supplier-change:view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A.9　对账与结算协同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MENU_SETTLEMENT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com.srm.settlement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views/settlement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对账单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MENU_SETTLEMENT_RECONCILIATION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/settlement/reconciliations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settlement:reconciliation:view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差异处理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MENU_SETTLEMENT_DIFFERENCE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/settlement/differences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settlement:difference:view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发票协同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MENU_SETTLEMENT_INVOICE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/settlement/invoices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settlement:invoice:view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请款材料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MENU_SETTLEMENT_PAYMENT_REQUEST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/settlement/payment-requests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settlement:payment-request:view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应付状态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MENU_SETTLEMENT_PAYABLE_STATUS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/settlement/payable-status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settlement:payable-status:view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付款结果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MENU_SETTLEMENT_PAYMENT_RESULT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/settlement/payment-results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settlement:payment-result:view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A.10　绩效与风险管理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MENU_PERFORMANCE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com.srm.performance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views/performance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指标模型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MENU_PERFORMANCE_INDICATOR_MODEL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/performance/indicator-models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performance:indicator-model:view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绩效评分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MENU_PERFORMANCE_SCORE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/performance/scores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performance:score:view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评级结果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MENU_PERFORMANCE_RATING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/performance/ratings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performance:rating:view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风险台账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MENU_PERFORMANCE_RISK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/performance/risks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performance:risk:view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预警事件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MENU_PERFORMANCE_ALERT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/performance/alerts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performance:alert:view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改善计划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MENU_PERFORMANCE_IMPROVEMENT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/performance/improvements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performance:improvement:view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供应决策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MENU_PERFORMANCE_SUPPLY_DECISION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/performance/supply-decisions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performance:supply-decision:view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第二供应源计划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MENU_PERFORMANCE_SECOND_SOURCE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/performance/second-source-plans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performance:second-source:view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A.11　基础数据中心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MENU_MASTERDATA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com.srm.masterdata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views/masterdata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企业组织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MENU_MASTERDATA_ORGANIZATION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/master-data/organizations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masterdata:organization:view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采购组织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MENU_MASTERDATA_PURCHASING_ORG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/master-data/purchasing-organizations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masterdata:purchasing-organization:view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工厂/收货地点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MENU_MASTERDATA_PLANT_RECEIVING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/master-data/plants-receiving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masterdata:plant-receiving:view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物料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MENU_MASTERDATA_MATERIAL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/master-data/materials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masterdata:material:view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品类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MENU_MASTERDATA_CATEGORY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/master-data/categories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masterdata:category:view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单位/币种/税码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MENU_MASTERDATA_UNIT_CURRENCY_TAX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/master-data/units-currencies-taxes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masterdata:unit-currency-tax:view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交付地点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MENU_MASTERDATA_DELIVERY_LOCATION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/master-data/delivery-locations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masterdata:delivery-location:view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外围映射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MENU_MASTERDATA_EXTERNAL_MAPPING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/master-data/external-mappings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masterdata:external-mapping:view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A.12　系统管理</w:t>
      </w:r>
    </w:p>
    <w:p>
      <w:pPr>
        <w:spacing w:before="0" w:after="10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一级菜单：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MENU_SYSTEM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后端包：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 xml:space="preserve">com.srm.system　</w:t>
      </w:r>
      <w:r>
        <w:rPr>
          <w:rFonts w:ascii="Source Han Sans CN" w:hAnsi="Source Han Sans CN" w:eastAsia="Source Han Sans CN" w:cs="Source Han Sans CN"/>
          <w:b/>
          <w:i w:val="0"/>
          <w:color w:val="17365D"/>
          <w:sz w:val="21"/>
        </w:rPr>
        <w:t>前端目录：</w:t>
      </w: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views/system</w:t>
      </w:r>
    </w:p>
    <w:tbl>
      <w:tblPr>
        <w:tblW w:type="dxa" w:w="96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0DC"/>
          <w:left w:val="single" w:sz="5" w:space="0" w:color="C7D0DC"/>
          <w:bottom w:val="single" w:sz="5" w:space="0" w:color="C7D0DC"/>
          <w:right w:val="single" w:sz="5" w:space="0" w:color="C7D0DC"/>
          <w:insideH w:val="single" w:sz="5" w:space="0" w:color="C7D0DC"/>
          <w:insideV w:val="single" w:sz="5" w:space="0" w:color="C7D0DC"/>
        </w:tblBorders>
      </w:tblPr>
      <w:tblGrid>
        <w:gridCol w:w="1900"/>
        <w:gridCol w:w="2600"/>
        <w:gridCol w:w="2600"/>
        <w:gridCol w:w="25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二级功能/页面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menu_code</w:t>
            </w:r>
          </w:p>
        </w:tc>
        <w:tc>
          <w:tcPr>
            <w:tcW w:type="dxa" w:w="26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500"/>
            <w:shd w:fill="E8EEF5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7365D"/>
                <w:sz w:val="15"/>
              </w:rPr>
              <w:t>view权限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用户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MENU_SYSTEM_USER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/system/users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system:user:view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角色与挂载用户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MENU_SYSTEM_ROLE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/system/roles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system:role:view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权限与数据域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MENU_SYSTEM_PERMISSION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/system/permissions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system:permission:view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流程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MENU_SYSTEM_WORKFLOW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/system/workflows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system:workflow:view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字典参数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MENU_SYSTEM_DICTIONARY_PARAMETER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/system/dictionaries-parameters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system:dictionary-parameter:view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模板附件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MENU_SYSTEM_TEMPLATE_ATTACHMENT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/system/templates-attachments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system:template-attachment:view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消息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MENU_SYSTEM_MESSAGE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/system/messages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system:message:view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审计日志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MENU_SYSTEM_AUDIT_LOG</w:t>
            </w:r>
          </w:p>
        </w:tc>
        <w:tc>
          <w:tcPr>
            <w:tcW w:type="dxa" w:w="26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/system/audit-logs</w:t>
            </w:r>
          </w:p>
        </w:tc>
        <w:tc>
          <w:tcPr>
            <w:tcW w:type="dxa" w:w="2500"/>
            <w:shd w:fill="FAFB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system:audit-log:view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1F2937"/>
                <w:sz w:val="15"/>
              </w:rPr>
              <w:t>接口与任务监控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MENU_SYSTEM_INTEGRATION_JOB</w:t>
            </w:r>
          </w:p>
        </w:tc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/system/integrations-jobs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1F2937"/>
                <w:sz w:val="15"/>
              </w:rPr>
              <w:t>system:integration-job:view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附录 B　前端占位页目录规则</w:t>
      </w:r>
    </w:p>
    <w:p>
      <w:pPr>
        <w:spacing w:before="0" w:after="160" w:line="293" w:lineRule="auto"/>
        <w:jc w:val="left"/>
        <w:keepLines/>
      </w:pPr>
      <w:r>
        <w:rPr>
          <w:rFonts w:ascii="Source Han Sans CN" w:hAnsi="Source Han Sans CN" w:eastAsia="Source Han Sans CN" w:cs="Source Han Sans CN"/>
          <w:b w:val="0"/>
          <w:i w:val="0"/>
          <w:color w:val="1F2937"/>
          <w:sz w:val="21"/>
        </w:rPr>
        <w:t>每个二级页面目录根据模块key与resource生成。下面给出三个完整示例；其余页面按附录A同一规则生成并由validate-skeleton校验。</w:t>
      </w:r>
    </w:p>
    <w:p>
      <w:pPr>
        <w:spacing w:before="40" w:after="200" w:line="259" w:lineRule="auto"/>
        <w:ind w:left="144" w:right="72"/>
        <w:shd w:fill="F7F8FA"/>
        <w:pBdr>
          <w:left w:val="single" w:sz="20" w:space="8" w:color="C7D0DC"/>
        </w:pBdr>
        <w:keepLines/>
      </w:pPr>
      <w:r>
        <w:rPr>
          <w:rFonts w:ascii="Noto Sans SC" w:hAnsi="Noto Sans SC" w:eastAsia="Noto Sans SC" w:cs="Noto Sans SC"/>
          <w:color w:val="1F2937"/>
          <w:sz w:val="16"/>
        </w:rPr>
        <w:t>frontend/apps/internal-web/src/views/supplier/profile/index.vue</w:t>
        <w:br/>
      </w:r>
      <w:r>
        <w:rPr>
          <w:rFonts w:ascii="Noto Sans SC" w:hAnsi="Noto Sans SC" w:eastAsia="Noto Sans SC" w:cs="Noto Sans SC"/>
          <w:color w:val="1F2937"/>
          <w:sz w:val="16"/>
        </w:rPr>
        <w:t>frontend/apps/internal-web/src/views/sourcing/evaluation-award/index.vue</w:t>
        <w:br/>
      </w:r>
      <w:r>
        <w:rPr>
          <w:rFonts w:ascii="Noto Sans SC" w:hAnsi="Noto Sans SC" w:eastAsia="Noto Sans SC" w:cs="Noto Sans SC"/>
          <w:color w:val="1F2937"/>
          <w:sz w:val="16"/>
        </w:rPr>
        <w:t>frontend/apps/internal-web/src/views/quality/scar-8d/index.vue</w:t>
        <w:br/>
      </w:r>
      <w:r>
        <w:rPr>
          <w:rFonts w:ascii="Noto Sans SC" w:hAnsi="Noto Sans SC" w:eastAsia="Noto Sans SC" w:cs="Noto Sans SC"/>
          <w:color w:val="1F2937"/>
          <w:sz w:val="16"/>
        </w:rPr>
        <w:t>frontend/apps/internal-web/src/views/system/role/index.vue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/>
          <w:color w:val="1F4E78"/>
          <w:sz w:val="26"/>
        </w:rPr>
        <w:t>B.1 component_key规则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component_key使用&lt;module&gt;/&lt;resource&gt;/index，例如supplier/profile/index。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route-registry显式导入每个component_key，构建时即可发现缺失文件。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menu_code、route、component_key和permission不得由页面运行时猜测或拼接。</w:t>
      </w:r>
    </w:p>
    <w:p>
      <w:pPr>
        <w:numPr>
          <w:ilvl w:val="0"/>
          <w:numId w:val="10"/>
        </w:numPr>
        <w:spacing w:before="0" w:after="80" w:line="293" w:lineRule="auto"/>
        <w:keepLines/>
      </w:pPr>
      <w:r>
        <w:rPr>
          <w:rFonts w:ascii="Source Han Sans CN" w:hAnsi="Source Han Sans CN" w:eastAsia="Source Han Sans CN" w:cs="Source Han Sans CN"/>
          <w:color w:val="1F2937"/>
          <w:sz w:val="21"/>
        </w:rPr>
        <w:t>同一resource若后续拆列表/详情，二级菜单仍指向列表入口，详情使用隐藏路由并继承权限。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/>
          <w:color w:val="1F4E78"/>
          <w:sz w:val="32"/>
        </w:rPr>
        <w:t>附录 C　阶段0开发报告模板</w:t>
      </w:r>
    </w:p>
    <w:p>
      <w:pPr>
        <w:spacing w:before="40" w:after="200" w:line="259" w:lineRule="auto"/>
        <w:ind w:left="144" w:right="72"/>
        <w:shd w:fill="F7F8FA"/>
        <w:pBdr>
          <w:left w:val="single" w:sz="20" w:space="8" w:color="C7D0DC"/>
        </w:pBdr>
        <w:keepLines/>
      </w:pPr>
      <w:r>
        <w:rPr>
          <w:rFonts w:ascii="Noto Sans SC" w:hAnsi="Noto Sans SC" w:eastAsia="Noto Sans SC" w:cs="Noto Sans SC"/>
          <w:color w:val="1F2937"/>
          <w:sz w:val="16"/>
        </w:rPr>
        <w:t>《阶段0：SRM系统工程架构与功能骨架搭建开发报告》</w:t>
        <w:br/>
      </w:r>
      <w:r>
        <w:rPr>
          <w:rFonts w:ascii="Noto Sans SC" w:hAnsi="Noto Sans SC" w:eastAsia="Noto Sans SC" w:cs="Noto Sans SC"/>
          <w:color w:val="1F2937"/>
          <w:sz w:val="16"/>
        </w:rPr>
        <w:t>1. 执行结论：通过 / 需整改 / 受阻</w:t>
        <w:br/>
      </w:r>
      <w:r>
        <w:rPr>
          <w:rFonts w:ascii="Noto Sans SC" w:hAnsi="Noto Sans SC" w:eastAsia="Noto Sans SC" w:cs="Noto Sans SC"/>
          <w:color w:val="1F2937"/>
          <w:sz w:val="16"/>
        </w:rPr>
        <w:t>2. 执行前后Git状态：分支、HEAD、未跟踪/未提交文件</w:t>
        <w:br/>
      </w:r>
      <w:r>
        <w:rPr>
          <w:rFonts w:ascii="Noto Sans SC" w:hAnsi="Noto Sans SC" w:eastAsia="Noto Sans SC" w:cs="Noto Sans SC"/>
          <w:color w:val="1F2937"/>
          <w:sz w:val="16"/>
        </w:rPr>
        <w:t>3. 实际新增文件：按backend、frontend、database、deploy、docs、scripts分组</w:t>
        <w:br/>
      </w:r>
      <w:r>
        <w:rPr>
          <w:rFonts w:ascii="Noto Sans SC" w:hAnsi="Noto Sans SC" w:eastAsia="Noto Sans SC" w:cs="Noto Sans SC"/>
          <w:color w:val="1F2937"/>
          <w:sz w:val="16"/>
        </w:rPr>
        <w:t>4. 实际修改文件：说明修改原因，确认未覆盖用户文件</w:t>
        <w:br/>
      </w:r>
      <w:r>
        <w:rPr>
          <w:rFonts w:ascii="Noto Sans SC" w:hAnsi="Noto Sans SC" w:eastAsia="Noto Sans SC" w:cs="Noto Sans SC"/>
          <w:color w:val="1F2937"/>
          <w:sz w:val="16"/>
        </w:rPr>
        <w:t>5. 架构实现：模块目录、菜单数量、页面数量、权限种子、双前端边界</w:t>
        <w:br/>
      </w:r>
      <w:r>
        <w:rPr>
          <w:rFonts w:ascii="Noto Sans SC" w:hAnsi="Noto Sans SC" w:eastAsia="Noto Sans SC" w:cs="Noto Sans SC"/>
          <w:color w:val="1F2937"/>
          <w:sz w:val="16"/>
        </w:rPr>
        <w:t>6. 验证命令与结果：mvn、npm、校验脚本、Compose、健康检查</w:t>
        <w:br/>
      </w:r>
      <w:r>
        <w:rPr>
          <w:rFonts w:ascii="Noto Sans SC" w:hAnsi="Noto Sans SC" w:eastAsia="Noto Sans SC" w:cs="Noto Sans SC"/>
          <w:color w:val="1F2937"/>
          <w:sz w:val="16"/>
        </w:rPr>
        <w:t>7. 人工验收：登录、菜单、403/404、刷新、供应商端边界</w:t>
        <w:br/>
      </w:r>
      <w:r>
        <w:rPr>
          <w:rFonts w:ascii="Noto Sans SC" w:hAnsi="Noto Sans SC" w:eastAsia="Noto Sans SC" w:cs="Noto Sans SC"/>
          <w:color w:val="1F2937"/>
          <w:sz w:val="16"/>
        </w:rPr>
        <w:t>8. 安全检查：秘密扫描、日志脱敏、默认密码与生产配置</w:t>
        <w:br/>
      </w:r>
      <w:r>
        <w:rPr>
          <w:rFonts w:ascii="Noto Sans SC" w:hAnsi="Noto Sans SC" w:eastAsia="Noto Sans SC" w:cs="Noto Sans SC"/>
          <w:color w:val="1F2937"/>
          <w:sz w:val="16"/>
        </w:rPr>
        <w:t>9. 偏差与遗留问题：影响、临时处理、建议责任阶段</w:t>
        <w:br/>
      </w:r>
      <w:r>
        <w:rPr>
          <w:rFonts w:ascii="Noto Sans SC" w:hAnsi="Noto Sans SC" w:eastAsia="Noto Sans SC" w:cs="Noto Sans SC"/>
          <w:color w:val="1F2937"/>
          <w:sz w:val="16"/>
        </w:rPr>
        <w:t>10. 未执行事项：提交、推送、服务器部署、数据删除等</w:t>
        <w:br/>
      </w:r>
      <w:r>
        <w:rPr>
          <w:rFonts w:ascii="Noto Sans SC" w:hAnsi="Noto Sans SC" w:eastAsia="Noto Sans SC" w:cs="Noto Sans SC"/>
          <w:color w:val="1F2937"/>
          <w:sz w:val="16"/>
        </w:rPr>
        <w:t>11. 下一步建议：是否允许进入阶段1</w:t>
      </w:r>
    </w:p>
    <w:p>
      <w:pPr>
        <w:spacing w:before="120" w:after="200" w:line="283" w:lineRule="auto"/>
        <w:ind w:left="173" w:right="115"/>
        <w:shd w:fill="F4F7FB"/>
        <w:pBdr>
          <w:left w:val="single" w:sz="20" w:space="8" w:color="1F4E78"/>
        </w:pBdr>
        <w:keepLines/>
      </w:pPr>
      <w:r>
        <w:rPr>
          <w:rFonts w:ascii="Source Han Sans CN" w:hAnsi="Source Han Sans CN" w:eastAsia="Source Han Sans CN" w:cs="Source Han Sans CN"/>
          <w:b/>
          <w:color w:val="1F4E78"/>
          <w:sz w:val="20"/>
        </w:rPr>
        <w:t xml:space="preserve">报告要求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所有数量必须来自校验脚本或实际文件统计；不得以‘大致完成’代替构建、权限和页面证据。</w:t>
      </w:r>
    </w:p>
    <w:p>
      <w:pPr>
        <w:spacing w:before="120" w:after="200" w:line="283" w:lineRule="auto"/>
        <w:ind w:left="173" w:right="115"/>
        <w:shd w:fill="ECFDF3"/>
        <w:pBdr>
          <w:left w:val="single" w:sz="20" w:space="8" w:color="166534"/>
        </w:pBdr>
        <w:keepLines/>
      </w:pPr>
      <w:r>
        <w:rPr>
          <w:rFonts w:ascii="Source Han Sans CN" w:hAnsi="Source Han Sans CN" w:eastAsia="Source Han Sans CN" w:cs="Source Han Sans CN"/>
          <w:b/>
          <w:color w:val="166534"/>
          <w:sz w:val="20"/>
        </w:rPr>
        <w:t xml:space="preserve">文档结束　</w:t>
      </w:r>
      <w:r>
        <w:rPr>
          <w:rFonts w:ascii="Source Han Sans CN" w:hAnsi="Source Han Sans CN" w:eastAsia="Source Han Sans CN" w:cs="Source Han Sans CN"/>
          <w:color w:val="1F2937"/>
          <w:sz w:val="20"/>
        </w:rPr>
        <w:t>本任务书确认后，Codex可按S0-01至S0-08顺序在全新srm-system仓库执行阶段0。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152" w:right="1152" w:bottom="1152" w:left="1152" w:header="547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600"/>
      <w:jc w:val="left"/>
      <w:tblLayout w:type="fixed"/>
      <w:tblLook w:firstColumn="1" w:firstRow="1" w:lastColumn="0" w:lastRow="0" w:noHBand="0" w:noVBand="1" w:val="04A0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500"/>
      <w:gridCol w:w="3100"/>
    </w:tblGrid>
    <w:tr>
      <w:tc>
        <w:tcPr>
          <w:tcW w:type="dxa" w:w="6500"/>
          <w:tcMar>
            <w:top w:w="85" w:type="dxa"/>
            <w:start w:w="120" w:type="dxa"/>
            <w:bottom w:w="85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Source Han Sans CN" w:hAnsi="Source Han Sans CN" w:eastAsia="Source Han Sans CN" w:cs="Source Han Sans CN"/>
              <w:color w:val="667085"/>
              <w:sz w:val="17"/>
            </w:rPr>
            <w:t>V1.0 开发执行版　｜　工程架构基线</w:t>
          </w:r>
        </w:p>
      </w:tc>
      <w:tc>
        <w:tcPr>
          <w:tcW w:type="dxa" w:w="3100"/>
          <w:tcMar>
            <w:top w:w="85" w:type="dxa"/>
            <w:start w:w="120" w:type="dxa"/>
            <w:bottom w:w="85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Source Han Sans CN" w:hAnsi="Source Han Sans CN" w:eastAsia="Source Han Sans CN" w:cs="Source Han Sans CN"/>
              <w:color w:val="667085"/>
              <w:sz w:val="17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Source Han Sans CN" w:hAnsi="Source Han Sans CN" w:eastAsia="Source Han Sans CN" w:cs="Source Han Sans CN"/>
              <w:color w:val="667085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Source Han Sans CN" w:hAnsi="Source Han Sans CN" w:eastAsia="Source Han Sans CN" w:cs="Source Han Sans CN"/>
        <w:color w:val="667085"/>
        <w:sz w:val="17"/>
      </w:rPr>
      <w:t>SRM 供应商协同管理系统　|　阶段0开发任务书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Noto Sans SC" w:hAnsi="Noto Sans SC" w:eastAsia="Noto Sans SC" w:cs="Noto Sans SC"/>
        <w:color w:val="1F4E78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Noto Sans SC" w:hAnsi="Noto Sans SC" w:eastAsia="Noto Sans SC" w:cs="Noto Sans SC"/>
        <w:color w:val="1F2937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Noto Sans SC" w:hAnsi="Noto Sans SC" w:eastAsia="Noto Sans SC" w:cs="Noto Sans SC"/>
        <w:color w:val="1F4E78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Noto Sans SC" w:hAnsi="Noto Sans SC" w:eastAsia="Noto Sans SC" w:cs="Noto Sans SC"/>
        <w:color w:val="1F2937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Noto Sans SC" w:hAnsi="Noto Sans SC" w:eastAsia="Noto Sans SC" w:cs="Noto Sans SC"/>
        <w:color w:val="1F4E78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Noto Sans SC" w:hAnsi="Noto Sans SC" w:eastAsia="Noto Sans SC" w:cs="Noto Sans SC"/>
        <w:color w:val="1F2937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Noto Sans SC" w:hAnsi="Noto Sans SC" w:eastAsia="Noto Sans SC" w:cs="Noto Sans SC"/>
        <w:color w:val="1F4E78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Noto Sans SC" w:hAnsi="Noto Sans SC" w:eastAsia="Noto Sans SC" w:cs="Noto Sans SC"/>
        <w:color w:val="1F2937"/>
      </w:r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Noto Sans SC" w:hAnsi="Noto Sans SC" w:eastAsia="Noto Sans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69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ueprintCaption">
    <w:name w:val="Blueprint Caption"/>
    <w:pPr>
      <w:keepNext/>
      <w:spacing w:before="60" w:after="180"/>
      <w:jc w:val="center"/>
    </w:pPr>
    <w:rPr>
      <w:rFonts w:ascii="Noto Sans SC" w:hAnsi="Noto Sans SC" w:eastAsia="Noto Sans SC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SRM V1.0 阶段0：系统工程架构与功能骨架搭建任务书</dc:title>
  <dc:subject>新建SRM系统前后端分离、模块化单体、12域菜单与权限骨架开发任务</dc:subject>
  <dc:creator>SRM项目组</dc:creator>
  <cp:keywords>SRM,阶段0,工程架构,功能骨架,前后端分离,模块化单体</cp:keywords>
  <dc:description>V1.0 开发执行版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