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GET 324 ASSIGNMENT</w:t>
      </w:r>
    </w:p>
    <w:p>
      <w:pPr>
        <w:jc w:val="center"/>
      </w:pPr>
      <w:r>
        <w:rPr>
          <w:b/>
          <w:bCs/>
          <w:sz w:val="24"/>
          <w:szCs w:val="24"/>
        </w:rPr>
        <w:t xml:space="preserve">Laboratory Exercise 10 (Mini-Project) — Brief Report</w:t>
      </w:r>
    </w:p>
    <w:p>
      <w:pPr>
        <w:jc w:val="center"/>
      </w:pPr>
      <w:r>
        <w:rPr>
          <w:i/>
          <w:iCs/>
          <w:sz w:val="22"/>
          <w:szCs w:val="22"/>
        </w:rPr>
        <w:t xml:space="preserve">Binary Image Classification: Vitiligo vs Unknown</w:t>
      </w:r>
    </w:p>
    <w:p/>
    <w:p>
      <w:pPr>
        <w:pStyle w:val="Heading2"/>
      </w:pPr>
      <w:r>
        <w:t xml:space="preserve">Dataset Source</w:t>
      </w:r>
    </w:p>
    <w:p>
      <w:r>
        <w:rPr>
          <w:sz w:val="22"/>
          <w:szCs w:val="22"/>
        </w:rPr>
        <w:t xml:space="preserve">We used a real, publicly available dermatology image dataset from Kaggle ("Vitiligo", shinynose, https://www.kaggle.com/datasets/shinynose/vitiligo), comprising 3,628 clinical/dermatology-atlas images across two classes: Vitiligo and Healthy. The Healthy class was relabeled Unknown to match this assignment's binary naming convention. No synthetic or generated images were used at any stage.</w:t>
      </w:r>
    </w:p>
    <w:p/>
    <w:p>
      <w:pPr>
        <w:pStyle w:val="Heading2"/>
      </w:pPr>
      <w:r>
        <w:t xml:space="preserve">How to Use the Application</w:t>
      </w:r>
    </w:p>
    <w:p>
      <w:r>
        <w:rPr>
          <w:sz w:val="22"/>
          <w:szCs w:val="22"/>
        </w:rPr>
        <w:t xml:space="preserve">The trained model is served through a Streamlit web application. A user opens the deployed app URL, uploads a close-up image of a skin area (JPG/PNG), and the app returns a predicted label — Vitiligo or Unknown — together with a confidence score and a probability breakdown for both classes. The app also displays a clear disclaimer that it is an educational demonstration, not a diagnostic tool.</w:t>
      </w:r>
    </w:p>
    <w:p/>
    <w:p>
      <w:pPr>
        <w:pStyle w:val="Heading2"/>
      </w:pPr>
      <w:r>
        <w:t xml:space="preserve">Challenges Encountered and Solutions</w:t>
      </w:r>
    </w:p>
    <w:p>
      <w:r>
        <w:rPr>
          <w:sz w:val="22"/>
          <w:szCs w:val="22"/>
        </w:rPr>
        <w:t xml:space="preserve">Class imbalance and visual overlap between vitiligo and other hypopigmentation conditions initially reduced precision. We addressed this with data augmentation (flips, rotation, zoom, contrast jitter), a two-phase MobileNetV2 transfer-learning strategy (frozen feature extraction followed by fine-tuning), and AUC-based checkpointing/early stopping to avoid overfitting on a moderately sized dataset. Deployment-side, the model size was kept Streamlit-Cloud-friendly by using MobileNetV2 rather than a larger backbone. Possible future improvements include collecting more diverse images across skin tones, adding Grad-CAM explainability, and extending to multi-class differential diagnosis.</w:t>
      </w:r>
    </w:p>
    <w:p/>
    <w:p>
      <w:pPr>
        <w:pStyle w:val="Heading2"/>
      </w:pPr>
      <w:r>
        <w:t xml:space="preserve">Team Members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360"/>
        <w:gridCol w:w="2000"/>
      </w:tblGrid>
      <w:tr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Registration Number</w:t>
            </w:r>
          </w:p>
        </w:tc>
        <w:tc>
          <w:tcPr>
            <w:tcW w:type="dxa" w:w="23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GitHub Username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360"/>
          </w:tcPr>
          <w:p>
            <w:r>
              <w:rPr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______________________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360"/>
          </w:tcPr>
          <w:p>
            <w:r>
              <w:rPr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______________________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360"/>
          </w:tcPr>
          <w:p>
            <w:r>
              <w:rPr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______________________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360"/>
          </w:tcPr>
          <w:p>
            <w:r>
              <w:rPr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______________________</w:t>
            </w:r>
          </w:p>
        </w:tc>
      </w:tr>
    </w:tbl>
    <w:p/>
    <w:p>
      <w:r>
        <w:rPr>
          <w:i/>
          <w:iCs/>
          <w:color w:val="888888"/>
          <w:sz w:val="18"/>
          <w:szCs w:val="18"/>
        </w:rPr>
        <w:t xml:space="preserve">Note: Built strictly for an academic engineering course exercise. This model and application are not validated medical devices and must not be used for real clinical decisions.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2026-07-30T08:17:24.278Z</dcterms:created>
  <dcterms:modified xsi:type="dcterms:W3CDTF">2026-07-30T08:17:24.292Z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