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metodológico — Selección de K y estabilidad LDA</w:t>
      </w:r>
    </w:p>
    <w:p>
      <w:r>
        <w:t xml:space="preserve">Documento para double-check / respuesta a colaboradores: </w:t>
      </w:r>
      <w:r>
        <w:rPr>
          <w:b/>
        </w:rPr>
        <w:t>qué se ha hecho, en qué orden, con qué datos y qué significa cada métrica</w:t>
      </w:r>
      <w:r>
        <w:t>.</w:t>
      </w:r>
    </w:p>
    <w:p>
      <w:r>
        <w:rPr>
          <w:b/>
        </w:rPr>
        <w:t>Entrega canónica (corpus reconciliado CNIO/DB1):</w:t>
      </w:r>
      <w:r>
        <w:t xml:space="preserve"> </w:t>
      </w:r>
      <w:r>
        <w:rPr>
          <w:rFonts w:ascii="Consolas" w:hAnsi="Consolas"/>
          <w:color w:val="333333"/>
          <w:sz w:val="18"/>
        </w:rPr>
        <w:t>results/lda/stability/</w:t>
      </w:r>
    </w:p>
    <w:p>
      <w:r>
        <w:rPr>
          <w:b/>
        </w:rPr>
        <w:t>Embeddings:</w:t>
      </w:r>
      <w:r>
        <w:t xml:space="preserve"> </w:t>
      </w:r>
      <w:r>
        <w:rPr>
          <w:rFonts w:ascii="Consolas" w:hAnsi="Consolas"/>
          <w:color w:val="333333"/>
          <w:sz w:val="18"/>
        </w:rPr>
        <w:t>data/processed/lda/user_embeddings_from_pkl.csv</w:t>
      </w:r>
    </w:p>
    <w:p>
      <w:r>
        <w:rPr>
          <w:b/>
        </w:rPr>
        <w:t>Daily upstream:</w:t>
      </w:r>
      <w:r>
        <w:t xml:space="preserve"> </w:t>
      </w:r>
      <w:r>
        <w:rPr>
          <w:rFonts w:ascii="Consolas" w:hAnsi="Consolas"/>
          <w:color w:val="333333"/>
          <w:sz w:val="18"/>
        </w:rPr>
        <w:t>data/revision/daily_summary_oficial_filtrado_rangos_CNIO_dedup_vqclip.csv</w:t>
      </w:r>
    </w:p>
    <w:p>
      <w:r>
        <w:rPr>
          <w:b/>
        </w:rPr>
        <w:t>Referencia LDA:</w:t>
      </w:r>
      <w:r>
        <w:t xml:space="preserve"> publicada (</w:t>
      </w:r>
      <w:r>
        <w:rPr>
          <w:rFonts w:ascii="Consolas" w:hAnsi="Consolas"/>
          <w:color w:val="333333"/>
          <w:sz w:val="18"/>
        </w:rPr>
        <w:t>LDA_model_vdec25</w:t>
      </w:r>
      <w:r>
        <w:t>), sin reentrenar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0. Decisión operativa</w:t>
      </w:r>
    </w:p>
    <w:p>
      <w:r>
        <w:t xml:space="preserve">Análisis </w:t>
      </w:r>
      <w:r>
        <w:rPr>
          <w:b/>
        </w:rPr>
        <w:t>único</w:t>
      </w:r>
      <w:r>
        <w:t xml:space="preserve"> sobre embeddings reconciliados. El LDA de referencia permanece el </w:t>
      </w:r>
      <w:r>
        <w:rPr>
          <w:b/>
        </w:rPr>
        <w:t>publicado</w:t>
      </w:r>
      <w:r>
        <w:t xml:space="preserve"> (entrenado históricamente); no se reentrena. La prueba de estabilidad sobre las nuevas fechas es consistente con ese modelo, así que se mantiene como ancla de temas / F–U / pUF del paper y alarmas.</w:t>
      </w:r>
    </w:p>
    <w:p>
      <w:pPr>
        <w:pStyle w:val="Heading1"/>
      </w:pPr>
      <w:r>
        <w:t>1. Objetivo</w:t>
      </w:r>
    </w:p>
    <w:p>
      <w:r>
        <w:t>Responder dos preguntas distintas:</w:t>
      </w:r>
    </w:p>
    <w:p>
      <w:pPr>
        <w:pStyle w:val="ListNumber"/>
      </w:pPr>
      <w:r>
        <w:rPr>
          <w:b/>
        </w:rPr>
        <w:t>¿Cuántos temas (K) usar?</w:t>
      </w:r>
      <w:r>
        <w:t xml:space="preserve"> → selección no supervisada por coherencia.</w:t>
      </w:r>
    </w:p>
    <w:p>
      <w:pPr>
        <w:pStyle w:val="ListNumber"/>
      </w:pPr>
      <w:r>
        <w:rPr>
          <w:b/>
        </w:rPr>
        <w:t>Una vez fijado K = 6, ¿el LDA se reproduce?</w:t>
      </w:r>
      <w:r>
        <w:t xml:space="preserve"> → estabilidad frente a semilla y frente a submuestreo de pacientes.</w:t>
      </w:r>
    </w:p>
    <w:p>
      <w:r>
        <w:t xml:space="preserve">La referencia con la que se compara siempre es el </w:t>
      </w:r>
      <w:r>
        <w:rPr>
          <w:b/>
        </w:rPr>
        <w:t>modelo publicado</w:t>
      </w:r>
      <w:r>
        <w:t xml:space="preserve"> usado en alarmas:</w:t>
      </w:r>
    </w:p>
    <w:p>
      <w:r>
        <w:rPr>
          <w:rFonts w:ascii="Consolas" w:hAnsi="Consolas"/>
          <w:color w:val="333333"/>
          <w:sz w:val="18"/>
        </w:rPr>
        <w:t>models/lda/LDA_model_vdec25.gensim</w:t>
      </w:r>
      <w:r>
        <w:t xml:space="preserve"> (+ diccionario </w:t>
      </w:r>
      <w:r>
        <w:rPr>
          <w:rFonts w:ascii="Consolas" w:hAnsi="Consolas"/>
          <w:color w:val="333333"/>
          <w:sz w:val="18"/>
        </w:rPr>
        <w:t>dictionary_LDA_vdec25.dict</w:t>
      </w:r>
      <w:r>
        <w:t>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2. Cadena de trabajo (orden)</w:t>
      </w:r>
    </w:p>
    <w:p>
      <w:r>
        <w:rPr>
          <w:rFonts w:ascii="Consolas" w:hAnsi="Consolas"/>
          <w:sz w:val="17"/>
        </w:rPr>
        <w:t>① Daily reconciliado (rangos CNIO/DB1)</w:t>
        <w:br/>
        <w:t xml:space="preserve">        │</w:t>
        <w:br/>
        <w:t xml:space="preserve">        ▼</w:t>
        <w:br/>
        <w:t>② VQ-VAE → secuencias de day-types por paciente</w:t>
        <w:br/>
        <w:t xml:space="preserve">   data/processed/lda/user_embeddings_from_pkl.csv</w:t>
        <w:br/>
        <w:t xml:space="preserve">        │</w:t>
        <w:br/>
        <w:t xml:space="preserve">        ▼</w:t>
        <w:br/>
        <w:t>③ Barrido de K (coherencia c_v, train/val 70/30 por paciente)</w:t>
        <w:br/>
        <w:t xml:space="preserve">        │</w:t>
        <w:br/>
        <w:t xml:space="preserve">        ▼</w:t>
        <w:br/>
        <w:t>④ Fijar K = 6 (modelo publicado; validado en la selección original)</w:t>
        <w:br/>
        <w:t xml:space="preserve">        │</w:t>
        <w:br/>
        <w:t xml:space="preserve">        ▼</w:t>
        <w:br/>
        <w:t>⑤ Estabilidad Level 1 (50 semillas) y Level 2 (50× leave-20%-out)</w:t>
        <w:br/>
        <w:t xml:space="preserve">   · alinear temas a la referencia (Hungarian + cosine)</w:t>
        <w:br/>
        <w:t xml:space="preserve">   · medir cosine de P(day-type | tema) y concordancia de pUF</w:t>
      </w:r>
    </w:p>
    <w:p>
      <w:r>
        <w:t>Scripts: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scripts/03_analysis/lda/run_lda_coherence_sweep.py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scripts/03_analysis/lda/run_lda_stability.py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3. Dataset y unidad de análisis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Corpus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Reconciliado</w:t>
            </w:r>
            <w:r>
              <w:rPr>
                <w:sz w:val="20"/>
              </w:rPr>
              <w:t xml:space="preserve"> (fechas CNIO/DB1), no el lock-date histórico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Input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data/processed/lda/user_embeddings_from_pkl.csv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Pacientes (N)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175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Documentos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175</w:t>
            </w:r>
            <w:r>
              <w:rPr>
                <w:sz w:val="20"/>
              </w:rPr>
              <w:t xml:space="preserve"> (1 documento = 1 paciente)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Contenido de un documento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Secuencia de </w:t>
            </w:r>
            <w:r>
              <w:rPr>
                <w:b/>
                <w:sz w:val="20"/>
              </w:rPr>
              <w:t>day-types</w:t>
            </w:r>
            <w:r>
              <w:rPr>
                <w:sz w:val="20"/>
              </w:rPr>
              <w:t xml:space="preserve"> (códigos VQ-VAE modelo </w:t>
            </w:r>
            <w:r>
              <w:rPr>
                <w:rFonts w:ascii="Consolas" w:hAnsi="Consolas"/>
                <w:color w:val="333333"/>
                <w:sz w:val="20"/>
              </w:rPr>
              <w:t>a0</w:t>
            </w:r>
            <w:r>
              <w:rPr>
                <w:sz w:val="20"/>
              </w:rPr>
              <w:t>) de todos los días observados de ese paciente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Ventanas mensuales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se usan en este análisis (sí en alarmas / DCABP longitudinal)</w:t>
            </w:r>
          </w:p>
        </w:tc>
      </w:tr>
    </w:tbl>
    <w:p/>
    <w:p>
      <w:r>
        <w:t>Cada day-type es un entero del codebook VQ-VAE (p. ej. 0…255). El documento del paciente es la lista de esos códigos a lo largo del seguimiento.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4. Paso A — Selección de K (coherencia)</w:t>
      </w:r>
    </w:p>
    <w:p>
      <w:pPr>
        <w:pStyle w:val="Heading2"/>
      </w:pPr>
      <w:r>
        <w:t>4.1 Qué se hace</w:t>
      </w:r>
    </w:p>
    <w:p>
      <w:pPr>
        <w:pStyle w:val="ListNumber"/>
      </w:pPr>
      <w:r>
        <w:t>Se construye un corpus LDA: un BOW por paciente a partir de sus day-types.</w:t>
      </w:r>
    </w:p>
    <w:p>
      <w:pPr>
        <w:pStyle w:val="ListNumber"/>
      </w:pPr>
      <w:r>
        <w:t xml:space="preserve">Se parte </w:t>
      </w:r>
      <w:r>
        <w:rPr>
          <w:b/>
        </w:rPr>
        <w:t>70 % train / 30 % validación por paciente</w:t>
      </w:r>
      <w:r>
        <w:t xml:space="preserve"> (</w:t>
      </w:r>
      <w:r>
        <w:rPr>
          <w:rFonts w:ascii="Consolas" w:hAnsi="Consolas"/>
          <w:color w:val="333333"/>
          <w:sz w:val="18"/>
        </w:rPr>
        <w:t>train_test_split</w:t>
      </w:r>
      <w:r>
        <w:t xml:space="preserve"> sobre índices de documentos; seed fija).</w:t>
      </w:r>
    </w:p>
    <w:p>
      <w:pPr>
        <w:pStyle w:val="ListNumber"/>
      </w:pPr>
      <w:r>
        <w:t xml:space="preserve">Para cada candidato </w:t>
      </w:r>
      <w:r>
        <w:rPr>
          <w:b/>
        </w:rPr>
        <w:t>K ∈ {2, 6, 10, 14, 18}</w:t>
      </w:r>
      <w:r>
        <w:t xml:space="preserve"> se entrenan </w:t>
      </w:r>
      <w:r>
        <w:rPr>
          <w:b/>
        </w:rPr>
        <w:t>5 inicializaciones</w:t>
      </w:r>
      <w:r>
        <w:t xml:space="preserve"> (semillas distintas).</w:t>
      </w:r>
    </w:p>
    <w:p>
      <w:pPr>
        <w:pStyle w:val="ListNumber"/>
      </w:pPr>
      <w:r>
        <w:t xml:space="preserve">Se calcula coherencia media </w:t>
      </w:r>
      <w:r>
        <w:rPr>
          <w:b/>
        </w:rPr>
        <w:t>c_v</w:t>
      </w:r>
      <w:r>
        <w:t xml:space="preserve"> en train y en validación.</w:t>
      </w:r>
    </w:p>
    <w:p>
      <w:pPr>
        <w:pStyle w:val="ListNumber"/>
      </w:pPr>
      <w:r>
        <w:rPr>
          <w:b/>
        </w:rPr>
        <w:t>Regla:</w:t>
      </w:r>
      <w:r>
        <w:t xml:space="preserve"> se elige el K que </w:t>
      </w:r>
      <w:r>
        <w:rPr>
          <w:b/>
        </w:rPr>
        <w:t>maximiza la coherencia media de validación</w:t>
      </w:r>
      <w:r>
        <w:t>.</w:t>
      </w:r>
    </w:p>
    <w:p>
      <w:pPr>
        <w:pStyle w:val="Heading2"/>
      </w:pPr>
      <w:r>
        <w:t>4.2 Resultado (selección original del modelo publicado)</w:t>
      </w:r>
    </w:p>
    <w:p>
      <w:r>
        <w:t xml:space="preserve">Maximiza en </w:t>
      </w:r>
      <w:r>
        <w:rPr>
          <w:b/>
        </w:rPr>
        <w:t>K = 6</w:t>
      </w:r>
      <w:r>
        <w:t>. Ese es el K del LDA publicado (</w:t>
      </w:r>
      <w:r>
        <w:rPr>
          <w:rFonts w:ascii="Consolas" w:hAnsi="Consolas"/>
          <w:color w:val="333333"/>
          <w:sz w:val="18"/>
        </w:rPr>
        <w:t>LDA_model_vdec25</w:t>
      </w:r>
      <w:r>
        <w:t>).</w:t>
      </w:r>
    </w:p>
    <w:p>
      <w:r>
        <w:t xml:space="preserve">El barrido documenta la </w:t>
      </w:r>
      <w:r>
        <w:rPr>
          <w:b/>
        </w:rPr>
        <w:t>selección original</w:t>
      </w:r>
      <w:r>
        <w:t xml:space="preserve"> del modelo (no un rediseño ad hoc del pipeline de alarmas). Sobre embeddings reconciliados se vuelve a obtener el mismo óptimo (K = 6); los números de estabilidad de esta carpeta usan ya ese K.</w:t>
      </w:r>
    </w:p>
    <w:p>
      <w:pPr>
        <w:pStyle w:val="Heading2"/>
      </w:pPr>
      <w:r>
        <w:t>4.3 Configuración del barrido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Parámetro</w:t>
            </w:r>
          </w:p>
        </w:tc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Passes por inicialización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50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Inicializaciones por 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Split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70/30 </w:t>
            </w:r>
            <w:r>
              <w:rPr>
                <w:b/>
                <w:sz w:val="20"/>
              </w:rPr>
              <w:t>por paciente</w:t>
            </w:r>
          </w:p>
        </w:tc>
      </w:tr>
    </w:tbl>
    <w:p/>
    <w:p>
      <w:r>
        <w:t xml:space="preserve">Salidas: </w:t>
      </w:r>
      <w:r>
        <w:rPr>
          <w:rFonts w:ascii="Consolas" w:hAnsi="Consolas"/>
          <w:color w:val="333333"/>
          <w:sz w:val="18"/>
        </w:rPr>
        <w:t>coherence_coarse_grid.csv</w:t>
      </w:r>
      <w:r>
        <w:t xml:space="preserve">, </w:t>
      </w:r>
      <w:r>
        <w:rPr>
          <w:rFonts w:ascii="Consolas" w:hAnsi="Consolas"/>
          <w:color w:val="333333"/>
          <w:sz w:val="18"/>
        </w:rPr>
        <w:t>coherence_selection_meta.json</w:t>
      </w:r>
      <w:r>
        <w:t>,</w:t>
      </w:r>
    </w:p>
    <w:p>
      <w:r>
        <w:t xml:space="preserve">figura </w:t>
      </w:r>
      <w:r>
        <w:rPr>
          <w:rFonts w:ascii="Consolas" w:hAnsi="Consolas"/>
          <w:color w:val="333333"/>
          <w:sz w:val="18"/>
        </w:rPr>
        <w:t>figures/lda_coherence_k_selection.*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5. Paso B — Qué es un “tema” y por qué P(day-type \| tema)</w:t>
      </w:r>
    </w:p>
    <w:p>
      <w:r>
        <w:t xml:space="preserve">Un tema LDA </w:t>
      </w:r>
      <w:r>
        <w:rPr>
          <w:b/>
        </w:rPr>
        <w:t>no</w:t>
      </w:r>
      <w:r>
        <w:t xml:space="preserve"> es un escalar: es una distribución sobre el vocabulario de day-types.</w:t>
      </w:r>
    </w:p>
    <w:p>
      <w:r>
        <w:t>\[</w:t>
      </w:r>
    </w:p>
    <w:p>
      <w:r>
        <w:t>P(\text{day-type}=d \mid \text{tema}=t)</w:t>
      </w:r>
    </w:p>
    <w:p>
      <w:r>
        <w:t>\]</w:t>
      </w:r>
    </w:p>
    <w:p>
      <w:r>
        <w:t>Vector de longitud ≈ número de day-types del diccionario; suma 1.</w:t>
      </w:r>
    </w:p>
    <w:p>
      <w:r>
        <w:t>Intuición: “el tema *t* se caracteriza por usar mucho el day-type 12, algo el 40, poco el 200…”.</w:t>
      </w:r>
    </w:p>
    <w:p>
      <w:r>
        <w:rPr>
          <w:b/>
        </w:rPr>
        <w:t>Por qué comparar eso entre entrenamientos:</w:t>
      </w:r>
    </w:p>
    <w:p>
      <w:r>
        <w:t xml:space="preserve">LDA no fija etiquetas. El “tema 3” de una run no tiene por qué ser el mismo patrón que el “tema 3” de otra. Lo comparable es la </w:t>
      </w:r>
      <w:r>
        <w:rPr>
          <w:b/>
        </w:rPr>
        <w:t>firma de day-types</w:t>
      </w:r>
      <w:r>
        <w:t xml:space="preserve"> de cada tema.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6. Paso C — Alineación a la referencia (sin outcomes)</w:t>
      </w:r>
    </w:p>
    <w:p>
      <w:r>
        <w:t>Antes de medir estabilidad:</w:t>
      </w:r>
    </w:p>
    <w:p>
      <w:pPr>
        <w:pStyle w:val="ListNumber"/>
      </w:pPr>
      <w:r>
        <w:t xml:space="preserve">Se toma la matriz de temas de la </w:t>
      </w:r>
      <w:r>
        <w:rPr>
          <w:b/>
        </w:rPr>
        <w:t>referencia</w:t>
      </w:r>
      <w:r>
        <w:t xml:space="preserve"> publicada.</w:t>
      </w:r>
    </w:p>
    <w:p>
      <w:pPr>
        <w:pStyle w:val="ListNumber"/>
      </w:pPr>
      <w:r>
        <w:t xml:space="preserve">Se toma la de la </w:t>
      </w:r>
      <w:r>
        <w:rPr>
          <w:b/>
        </w:rPr>
        <w:t>réplica</w:t>
      </w:r>
      <w:r>
        <w:t xml:space="preserve"> (nuevo entrenamiento).</w:t>
      </w:r>
    </w:p>
    <w:p>
      <w:pPr>
        <w:pStyle w:val="ListNumber"/>
      </w:pPr>
      <w:r>
        <w:t xml:space="preserve">Se empareja cada tema ref con un tema réplica maximizando </w:t>
      </w:r>
      <w:r>
        <w:rPr>
          <w:b/>
        </w:rPr>
        <w:t>cosine</w:t>
      </w:r>
      <w:r>
        <w:t xml:space="preserve"> entre sus vectores </w:t>
      </w:r>
      <w:r>
        <w:rPr>
          <w:rFonts w:ascii="Consolas" w:hAnsi="Consolas"/>
          <w:color w:val="333333"/>
          <w:sz w:val="18"/>
        </w:rPr>
        <w:t>P(day-type | tema)</w:t>
      </w:r>
      <w:r>
        <w:t xml:space="preserve"> (</w:t>
      </w:r>
      <w:r>
        <w:rPr>
          <w:b/>
        </w:rPr>
        <w:t>algoritmo húngaro</w:t>
      </w:r>
      <w:r>
        <w:t>).</w:t>
      </w:r>
    </w:p>
    <w:p>
      <w:r>
        <w:t>Así T0_ref se compara con “su” pareja, no con un índice arbitrario.</w:t>
      </w:r>
    </w:p>
    <w:p>
      <w:r>
        <w:rPr>
          <w:b/>
        </w:rPr>
        <w:t>Importante:</w:t>
      </w:r>
      <w:r>
        <w:t xml:space="preserve"> el mapping </w:t>
      </w:r>
      <w:r>
        <w:rPr>
          <w:b/>
        </w:rPr>
        <w:t>no usa outcomes clínicos</w:t>
      </w:r>
      <w:r>
        <w:t xml:space="preserve"> (progresión, etc.). Solo similitud de distribuciones de day-types.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7. Paso D — Hipertópicos F / U y patient pUF</w:t>
      </w:r>
    </w:p>
    <w:p>
      <w:pPr>
        <w:pStyle w:val="Heading2"/>
      </w:pPr>
      <w:r>
        <w:t>7.1 Hipertópicos (perfil F/U)</w:t>
      </w:r>
    </w:p>
    <w:p>
      <w:r>
        <w:t>Tras alinear, se usan las etiquetas del modelo publicado: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Hipertópico</w:t>
            </w:r>
          </w:p>
        </w:tc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Temas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Favourable (F)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0, 1, 2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Unfavourable (U)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3, 4, 5</w:t>
            </w:r>
          </w:p>
        </w:tc>
      </w:tr>
    </w:tbl>
    <w:p/>
    <w:p>
      <w:r>
        <w:t xml:space="preserve">El </w:t>
      </w:r>
      <w:r>
        <w:rPr>
          <w:b/>
        </w:rPr>
        <w:t>perfil</w:t>
      </w:r>
      <w:r>
        <w:t xml:space="preserve"> F o U es la </w:t>
      </w:r>
      <w:r>
        <w:rPr>
          <w:b/>
        </w:rPr>
        <w:t>media</w:t>
      </w:r>
      <w:r>
        <w:t xml:space="preserve"> de las distribuciones </w:t>
      </w:r>
      <w:r>
        <w:rPr>
          <w:rFonts w:ascii="Consolas" w:hAnsi="Consolas"/>
          <w:color w:val="333333"/>
          <w:sz w:val="18"/>
        </w:rPr>
        <w:t>P(day-type | tema)</w:t>
      </w:r>
      <w:r>
        <w:t xml:space="preserve"> de esos temas (firma media del bloque F o U).</w:t>
      </w:r>
    </w:p>
    <w:p>
      <w:pPr>
        <w:pStyle w:val="Heading2"/>
      </w:pPr>
      <w:r>
        <w:t>7.2 patient pUF</w:t>
      </w:r>
    </w:p>
    <w:p>
      <w:r>
        <w:t xml:space="preserve">Para cada paciente, el LDA asigna probabilidades a los 6 temas sobre </w:t>
      </w:r>
      <w:r>
        <w:rPr>
          <w:b/>
        </w:rPr>
        <w:t>todo su documento</w:t>
      </w:r>
      <w:r>
        <w:t xml:space="preserve"> (secuencia completa).</w:t>
      </w:r>
    </w:p>
    <w:p>
      <w:r>
        <w:t>\[</w:t>
      </w:r>
    </w:p>
    <w:p>
      <w:r>
        <w:t>\text{pUF} = P(T_3) + P(T_4) + P(T_5)</w:t>
      </w:r>
    </w:p>
    <w:p>
      <w:r>
        <w:t>\]</w:t>
      </w:r>
    </w:p>
    <w:p>
      <w:r>
        <w:t xml:space="preserve">Es la masa de probabilidad en el hipertópico </w:t>
      </w:r>
      <w:r>
        <w:rPr>
          <w:b/>
        </w:rPr>
        <w:t>unfavourable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¿Qué es?</w:t>
            </w:r>
          </w:p>
        </w:tc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Respuesta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¿Global / ventana / longitudinal?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Un escalar global por paciente</w:t>
            </w:r>
            <w:r>
              <w:rPr>
                <w:sz w:val="20"/>
              </w:rPr>
              <w:t xml:space="preserve"> (documento completo)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¿Es lo mismo que “unfavourable”?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Sí</w:t>
            </w:r>
            <w:r>
              <w:rPr>
                <w:sz w:val="20"/>
              </w:rPr>
              <w:t>, a nivel paciente: pUF = probabilidad de 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Favourable análogo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\(P(T_0)+P(T_1)+P(T_2)\) (≈ 1 − pUF)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t>8. Paso E — Estabilidad (dos niveles)</w:t>
      </w:r>
    </w:p>
    <w:p>
      <w:r>
        <w:t>Configuración común: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Parámetro</w:t>
            </w:r>
          </w:p>
        </w:tc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Réplicas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50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Passes por réplica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100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Referencia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LDA_model_vdec25.gensim</w:t>
            </w:r>
            <w:r>
              <w:rPr>
                <w:sz w:val="20"/>
              </w:rPr>
              <w:t xml:space="preserve"> (</w:t>
            </w:r>
            <w:r>
              <w:rPr>
                <w:b/>
                <w:sz w:val="20"/>
              </w:rPr>
              <w:t>~100 000 passes</w:t>
            </w:r>
            <w:r>
              <w:rPr>
                <w:sz w:val="20"/>
              </w:rPr>
              <w:t xml:space="preserve"> en su entrenamiento histórico)</w:t>
            </w:r>
          </w:p>
        </w:tc>
      </w:tr>
    </w:tbl>
    <w:p/>
    <w:p>
      <w:r>
        <w:t xml:space="preserve">Los ~100 000 passes son del </w:t>
      </w:r>
      <w:r>
        <w:rPr>
          <w:b/>
        </w:rPr>
        <w:t>modelo de referencia publicado</w:t>
      </w:r>
      <w:r>
        <w:t>, no de las réplicas de estabilidad. Las réplicas usan 100 passes a propósito (chequeo reproducible y asequible).</w:t>
      </w:r>
    </w:p>
    <w:p>
      <w:pPr>
        <w:pStyle w:val="Heading2"/>
      </w:pPr>
      <w:r>
        <w:t>8.1 Level 1 — Estabilidad a la semilla</w:t>
      </w:r>
    </w:p>
    <w:p>
      <w:pPr>
        <w:pStyle w:val="ListBullet"/>
      </w:pPr>
      <w:r>
        <w:t>Mismos 175 pacientes.</w:t>
      </w:r>
    </w:p>
    <w:p>
      <w:pPr>
        <w:pStyle w:val="ListBullet"/>
      </w:pPr>
      <w:r>
        <w:t xml:space="preserve">50 reentrenos con distinta </w:t>
      </w:r>
      <w:r>
        <w:rPr>
          <w:rFonts w:ascii="Consolas" w:hAnsi="Consolas"/>
          <w:color w:val="333333"/>
          <w:sz w:val="18"/>
        </w:rPr>
        <w:t>random_state</w:t>
      </w:r>
      <w:r>
        <w:t>.</w:t>
      </w:r>
    </w:p>
    <w:p>
      <w:pPr>
        <w:pStyle w:val="ListBullet"/>
      </w:pPr>
      <w:r>
        <w:t>Tras alinear: cosine tema a tema + métricas F/U + Pearson de pUF.</w:t>
      </w:r>
    </w:p>
    <w:p>
      <w:pPr>
        <w:pStyle w:val="Heading2"/>
      </w:pPr>
      <w:r>
        <w:t>8.2 Level 2 — Estabilidad a los datos (leave-20%-out)</w:t>
      </w:r>
    </w:p>
    <w:p>
      <w:pPr>
        <w:pStyle w:val="ListBullet"/>
      </w:pPr>
      <w:r>
        <w:t>En cada réplica se deja fuera ~20 % de pacientes al azar.</w:t>
      </w:r>
    </w:p>
    <w:p>
      <w:pPr>
        <w:pStyle w:val="ListBullet"/>
      </w:pPr>
      <w:r>
        <w:t>Se entrena con el ~80 % restante.</w:t>
      </w:r>
    </w:p>
    <w:p>
      <w:pPr>
        <w:pStyle w:val="ListBullet"/>
      </w:pPr>
      <w:r>
        <w:t>Cosine de temas igual que en Level 1.</w:t>
      </w:r>
    </w:p>
    <w:p>
      <w:pPr>
        <w:pStyle w:val="ListBullet"/>
      </w:pPr>
      <w:r>
        <w:rPr>
          <w:b/>
        </w:rPr>
        <w:t>Pearson de pUF solo sobre los pacientes usados al entrenar</w:t>
      </w:r>
      <w:r>
        <w:t xml:space="preserve"> (no sobre los dejados fuera).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9. Qué significa cada métrica del informe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0F0F0" w:val="clear"/>
          </w:tcPr>
          <w:p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3249"/>
            <w:shd w:fill="F0F0F0" w:val="clear"/>
          </w:tcPr>
          <w:p>
            <w:r/>
            <w:r>
              <w:rPr>
                <w:b/>
                <w:sz w:val="20"/>
              </w:rPr>
              <w:t>¿Qué compara?</w:t>
            </w:r>
          </w:p>
        </w:tc>
        <w:tc>
          <w:tcPr>
            <w:tcW w:type="dxa" w:w="3249"/>
            <w:shd w:fill="F0F0F0" w:val="clear"/>
          </w:tcPr>
          <w:p>
            <w:r/>
            <w:r>
              <w:rPr>
                <w:b/>
                <w:sz w:val="20"/>
              </w:rPr>
              <w:t>Pregunta que responde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Cosine por tema</w:t>
            </w:r>
            <w:r>
              <w:rPr>
                <w:sz w:val="20"/>
              </w:rPr>
              <w:t xml:space="preserve"> (T0…T5)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Vectores `P(day-type \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tema)` ref vs réplica (tras alinear)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Favourable / Unfavourable hypertopic cosine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Firma media F o U (perfiles de temas)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¿El *concepto* F/U se redefine igual?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Patient pUF Pearson 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Escalar pUF_ref vs pUF_réplica </w:t>
            </w:r>
            <w:r>
              <w:rPr>
                <w:b/>
                <w:sz w:val="20"/>
              </w:rPr>
              <w:t>entre pacientes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¿Los pacientes quedan ordenados igual en “cuánto U tienen”?</w:t>
            </w:r>
          </w:p>
        </w:tc>
      </w:tr>
    </w:tbl>
    <w:p/>
    <w:p>
      <w:r>
        <w:t>Resumen:</w:t>
      </w:r>
    </w:p>
    <w:p>
      <w:pPr>
        <w:pStyle w:val="ListBullet"/>
      </w:pPr>
      <w:r>
        <w:t xml:space="preserve">Cosine hipertópico U → estabilidad del </w:t>
      </w:r>
      <w:r>
        <w:rPr>
          <w:b/>
        </w:rPr>
        <w:t>patrón</w:t>
      </w:r>
      <w:r>
        <w:t xml:space="preserve"> unfavourable.</w:t>
      </w:r>
    </w:p>
    <w:p>
      <w:pPr>
        <w:pStyle w:val="ListBullet"/>
      </w:pPr>
      <w:r>
        <w:t xml:space="preserve">Pearson pUF → estabilidad de la </w:t>
      </w:r>
      <w:r>
        <w:rPr>
          <w:b/>
        </w:rPr>
        <w:t>puntuación</w:t>
      </w:r>
      <w:r>
        <w:t xml:space="preserve"> unfavourable por paciente (señal que alimenta la alarma).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10. Headline (entrega reconciliada, esta carpeta)</w:t>
      </w:r>
    </w:p>
    <w:p>
      <w:pPr>
        <w:pStyle w:val="Heading2"/>
      </w:pPr>
      <w:r>
        <w:t>Level 1 (semillas)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Resumen</w:t>
            </w:r>
          </w:p>
        </w:tc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Median cosine (todos los pares tema–réplica)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0.915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Unfavourable hypertopic cosine (median)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0.916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Patient pUF Pearson r (median [IQR])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0.849 [0.795, 0.890]</w:t>
            </w:r>
          </w:p>
        </w:tc>
      </w:tr>
    </w:tbl>
    <w:p/>
    <w:p>
      <w:pPr>
        <w:pStyle w:val="Heading2"/>
      </w:pPr>
      <w:r>
        <w:t>Level 2 (leave-20%-out)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Resumen</w:t>
            </w:r>
          </w:p>
        </w:tc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Median cosine (todos los pares tema–réplica)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0.867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Unfavourable hypertopic cosine (median)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0.885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Patient pUF Pearson r (median [IQR])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0.772 [0.675, 0.858]</w:t>
            </w:r>
          </w:p>
        </w:tc>
      </w:tr>
    </w:tbl>
    <w:p/>
    <w:p>
      <w:r>
        <w:t>Interpretación breve: temas (sobre todo F) y señal pUF se reproducen bien; Level 2 baja un poco al retirar pacientes, como es esperable.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11. Archivos de esta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Ruta</w:t>
            </w:r>
          </w:p>
        </w:tc>
        <w:tc>
          <w:tcPr>
            <w:tcW w:type="dxa" w:w="4873"/>
            <w:shd w:fill="F0F0F0" w:val="clear"/>
          </w:tcPr>
          <w:p>
            <w:r/>
            <w:r>
              <w:rPr>
                <w:b/>
                <w:sz w:val="20"/>
              </w:rPr>
              <w:t>Contenido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coherence_*.csv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20"/>
              </w:rPr>
              <w:t>coherence_selection_meta.json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Barrido K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level1_seed_*.csv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20"/>
              </w:rPr>
              <w:t>level1_seed_summary.json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Estabilidad semillas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level2_resample_*.csv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20"/>
              </w:rPr>
              <w:t>level2_resample_summary.json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Leave-20%-out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stability_cosine_summary.json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Resumen conjunto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run_meta.json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Parámetros del run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../figures/lda_coherence_k_selection.*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Figura selección K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../figures/stability/*.svg</w:t>
            </w:r>
            <w:r>
              <w:rPr>
                <w:sz w:val="20"/>
              </w:rPr>
              <w:t xml:space="preserve"> (también pdf/png)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Paneles vectoriales estabilidad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lda_stability_report.md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20"/>
              </w:rPr>
              <w:t>.html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20"/>
              </w:rPr>
              <w:t>.pdf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Informe numérico + figuras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Este archivo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Explicación metodológica paso a paso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t>12. Cómo regenerar</w:t>
      </w:r>
    </w:p>
    <w:p>
      <w:r>
        <w:rPr>
          <w:rFonts w:ascii="Consolas" w:hAnsi="Consolas"/>
          <w:sz w:val="17"/>
        </w:rPr>
        <w:t>cd /export/gts_usuarios/lparbaiza/cancer-behavioral-trajectories</w:t>
        <w:br/>
        <w:br/>
        <w:t>./env/bin/python scripts/03_analysis/lda/run_lda_coherence_sweep.py \</w:t>
        <w:br/>
        <w:t xml:space="preserve">  --k-list 2,6,10,14,18 --n-inits 5 --passes 50</w:t>
        <w:br/>
        <w:br/>
        <w:t>./env/bin/python scripts/03_analysis/lda/run_lda_stability.py \</w:t>
        <w:br/>
        <w:t xml:space="preserve">  --mode both --n-reps 50 --passes 100 --leave-out 0.2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13. Mensaje corto (para acompañar el envío)</w:t>
      </w:r>
    </w:p>
    <w:p>
      <w:r>
        <w:t xml:space="preserve">Se documenta la selección original de </w:t>
      </w:r>
      <w:r>
        <w:rPr>
          <w:b/>
        </w:rPr>
        <w:t>K = 6</w:t>
      </w:r>
      <w:r>
        <w:t xml:space="preserve"> por coherencia de validación (70/30 por paciente) y la estabilidad del LDA a K fijo frente a semilla y leave-20%-out, sobre embeddings </w:t>
      </w:r>
      <w:r>
        <w:rPr>
          <w:b/>
        </w:rPr>
        <w:t>reconciliados</w:t>
      </w:r>
      <w:r>
        <w:t xml:space="preserve"> CNIO (175 docs = 175 pacientes). Los temas se alinean a la referencia publicada por cosine de </w:t>
      </w:r>
      <w:r>
        <w:rPr>
          <w:rFonts w:ascii="Consolas" w:hAnsi="Consolas"/>
          <w:color w:val="333333"/>
          <w:sz w:val="18"/>
        </w:rPr>
        <w:t>P(day-type | tema)</w:t>
      </w:r>
      <w:r>
        <w:t xml:space="preserve"> sin outcomes. </w:t>
      </w:r>
      <w:r>
        <w:rPr>
          <w:b/>
        </w:rPr>
        <w:t>pUF</w:t>
      </w:r>
      <w:r>
        <w:t xml:space="preserve"> es la probabilidad global del hipertópico unfavourable por paciente. Artefactos y SVG en </w:t>
      </w:r>
      <w:r>
        <w:rPr>
          <w:rFonts w:ascii="Consolas" w:hAnsi="Consolas"/>
          <w:color w:val="333333"/>
          <w:sz w:val="18"/>
        </w:rPr>
        <w:t>results/lda/stability/</w:t>
      </w:r>
      <w:r>
        <w:t xml:space="preserve"> y </w:t>
      </w:r>
      <w:r>
        <w:rPr>
          <w:rFonts w:ascii="Consolas" w:hAnsi="Consolas"/>
          <w:color w:val="333333"/>
          <w:sz w:val="18"/>
        </w:rPr>
        <w:t>results/lda/figures/stability/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