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96D4" w14:textId="32CD13D5" w:rsidR="002914BB" w:rsidRDefault="00B37C88" w:rsidP="00B97F33">
      <w:pPr>
        <w:spacing w:line="480" w:lineRule="auto"/>
        <w:jc w:val="both"/>
        <w:rPr>
          <w:rFonts w:ascii="Arial" w:hAnsi="Arial" w:cs="Arial"/>
          <w:b/>
          <w:bCs/>
          <w:color w:val="000000" w:themeColor="text1"/>
          <w:sz w:val="22"/>
          <w:szCs w:val="22"/>
        </w:rPr>
      </w:pPr>
      <w:r>
        <w:rPr>
          <w:rFonts w:ascii="Arial" w:hAnsi="Arial" w:cs="Arial"/>
          <w:b/>
          <w:bCs/>
          <w:color w:val="000000" w:themeColor="text1"/>
          <w:sz w:val="22"/>
          <w:szCs w:val="22"/>
        </w:rPr>
        <w:t>Extended Material</w:t>
      </w:r>
    </w:p>
    <w:p w14:paraId="60F7899D" w14:textId="77777777" w:rsidR="00B97F33" w:rsidRDefault="00B97F33" w:rsidP="00B97F33">
      <w:pPr>
        <w:spacing w:line="480" w:lineRule="auto"/>
        <w:jc w:val="both"/>
        <w:rPr>
          <w:rFonts w:ascii="Arial" w:hAnsi="Arial" w:cs="Arial"/>
          <w:b/>
          <w:bCs/>
          <w:color w:val="000000" w:themeColor="text1"/>
          <w:sz w:val="22"/>
          <w:szCs w:val="22"/>
        </w:rPr>
      </w:pPr>
    </w:p>
    <w:p w14:paraId="12DBD534" w14:textId="77777777" w:rsidR="002914BB" w:rsidRDefault="002914BB" w:rsidP="00B97F33">
      <w:pPr>
        <w:spacing w:line="480" w:lineRule="auto"/>
        <w:jc w:val="both"/>
        <w:rPr>
          <w:rFonts w:ascii="Arial" w:hAnsi="Arial" w:cs="Arial"/>
          <w:b/>
          <w:bCs/>
          <w:color w:val="000000" w:themeColor="text1"/>
          <w:sz w:val="22"/>
          <w:szCs w:val="22"/>
        </w:rPr>
      </w:pPr>
    </w:p>
    <w:p w14:paraId="69835EDC" w14:textId="56381951" w:rsidR="008B4D83" w:rsidRDefault="008B4D83" w:rsidP="00B97F33">
      <w:pPr>
        <w:spacing w:line="480" w:lineRule="auto"/>
        <w:jc w:val="both"/>
        <w:rPr>
          <w:rFonts w:ascii="Arial" w:hAnsi="Arial" w:cs="Arial"/>
          <w:b/>
          <w:bCs/>
          <w:color w:val="000000" w:themeColor="text1"/>
          <w:sz w:val="22"/>
          <w:szCs w:val="22"/>
          <w:lang w:val="es-ES"/>
        </w:rPr>
      </w:pPr>
      <w:r w:rsidRPr="008B4D83">
        <w:rPr>
          <w:rFonts w:ascii="Arial" w:hAnsi="Arial" w:cs="Arial"/>
          <w:b/>
          <w:bCs/>
          <w:noProof/>
          <w:color w:val="000000" w:themeColor="text1"/>
          <w:sz w:val="22"/>
          <w:szCs w:val="22"/>
          <w:lang w:val="es-ES"/>
        </w:rPr>
        <w:drawing>
          <wp:inline distT="0" distB="0" distL="0" distR="0" wp14:anchorId="413018B5" wp14:editId="731FC8CC">
            <wp:extent cx="5396230" cy="3435985"/>
            <wp:effectExtent l="0" t="0" r="1270" b="5715"/>
            <wp:docPr id="2039198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8130" name=""/>
                    <pic:cNvPicPr/>
                  </pic:nvPicPr>
                  <pic:blipFill>
                    <a:blip r:embed="rId4"/>
                    <a:stretch>
                      <a:fillRect/>
                    </a:stretch>
                  </pic:blipFill>
                  <pic:spPr>
                    <a:xfrm>
                      <a:off x="0" y="0"/>
                      <a:ext cx="5396230" cy="3435985"/>
                    </a:xfrm>
                    <a:prstGeom prst="rect">
                      <a:avLst/>
                    </a:prstGeom>
                  </pic:spPr>
                </pic:pic>
              </a:graphicData>
            </a:graphic>
          </wp:inline>
        </w:drawing>
      </w:r>
    </w:p>
    <w:p w14:paraId="03F5A3A9" w14:textId="7774352E" w:rsidR="008B4D83" w:rsidRDefault="008B4D83" w:rsidP="00B97F33">
      <w:pPr>
        <w:spacing w:line="480" w:lineRule="auto"/>
        <w:jc w:val="both"/>
        <w:rPr>
          <w:rFonts w:ascii="Arial" w:hAnsi="Arial" w:cs="Arial"/>
          <w:b/>
          <w:bCs/>
          <w:color w:val="000000" w:themeColor="text1"/>
          <w:sz w:val="22"/>
          <w:szCs w:val="22"/>
          <w:lang w:val="es-ES"/>
        </w:rPr>
      </w:pPr>
      <w:r w:rsidRPr="008B4D83">
        <w:rPr>
          <w:rFonts w:ascii="Arial" w:hAnsi="Arial" w:cs="Arial"/>
          <w:b/>
          <w:bCs/>
          <w:noProof/>
          <w:color w:val="000000" w:themeColor="text1"/>
          <w:sz w:val="22"/>
          <w:szCs w:val="22"/>
          <w:lang w:val="es-ES"/>
        </w:rPr>
        <w:drawing>
          <wp:inline distT="0" distB="0" distL="0" distR="0" wp14:anchorId="40291C8C" wp14:editId="50693B55">
            <wp:extent cx="5396230" cy="2878455"/>
            <wp:effectExtent l="0" t="0" r="1270" b="4445"/>
            <wp:docPr id="106989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99952" name=""/>
                    <pic:cNvPicPr/>
                  </pic:nvPicPr>
                  <pic:blipFill>
                    <a:blip r:embed="rId5"/>
                    <a:stretch>
                      <a:fillRect/>
                    </a:stretch>
                  </pic:blipFill>
                  <pic:spPr>
                    <a:xfrm>
                      <a:off x="0" y="0"/>
                      <a:ext cx="5396230" cy="2878455"/>
                    </a:xfrm>
                    <a:prstGeom prst="rect">
                      <a:avLst/>
                    </a:prstGeom>
                  </pic:spPr>
                </pic:pic>
              </a:graphicData>
            </a:graphic>
          </wp:inline>
        </w:drawing>
      </w:r>
    </w:p>
    <w:p w14:paraId="41D51DAE" w14:textId="77777777" w:rsidR="008B4D83" w:rsidRDefault="008B4D83" w:rsidP="00B97F33">
      <w:pPr>
        <w:spacing w:line="480" w:lineRule="auto"/>
        <w:jc w:val="both"/>
        <w:rPr>
          <w:rFonts w:ascii="Arial" w:hAnsi="Arial" w:cs="Arial"/>
          <w:b/>
          <w:bCs/>
          <w:color w:val="000000" w:themeColor="text1"/>
          <w:sz w:val="22"/>
          <w:szCs w:val="22"/>
          <w:lang w:val="es-ES"/>
        </w:rPr>
      </w:pPr>
    </w:p>
    <w:p w14:paraId="39E7A371" w14:textId="77777777" w:rsidR="00E92680" w:rsidRDefault="002914BB" w:rsidP="00B97F33">
      <w:pPr>
        <w:spacing w:line="480" w:lineRule="auto"/>
        <w:jc w:val="both"/>
        <w:rPr>
          <w:rFonts w:ascii="Arial" w:hAnsi="Arial" w:cs="Arial"/>
          <w:color w:val="000000" w:themeColor="text1"/>
          <w:sz w:val="22"/>
          <w:szCs w:val="22"/>
        </w:rPr>
      </w:pPr>
      <w:r w:rsidRPr="008B4D83">
        <w:rPr>
          <w:rFonts w:ascii="Arial" w:hAnsi="Arial" w:cs="Arial"/>
          <w:b/>
          <w:bCs/>
          <w:color w:val="000000" w:themeColor="text1"/>
          <w:sz w:val="22"/>
          <w:szCs w:val="22"/>
        </w:rPr>
        <w:t>Figure S</w:t>
      </w:r>
      <w:r w:rsidR="00D63D51">
        <w:rPr>
          <w:rFonts w:ascii="Arial" w:hAnsi="Arial" w:cs="Arial"/>
          <w:b/>
          <w:bCs/>
          <w:color w:val="000000" w:themeColor="text1"/>
          <w:sz w:val="22"/>
          <w:szCs w:val="22"/>
        </w:rPr>
        <w:t>1</w:t>
      </w:r>
      <w:r w:rsidRPr="008B4D83">
        <w:rPr>
          <w:rFonts w:ascii="Arial" w:hAnsi="Arial" w:cs="Arial"/>
          <w:b/>
          <w:bCs/>
          <w:color w:val="000000" w:themeColor="text1"/>
          <w:sz w:val="22"/>
          <w:szCs w:val="22"/>
        </w:rPr>
        <w:t xml:space="preserve">: </w:t>
      </w:r>
      <w:r w:rsidR="00D63D51">
        <w:rPr>
          <w:rFonts w:ascii="Arial" w:hAnsi="Arial" w:cs="Arial"/>
          <w:b/>
          <w:bCs/>
          <w:color w:val="000000" w:themeColor="text1"/>
          <w:sz w:val="22"/>
          <w:szCs w:val="22"/>
        </w:rPr>
        <w:t>Example participant dashboard used for adherence monitoring and troubleshooting</w:t>
      </w:r>
      <w:r w:rsidR="008B4D83" w:rsidRPr="008B4D83">
        <w:rPr>
          <w:rFonts w:ascii="Arial" w:hAnsi="Arial" w:cs="Arial"/>
          <w:b/>
          <w:bCs/>
          <w:color w:val="000000" w:themeColor="text1"/>
          <w:sz w:val="22"/>
          <w:szCs w:val="22"/>
        </w:rPr>
        <w:t xml:space="preserve">. </w:t>
      </w:r>
      <w:r w:rsidR="00D63D51" w:rsidRPr="00D63D51">
        <w:rPr>
          <w:rFonts w:ascii="Arial" w:hAnsi="Arial" w:cs="Arial"/>
          <w:color w:val="000000" w:themeColor="text1"/>
          <w:sz w:val="22"/>
          <w:szCs w:val="22"/>
        </w:rPr>
        <w:t xml:space="preserve">Screenshots of the eB2 web back-office used by study staff to monitor data capture, identify interruptions, and deploy adherence-support actions. </w:t>
      </w:r>
      <w:r w:rsidR="00D63D51" w:rsidRPr="00D63D51">
        <w:rPr>
          <w:rFonts w:ascii="Arial" w:hAnsi="Arial" w:cs="Arial"/>
          <w:b/>
          <w:bCs/>
          <w:color w:val="000000" w:themeColor="text1"/>
          <w:sz w:val="22"/>
          <w:szCs w:val="22"/>
        </w:rPr>
        <w:t>(A)</w:t>
      </w:r>
      <w:r w:rsidR="00D63D51" w:rsidRPr="00D63D51">
        <w:rPr>
          <w:rFonts w:ascii="Arial" w:hAnsi="Arial" w:cs="Arial"/>
          <w:color w:val="000000" w:themeColor="text1"/>
          <w:sz w:val="22"/>
          <w:szCs w:val="22"/>
        </w:rPr>
        <w:t xml:space="preserve"> Passive </w:t>
      </w:r>
      <w:r w:rsidR="00D63D51" w:rsidRPr="00D63D51">
        <w:rPr>
          <w:rFonts w:ascii="Arial" w:hAnsi="Arial" w:cs="Arial"/>
          <w:color w:val="000000" w:themeColor="text1"/>
          <w:sz w:val="22"/>
          <w:szCs w:val="22"/>
        </w:rPr>
        <w:lastRenderedPageBreak/>
        <w:t xml:space="preserve">data capture panel, displaying representative raw and derived streams captured from the smartwatch and smartphone (e.g., </w:t>
      </w:r>
      <w:proofErr w:type="gramStart"/>
      <w:r w:rsidR="00D63D51" w:rsidRPr="00D63D51">
        <w:rPr>
          <w:rFonts w:ascii="Arial" w:hAnsi="Arial" w:cs="Arial"/>
          <w:color w:val="000000" w:themeColor="text1"/>
          <w:sz w:val="22"/>
          <w:szCs w:val="22"/>
        </w:rPr>
        <w:t>heart-rate</w:t>
      </w:r>
      <w:proofErr w:type="gramEnd"/>
      <w:r w:rsidR="00D63D51" w:rsidRPr="00D63D51">
        <w:rPr>
          <w:rFonts w:ascii="Arial" w:hAnsi="Arial" w:cs="Arial"/>
          <w:color w:val="000000" w:themeColor="text1"/>
          <w:sz w:val="22"/>
          <w:szCs w:val="22"/>
        </w:rPr>
        <w:t xml:space="preserve"> and activity/sleep summaries, and selected contextual signals). </w:t>
      </w:r>
      <w:r w:rsidR="00D63D51" w:rsidRPr="00D63D51">
        <w:rPr>
          <w:rFonts w:ascii="Arial" w:hAnsi="Arial" w:cs="Arial"/>
          <w:b/>
          <w:bCs/>
          <w:color w:val="000000" w:themeColor="text1"/>
          <w:sz w:val="22"/>
          <w:szCs w:val="22"/>
        </w:rPr>
        <w:t>(B)</w:t>
      </w:r>
      <w:r w:rsidR="00D63D51" w:rsidRPr="00D63D51">
        <w:rPr>
          <w:rFonts w:ascii="Arial" w:hAnsi="Arial" w:cs="Arial"/>
          <w:color w:val="000000" w:themeColor="text1"/>
          <w:sz w:val="22"/>
          <w:szCs w:val="22"/>
        </w:rPr>
        <w:t xml:space="preserve"> Active data capture panel, displaying participant-entered measures (e.g., daily pain VAS and other optional entries). For operational purposes, streams are labeled as passive when capture requires no participant action beyond wearing the smartwatch and carrying the phone, and as active when an explicit entry is required. Weekend-related gaps or short interruptions can often be resolved with brief participant contact, whereas prolonged absence of active entries may require re-training or workflow support. Red/blue markers denote unstable days, defined as days with atypical behavior that are not confidently assigned to a single learned day type; instability is flagged when assignment uncertainty is </w:t>
      </w:r>
      <w:proofErr w:type="gramStart"/>
      <w:r w:rsidR="00D63D51" w:rsidRPr="00D63D51">
        <w:rPr>
          <w:rFonts w:ascii="Arial" w:hAnsi="Arial" w:cs="Arial"/>
          <w:color w:val="000000" w:themeColor="text1"/>
          <w:sz w:val="22"/>
          <w:szCs w:val="22"/>
        </w:rPr>
        <w:t>high</w:t>
      </w:r>
      <w:proofErr w:type="gramEnd"/>
      <w:r w:rsidR="00D63D51" w:rsidRPr="00D63D51">
        <w:rPr>
          <w:rFonts w:ascii="Arial" w:hAnsi="Arial" w:cs="Arial"/>
          <w:color w:val="000000" w:themeColor="text1"/>
          <w:sz w:val="22"/>
          <w:szCs w:val="22"/>
        </w:rPr>
        <w:t xml:space="preserve"> and a change-point detector indicates a recent routine shift (algorithmic details in Methods). Differences in missingness across modalities are expected: for example, </w:t>
      </w:r>
      <w:proofErr w:type="gramStart"/>
      <w:r w:rsidR="00D63D51" w:rsidRPr="00D63D51">
        <w:rPr>
          <w:rFonts w:ascii="Arial" w:hAnsi="Arial" w:cs="Arial"/>
          <w:color w:val="000000" w:themeColor="text1"/>
          <w:sz w:val="22"/>
          <w:szCs w:val="22"/>
        </w:rPr>
        <w:t>heart-rate</w:t>
      </w:r>
      <w:proofErr w:type="gramEnd"/>
      <w:r w:rsidR="00D63D51" w:rsidRPr="00D63D51">
        <w:rPr>
          <w:rFonts w:ascii="Arial" w:hAnsi="Arial" w:cs="Arial"/>
          <w:color w:val="000000" w:themeColor="text1"/>
          <w:sz w:val="22"/>
          <w:szCs w:val="22"/>
        </w:rPr>
        <w:t xml:space="preserve"> and actigraphy-derived measures are typically more continuously available, whereas wrist-based SpO</w:t>
      </w:r>
      <w:r w:rsidR="00D63D51" w:rsidRPr="00D63D51">
        <w:rPr>
          <w:rFonts w:ascii="Cambria Math" w:hAnsi="Cambria Math" w:cs="Cambria Math"/>
          <w:color w:val="000000" w:themeColor="text1"/>
          <w:sz w:val="22"/>
          <w:szCs w:val="22"/>
        </w:rPr>
        <w:t>₂</w:t>
      </w:r>
      <w:r w:rsidR="00D63D51" w:rsidRPr="00D63D51">
        <w:rPr>
          <w:rFonts w:ascii="Arial" w:hAnsi="Arial" w:cs="Arial"/>
          <w:color w:val="000000" w:themeColor="text1"/>
          <w:sz w:val="22"/>
          <w:szCs w:val="22"/>
        </w:rPr>
        <w:t xml:space="preserve"> is more sensitive to motion/fit and device quality filters, resulting in more frequent gaps. Location-derived features may also exhibit gaps despite otherwise complete wearable streams due to background-permission settings, mobile operating-system power management, and intermittent GPS/Wi</w:t>
      </w:r>
      <w:r w:rsidR="00D63D51" w:rsidRPr="00D63D51">
        <w:rPr>
          <w:rFonts w:ascii="Arial" w:hAnsi="Arial" w:cs="Arial"/>
          <w:color w:val="000000" w:themeColor="text1"/>
          <w:sz w:val="22"/>
          <w:szCs w:val="22"/>
        </w:rPr>
        <w:noBreakHyphen/>
        <w:t>Fi fixes or upload delays.</w:t>
      </w:r>
      <w:r w:rsidR="00D63D51">
        <w:rPr>
          <w:rFonts w:ascii="Arial" w:hAnsi="Arial" w:cs="Arial"/>
          <w:color w:val="000000" w:themeColor="text1"/>
          <w:sz w:val="22"/>
          <w:szCs w:val="22"/>
        </w:rPr>
        <w:t xml:space="preserve"> </w:t>
      </w:r>
    </w:p>
    <w:p w14:paraId="6BEAB6EC" w14:textId="0DE48B1F" w:rsidR="00D63D51" w:rsidRDefault="00E92680" w:rsidP="00B97F33">
      <w:pPr>
        <w:spacing w:line="480" w:lineRule="auto"/>
        <w:jc w:val="both"/>
        <w:rPr>
          <w:rFonts w:ascii="Arial" w:hAnsi="Arial" w:cs="Arial"/>
          <w:b/>
          <w:bCs/>
          <w:color w:val="000000" w:themeColor="text1"/>
          <w:sz w:val="22"/>
          <w:szCs w:val="22"/>
        </w:rPr>
      </w:pPr>
      <w:r>
        <w:rPr>
          <w:rFonts w:ascii="Arial" w:hAnsi="Arial" w:cs="Arial"/>
          <w:b/>
          <w:bCs/>
          <w:color w:val="000000" w:themeColor="text1"/>
          <w:sz w:val="22"/>
          <w:szCs w:val="22"/>
        </w:rPr>
        <w:t xml:space="preserve">Abbreviations: </w:t>
      </w:r>
      <w:r w:rsidR="00D63D51" w:rsidRPr="00D63D51">
        <w:rPr>
          <w:rFonts w:ascii="Arial" w:hAnsi="Arial" w:cs="Arial"/>
          <w:color w:val="000000" w:themeColor="text1"/>
          <w:sz w:val="22"/>
          <w:szCs w:val="22"/>
        </w:rPr>
        <w:t>SpO</w:t>
      </w:r>
      <w:r w:rsidR="00D63D51" w:rsidRPr="00D63D51">
        <w:rPr>
          <w:rFonts w:ascii="Cambria Math" w:hAnsi="Cambria Math" w:cs="Cambria Math"/>
          <w:color w:val="000000" w:themeColor="text1"/>
          <w:sz w:val="22"/>
          <w:szCs w:val="22"/>
        </w:rPr>
        <w:t>₂</w:t>
      </w:r>
      <w:r w:rsidR="00D63D51">
        <w:rPr>
          <w:rFonts w:ascii="Arial" w:hAnsi="Arial" w:cs="Arial"/>
          <w:color w:val="000000" w:themeColor="text1"/>
          <w:sz w:val="22"/>
          <w:szCs w:val="22"/>
        </w:rPr>
        <w:t>:</w:t>
      </w:r>
      <w:r w:rsidR="00D63D51" w:rsidRPr="00D63D51">
        <w:rPr>
          <w:rFonts w:ascii="Arial" w:hAnsi="Arial" w:cs="Arial"/>
          <w:color w:val="000000" w:themeColor="text1"/>
          <w:sz w:val="22"/>
          <w:szCs w:val="22"/>
        </w:rPr>
        <w:t xml:space="preserve"> peripheral oxygen saturation; VAS</w:t>
      </w:r>
      <w:r w:rsidR="00D63D51">
        <w:rPr>
          <w:rFonts w:ascii="Arial" w:hAnsi="Arial" w:cs="Arial"/>
          <w:color w:val="000000" w:themeColor="text1"/>
          <w:sz w:val="22"/>
          <w:szCs w:val="22"/>
        </w:rPr>
        <w:t>:</w:t>
      </w:r>
      <w:r w:rsidR="00D63D51" w:rsidRPr="00D63D51">
        <w:rPr>
          <w:rFonts w:ascii="Arial" w:hAnsi="Arial" w:cs="Arial"/>
          <w:color w:val="000000" w:themeColor="text1"/>
          <w:sz w:val="22"/>
          <w:szCs w:val="22"/>
        </w:rPr>
        <w:t xml:space="preserve"> visual analogue</w:t>
      </w:r>
      <w:r w:rsidR="00D63D51">
        <w:rPr>
          <w:rFonts w:ascii="Arial" w:hAnsi="Arial" w:cs="Arial"/>
          <w:color w:val="000000" w:themeColor="text1"/>
          <w:sz w:val="22"/>
          <w:szCs w:val="22"/>
        </w:rPr>
        <w:t xml:space="preserve"> (pain)</w:t>
      </w:r>
      <w:r w:rsidR="00D63D51" w:rsidRPr="00D63D51">
        <w:rPr>
          <w:rFonts w:ascii="Arial" w:hAnsi="Arial" w:cs="Arial"/>
          <w:color w:val="000000" w:themeColor="text1"/>
          <w:sz w:val="22"/>
          <w:szCs w:val="22"/>
        </w:rPr>
        <w:t xml:space="preserve"> scale.</w:t>
      </w:r>
      <w:r w:rsidR="00D63D51" w:rsidRPr="00D63D51">
        <w:rPr>
          <w:rFonts w:ascii="Arial" w:hAnsi="Arial" w:cs="Arial"/>
          <w:b/>
          <w:bCs/>
          <w:color w:val="000000" w:themeColor="text1"/>
          <w:sz w:val="22"/>
          <w:szCs w:val="22"/>
        </w:rPr>
        <w:t xml:space="preserve"> </w:t>
      </w:r>
    </w:p>
    <w:p w14:paraId="2D75DE16" w14:textId="77777777" w:rsidR="00224F59" w:rsidRDefault="00224F59" w:rsidP="00B97F33">
      <w:pPr>
        <w:spacing w:line="480" w:lineRule="auto"/>
        <w:jc w:val="both"/>
        <w:rPr>
          <w:rFonts w:ascii="Arial" w:hAnsi="Arial" w:cs="Arial"/>
          <w:b/>
          <w:bCs/>
          <w:color w:val="000000" w:themeColor="text1"/>
          <w:sz w:val="22"/>
          <w:szCs w:val="22"/>
        </w:rPr>
      </w:pPr>
    </w:p>
    <w:p w14:paraId="60C6D0B3" w14:textId="77777777" w:rsidR="009300B5" w:rsidRDefault="009300B5" w:rsidP="00B97F33">
      <w:pPr>
        <w:spacing w:line="480" w:lineRule="auto"/>
        <w:jc w:val="both"/>
        <w:rPr>
          <w:rFonts w:ascii="Arial" w:hAnsi="Arial" w:cs="Arial"/>
          <w:b/>
          <w:bCs/>
          <w:color w:val="FF0000"/>
          <w:sz w:val="22"/>
          <w:szCs w:val="22"/>
        </w:rPr>
      </w:pPr>
    </w:p>
    <w:p w14:paraId="54C24907" w14:textId="1BCDBC3D" w:rsidR="009300B5" w:rsidRDefault="003D7AE6" w:rsidP="00B97F33">
      <w:pPr>
        <w:spacing w:line="480" w:lineRule="auto"/>
        <w:jc w:val="both"/>
        <w:rPr>
          <w:rFonts w:ascii="Arial" w:hAnsi="Arial" w:cs="Arial"/>
          <w:b/>
          <w:bCs/>
          <w:color w:val="FF0000"/>
          <w:sz w:val="22"/>
          <w:szCs w:val="22"/>
        </w:rPr>
      </w:pPr>
      <w:r>
        <w:rPr>
          <w:rFonts w:ascii="Arial" w:hAnsi="Arial" w:cs="Arial"/>
          <w:b/>
          <w:bCs/>
          <w:noProof/>
          <w:color w:val="FF0000"/>
          <w:sz w:val="22"/>
          <w:szCs w:val="22"/>
        </w:rPr>
        <w:lastRenderedPageBreak/>
        <w:drawing>
          <wp:inline distT="0" distB="0" distL="0" distR="0" wp14:anchorId="3EBB4368" wp14:editId="3D6A1BC2">
            <wp:extent cx="3190240" cy="8893810"/>
            <wp:effectExtent l="0" t="0" r="0" b="0"/>
            <wp:docPr id="79813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37783" name="Imagen 798137783"/>
                    <pic:cNvPicPr/>
                  </pic:nvPicPr>
                  <pic:blipFill>
                    <a:blip r:embed="rId6"/>
                    <a:stretch>
                      <a:fillRect/>
                    </a:stretch>
                  </pic:blipFill>
                  <pic:spPr>
                    <a:xfrm>
                      <a:off x="0" y="0"/>
                      <a:ext cx="3190240" cy="8893810"/>
                    </a:xfrm>
                    <a:prstGeom prst="rect">
                      <a:avLst/>
                    </a:prstGeom>
                  </pic:spPr>
                </pic:pic>
              </a:graphicData>
            </a:graphic>
          </wp:inline>
        </w:drawing>
      </w:r>
    </w:p>
    <w:p w14:paraId="424AF396" w14:textId="77777777" w:rsidR="009300B5" w:rsidRDefault="009300B5" w:rsidP="00B97F33">
      <w:pPr>
        <w:spacing w:line="480" w:lineRule="auto"/>
        <w:jc w:val="both"/>
        <w:rPr>
          <w:rFonts w:ascii="Arial" w:hAnsi="Arial" w:cs="Arial"/>
          <w:b/>
          <w:bCs/>
          <w:color w:val="FF0000"/>
          <w:sz w:val="22"/>
          <w:szCs w:val="22"/>
        </w:rPr>
      </w:pPr>
    </w:p>
    <w:p w14:paraId="640304EC" w14:textId="77777777" w:rsidR="009300B5" w:rsidRPr="00AC03A5" w:rsidRDefault="009300B5" w:rsidP="00B97F33">
      <w:pPr>
        <w:spacing w:line="480" w:lineRule="auto"/>
        <w:jc w:val="both"/>
        <w:rPr>
          <w:rFonts w:ascii="Arial" w:hAnsi="Arial" w:cs="Arial"/>
          <w:b/>
          <w:bCs/>
          <w:color w:val="FF0000"/>
          <w:sz w:val="22"/>
          <w:szCs w:val="22"/>
        </w:rPr>
      </w:pPr>
    </w:p>
    <w:p w14:paraId="39F56725" w14:textId="77777777" w:rsidR="00AC03A5" w:rsidRDefault="00AC03A5" w:rsidP="00B97F33">
      <w:pPr>
        <w:spacing w:line="480" w:lineRule="auto"/>
        <w:jc w:val="both"/>
        <w:rPr>
          <w:rFonts w:ascii="Arial" w:hAnsi="Arial" w:cs="Arial"/>
          <w:b/>
          <w:bCs/>
          <w:color w:val="000000" w:themeColor="text1"/>
          <w:sz w:val="22"/>
          <w:szCs w:val="22"/>
        </w:rPr>
      </w:pPr>
    </w:p>
    <w:p w14:paraId="734627DA" w14:textId="77777777" w:rsidR="00E92680" w:rsidRDefault="00AC03A5" w:rsidP="00B97F33">
      <w:pPr>
        <w:spacing w:line="480" w:lineRule="auto"/>
        <w:jc w:val="both"/>
        <w:rPr>
          <w:rFonts w:ascii="Arial" w:hAnsi="Arial" w:cs="Arial"/>
          <w:color w:val="000000" w:themeColor="text1"/>
          <w:sz w:val="22"/>
          <w:szCs w:val="22"/>
        </w:rPr>
      </w:pPr>
      <w:r>
        <w:rPr>
          <w:rFonts w:ascii="Arial" w:hAnsi="Arial" w:cs="Arial"/>
          <w:b/>
          <w:bCs/>
          <w:color w:val="000000" w:themeColor="text1"/>
          <w:sz w:val="22"/>
          <w:szCs w:val="22"/>
        </w:rPr>
        <w:t xml:space="preserve">Figure S2: Examples of passive and active data capture completeness. </w:t>
      </w:r>
      <w:r w:rsidRPr="00AC03A5">
        <w:rPr>
          <w:rFonts w:ascii="Arial" w:hAnsi="Arial" w:cs="Arial"/>
          <w:b/>
          <w:bCs/>
          <w:color w:val="000000" w:themeColor="text1"/>
          <w:sz w:val="22"/>
          <w:szCs w:val="22"/>
        </w:rPr>
        <w:t xml:space="preserve">(A) </w:t>
      </w:r>
      <w:r w:rsidRPr="00AC03A5">
        <w:rPr>
          <w:rFonts w:ascii="Arial" w:hAnsi="Arial" w:cs="Arial"/>
          <w:color w:val="000000" w:themeColor="text1"/>
          <w:sz w:val="22"/>
          <w:szCs w:val="22"/>
        </w:rPr>
        <w:t>Violin plots showing, for each modality summarized in Fig. 1F, the distribution of the daily number of participants with a valid measurement during days 1–90 and days 91–180 on study (stream-specific “valid day” definitions in Methods). SpO</w:t>
      </w:r>
      <w:r w:rsidRPr="00AC03A5">
        <w:rPr>
          <w:rFonts w:ascii="Cambria Math" w:hAnsi="Cambria Math" w:cs="Cambria Math"/>
          <w:color w:val="000000" w:themeColor="text1"/>
          <w:sz w:val="22"/>
          <w:szCs w:val="22"/>
        </w:rPr>
        <w:t>₂</w:t>
      </w:r>
      <w:r w:rsidRPr="00AC03A5">
        <w:rPr>
          <w:rFonts w:ascii="Arial" w:hAnsi="Arial" w:cs="Arial"/>
          <w:color w:val="000000" w:themeColor="text1"/>
          <w:sz w:val="22"/>
          <w:szCs w:val="22"/>
        </w:rPr>
        <w:t xml:space="preserve"> typically shows lower availability than </w:t>
      </w:r>
      <w:proofErr w:type="gramStart"/>
      <w:r w:rsidRPr="00AC03A5">
        <w:rPr>
          <w:rFonts w:ascii="Arial" w:hAnsi="Arial" w:cs="Arial"/>
          <w:color w:val="000000" w:themeColor="text1"/>
          <w:sz w:val="22"/>
          <w:szCs w:val="22"/>
        </w:rPr>
        <w:t>heart-rate</w:t>
      </w:r>
      <w:proofErr w:type="gramEnd"/>
      <w:r w:rsidRPr="00AC03A5">
        <w:rPr>
          <w:rFonts w:ascii="Arial" w:hAnsi="Arial" w:cs="Arial"/>
          <w:color w:val="000000" w:themeColor="text1"/>
          <w:sz w:val="22"/>
          <w:szCs w:val="22"/>
        </w:rPr>
        <w:t xml:space="preserve">, steps, or sleep measures due to stricter quality filtering of wrist-based optical readings. </w:t>
      </w:r>
      <w:r w:rsidRPr="00AC03A5">
        <w:rPr>
          <w:rFonts w:ascii="Arial" w:hAnsi="Arial" w:cs="Arial"/>
          <w:b/>
          <w:bCs/>
          <w:color w:val="000000" w:themeColor="text1"/>
          <w:sz w:val="22"/>
          <w:szCs w:val="22"/>
        </w:rPr>
        <w:t>(B)</w:t>
      </w:r>
      <w:r w:rsidRPr="00AC03A5">
        <w:rPr>
          <w:rFonts w:ascii="Arial" w:hAnsi="Arial" w:cs="Arial"/>
          <w:color w:val="000000" w:themeColor="text1"/>
          <w:sz w:val="22"/>
          <w:szCs w:val="22"/>
        </w:rPr>
        <w:t xml:space="preserve"> Patient-level heatmaps illustrating daily validity of sleep-</w:t>
      </w:r>
      <w:proofErr w:type="spellStart"/>
      <w:r w:rsidRPr="00AC03A5">
        <w:rPr>
          <w:rFonts w:ascii="Arial" w:hAnsi="Arial" w:cs="Arial"/>
          <w:color w:val="000000" w:themeColor="text1"/>
          <w:sz w:val="22"/>
          <w:szCs w:val="22"/>
        </w:rPr>
        <w:t>derived</w:t>
      </w:r>
      <w:proofErr w:type="spellEnd"/>
      <w:r w:rsidRPr="00AC03A5">
        <w:rPr>
          <w:rFonts w:ascii="Arial" w:hAnsi="Arial" w:cs="Arial"/>
          <w:color w:val="000000" w:themeColor="text1"/>
          <w:sz w:val="22"/>
          <w:szCs w:val="22"/>
        </w:rPr>
        <w:t xml:space="preserve"> measures </w:t>
      </w:r>
      <w:r>
        <w:rPr>
          <w:rFonts w:ascii="Arial" w:hAnsi="Arial" w:cs="Arial"/>
          <w:color w:val="000000" w:themeColor="text1"/>
          <w:sz w:val="22"/>
          <w:szCs w:val="22"/>
        </w:rPr>
        <w:t xml:space="preserve">and </w:t>
      </w:r>
      <w:r>
        <w:rPr>
          <w:rFonts w:ascii="Arial" w:hAnsi="Arial" w:cs="Arial"/>
          <w:b/>
          <w:bCs/>
          <w:color w:val="000000" w:themeColor="text1"/>
          <w:sz w:val="22"/>
          <w:szCs w:val="22"/>
        </w:rPr>
        <w:t xml:space="preserve">(C) </w:t>
      </w:r>
      <w:r>
        <w:rPr>
          <w:rFonts w:ascii="Arial" w:hAnsi="Arial" w:cs="Arial"/>
          <w:color w:val="000000" w:themeColor="text1"/>
          <w:sz w:val="22"/>
          <w:szCs w:val="22"/>
        </w:rPr>
        <w:t xml:space="preserve">heart rate metrics </w:t>
      </w:r>
      <w:r w:rsidRPr="00AC03A5">
        <w:rPr>
          <w:rFonts w:ascii="Arial" w:hAnsi="Arial" w:cs="Arial"/>
          <w:color w:val="000000" w:themeColor="text1"/>
          <w:sz w:val="22"/>
          <w:szCs w:val="22"/>
        </w:rPr>
        <w:t>across days 1–90 and days 91–180. Each row corresponds to one participant, ordered by overall completeness. Shorter follow-up reflects censoring due to progression/death, withdrawal, or database lock; intermittent gaps reflect non-wear, device/app interruptions, or failed quality-control criteria. (</w:t>
      </w:r>
      <w:r w:rsidRPr="00AC03A5">
        <w:rPr>
          <w:rFonts w:ascii="Arial" w:hAnsi="Arial" w:cs="Arial"/>
          <w:b/>
          <w:bCs/>
          <w:color w:val="000000" w:themeColor="text1"/>
          <w:sz w:val="22"/>
          <w:szCs w:val="22"/>
        </w:rPr>
        <w:t xml:space="preserve">D) </w:t>
      </w:r>
      <w:r w:rsidRPr="00AC03A5">
        <w:rPr>
          <w:rFonts w:ascii="Arial" w:hAnsi="Arial" w:cs="Arial"/>
          <w:color w:val="000000" w:themeColor="text1"/>
          <w:sz w:val="22"/>
          <w:szCs w:val="22"/>
        </w:rPr>
        <w:t xml:space="preserve">Active engagement with participant-entered measures over time, illustrated using pain VAS reporting across days 1–90 and days 91–180. Plots summarize the distribution of days with an active entry (e.g., percentage of days with a VAS record) per participant in each period and/or representative longitudinal examples, highlighting that active capture is inherently more variable than passive sensing. </w:t>
      </w:r>
    </w:p>
    <w:p w14:paraId="077402F9" w14:textId="6573D7D2" w:rsidR="00AC03A5" w:rsidRDefault="00E92680" w:rsidP="00B97F33">
      <w:pPr>
        <w:spacing w:line="480" w:lineRule="auto"/>
        <w:jc w:val="both"/>
        <w:rPr>
          <w:rFonts w:ascii="Arial" w:hAnsi="Arial" w:cs="Arial"/>
          <w:color w:val="000000" w:themeColor="text1"/>
          <w:sz w:val="22"/>
          <w:szCs w:val="22"/>
        </w:rPr>
      </w:pPr>
      <w:r>
        <w:rPr>
          <w:rFonts w:ascii="Arial" w:hAnsi="Arial" w:cs="Arial"/>
          <w:b/>
          <w:bCs/>
          <w:color w:val="000000" w:themeColor="text1"/>
          <w:sz w:val="22"/>
          <w:szCs w:val="22"/>
        </w:rPr>
        <w:t xml:space="preserve">Abbreviations: </w:t>
      </w:r>
      <w:r w:rsidR="00AC03A5" w:rsidRPr="00AC03A5">
        <w:rPr>
          <w:rFonts w:ascii="Arial" w:hAnsi="Arial" w:cs="Arial"/>
          <w:color w:val="000000" w:themeColor="text1"/>
          <w:sz w:val="22"/>
          <w:szCs w:val="22"/>
        </w:rPr>
        <w:t>VAS</w:t>
      </w:r>
      <w:r w:rsidR="00AC03A5">
        <w:rPr>
          <w:rFonts w:ascii="Arial" w:hAnsi="Arial" w:cs="Arial"/>
          <w:color w:val="000000" w:themeColor="text1"/>
          <w:sz w:val="22"/>
          <w:szCs w:val="22"/>
        </w:rPr>
        <w:t>:</w:t>
      </w:r>
      <w:r w:rsidR="00AC03A5" w:rsidRPr="00AC03A5">
        <w:rPr>
          <w:rFonts w:ascii="Arial" w:hAnsi="Arial" w:cs="Arial"/>
          <w:color w:val="000000" w:themeColor="text1"/>
          <w:sz w:val="22"/>
          <w:szCs w:val="22"/>
        </w:rPr>
        <w:t xml:space="preserve"> visual analogue scale; SpO</w:t>
      </w:r>
      <w:r w:rsidR="00AC03A5" w:rsidRPr="00AC03A5">
        <w:rPr>
          <w:rFonts w:ascii="Cambria Math" w:hAnsi="Cambria Math" w:cs="Cambria Math"/>
          <w:color w:val="000000" w:themeColor="text1"/>
          <w:sz w:val="22"/>
          <w:szCs w:val="22"/>
        </w:rPr>
        <w:t>₂</w:t>
      </w:r>
      <w:r w:rsidR="00AC03A5">
        <w:rPr>
          <w:rFonts w:ascii="Arial" w:hAnsi="Arial" w:cs="Arial"/>
          <w:color w:val="000000" w:themeColor="text1"/>
          <w:sz w:val="22"/>
          <w:szCs w:val="22"/>
        </w:rPr>
        <w:t>:</w:t>
      </w:r>
      <w:r w:rsidR="00AC03A5" w:rsidRPr="00AC03A5">
        <w:rPr>
          <w:rFonts w:ascii="Arial" w:hAnsi="Arial" w:cs="Arial"/>
          <w:color w:val="000000" w:themeColor="text1"/>
          <w:sz w:val="22"/>
          <w:szCs w:val="22"/>
        </w:rPr>
        <w:t xml:space="preserve"> peripheral oxygen saturation.</w:t>
      </w:r>
    </w:p>
    <w:p w14:paraId="34352857" w14:textId="77777777" w:rsidR="00D959F6" w:rsidRDefault="00D959F6" w:rsidP="00B97F33">
      <w:pPr>
        <w:spacing w:line="480" w:lineRule="auto"/>
        <w:jc w:val="both"/>
        <w:rPr>
          <w:rFonts w:ascii="Arial" w:hAnsi="Arial" w:cs="Arial"/>
          <w:color w:val="000000" w:themeColor="text1"/>
          <w:sz w:val="22"/>
          <w:szCs w:val="22"/>
        </w:rPr>
      </w:pPr>
    </w:p>
    <w:p w14:paraId="582C1329" w14:textId="77777777" w:rsidR="009300B5" w:rsidRDefault="009300B5" w:rsidP="00B97F33">
      <w:pPr>
        <w:spacing w:line="480" w:lineRule="auto"/>
        <w:jc w:val="both"/>
        <w:rPr>
          <w:rFonts w:ascii="Arial" w:hAnsi="Arial" w:cs="Arial"/>
          <w:color w:val="000000" w:themeColor="text1"/>
          <w:sz w:val="22"/>
          <w:szCs w:val="22"/>
        </w:rPr>
      </w:pPr>
    </w:p>
    <w:p w14:paraId="37C3882C" w14:textId="437DA43D" w:rsidR="009300B5" w:rsidRDefault="001C3A93" w:rsidP="00B97F33">
      <w:pPr>
        <w:spacing w:line="480" w:lineRule="auto"/>
        <w:jc w:val="both"/>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46127F7E" wp14:editId="290BB48F">
            <wp:extent cx="5396230" cy="4123055"/>
            <wp:effectExtent l="0" t="0" r="1270" b="4445"/>
            <wp:docPr id="1710513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13215" name="Imagen 1710513215"/>
                    <pic:cNvPicPr/>
                  </pic:nvPicPr>
                  <pic:blipFill>
                    <a:blip r:embed="rId7"/>
                    <a:stretch>
                      <a:fillRect/>
                    </a:stretch>
                  </pic:blipFill>
                  <pic:spPr>
                    <a:xfrm>
                      <a:off x="0" y="0"/>
                      <a:ext cx="5396230" cy="4123055"/>
                    </a:xfrm>
                    <a:prstGeom prst="rect">
                      <a:avLst/>
                    </a:prstGeom>
                  </pic:spPr>
                </pic:pic>
              </a:graphicData>
            </a:graphic>
          </wp:inline>
        </w:drawing>
      </w:r>
    </w:p>
    <w:p w14:paraId="6E919519" w14:textId="77777777" w:rsidR="009300B5" w:rsidRDefault="009300B5" w:rsidP="00B97F33">
      <w:pPr>
        <w:spacing w:line="480" w:lineRule="auto"/>
        <w:jc w:val="both"/>
        <w:rPr>
          <w:rFonts w:ascii="Arial" w:hAnsi="Arial" w:cs="Arial"/>
          <w:color w:val="000000" w:themeColor="text1"/>
          <w:sz w:val="22"/>
          <w:szCs w:val="22"/>
        </w:rPr>
      </w:pPr>
    </w:p>
    <w:p w14:paraId="4CA7664D" w14:textId="281D0CAC" w:rsidR="00D959F6" w:rsidRPr="00D959F6" w:rsidRDefault="00D959F6" w:rsidP="00D959F6">
      <w:pPr>
        <w:spacing w:line="480" w:lineRule="auto"/>
        <w:jc w:val="both"/>
        <w:rPr>
          <w:rFonts w:ascii="Arial" w:hAnsi="Arial" w:cs="Arial"/>
          <w:color w:val="000000" w:themeColor="text1"/>
          <w:sz w:val="22"/>
          <w:szCs w:val="22"/>
        </w:rPr>
      </w:pPr>
      <w:r w:rsidRPr="00D959F6">
        <w:rPr>
          <w:rFonts w:ascii="Arial" w:hAnsi="Arial" w:cs="Arial"/>
          <w:b/>
          <w:bCs/>
          <w:color w:val="000000" w:themeColor="text1"/>
          <w:sz w:val="22"/>
          <w:szCs w:val="22"/>
        </w:rPr>
        <w:t>Figure S3. Location-derived mobility and pain analyses by early progression status. (A)</w:t>
      </w:r>
      <w:r w:rsidRPr="00D959F6">
        <w:rPr>
          <w:rFonts w:ascii="Arial" w:hAnsi="Arial" w:cs="Arial"/>
          <w:color w:val="000000" w:themeColor="text1"/>
          <w:sz w:val="22"/>
          <w:szCs w:val="22"/>
        </w:rPr>
        <w:t xml:space="preserve"> Daily </w:t>
      </w:r>
      <w:r w:rsidRPr="00D959F6">
        <w:rPr>
          <w:rFonts w:ascii="Arial" w:hAnsi="Arial" w:cs="Arial"/>
          <w:i/>
          <w:iCs/>
          <w:color w:val="000000" w:themeColor="text1"/>
          <w:sz w:val="22"/>
          <w:szCs w:val="22"/>
        </w:rPr>
        <w:t>location distance</w:t>
      </w:r>
      <w:r w:rsidRPr="00D959F6">
        <w:rPr>
          <w:rFonts w:ascii="Arial" w:hAnsi="Arial" w:cs="Arial"/>
          <w:color w:val="000000" w:themeColor="text1"/>
          <w:sz w:val="22"/>
          <w:szCs w:val="22"/>
        </w:rPr>
        <w:t xml:space="preserve"> across two 15-day windows</w:t>
      </w:r>
      <w:r>
        <w:rPr>
          <w:rFonts w:ascii="Arial" w:hAnsi="Arial" w:cs="Arial"/>
          <w:color w:val="000000" w:themeColor="text1"/>
          <w:sz w:val="22"/>
          <w:szCs w:val="22"/>
        </w:rPr>
        <w:t>. Here, because of the nature of the variable, instead of comparing the two groups for each period, the two periods are compared for each group (early progressors or controls)</w:t>
      </w:r>
      <w:r w:rsidRPr="00D959F6">
        <w:rPr>
          <w:rFonts w:ascii="Arial" w:hAnsi="Arial" w:cs="Arial"/>
          <w:color w:val="000000" w:themeColor="text1"/>
          <w:sz w:val="22"/>
          <w:szCs w:val="22"/>
        </w:rPr>
        <w:t xml:space="preserve">: </w:t>
      </w:r>
      <w:r>
        <w:rPr>
          <w:rFonts w:ascii="Arial" w:hAnsi="Arial" w:cs="Arial"/>
          <w:color w:val="000000" w:themeColor="text1"/>
          <w:sz w:val="22"/>
          <w:szCs w:val="22"/>
        </w:rPr>
        <w:t xml:space="preserve">baseline window (days +1 to +15; “Period 1”) and </w:t>
      </w:r>
      <w:r w:rsidRPr="00D959F6">
        <w:rPr>
          <w:rFonts w:ascii="Arial" w:hAnsi="Arial" w:cs="Arial"/>
          <w:color w:val="000000" w:themeColor="text1"/>
          <w:sz w:val="22"/>
          <w:szCs w:val="22"/>
        </w:rPr>
        <w:t>event-</w:t>
      </w:r>
      <w:r>
        <w:rPr>
          <w:rFonts w:ascii="Arial" w:hAnsi="Arial" w:cs="Arial"/>
          <w:color w:val="000000" w:themeColor="text1"/>
          <w:sz w:val="22"/>
          <w:szCs w:val="22"/>
        </w:rPr>
        <w:t>a</w:t>
      </w:r>
      <w:r w:rsidRPr="00D959F6">
        <w:rPr>
          <w:rFonts w:ascii="Arial" w:hAnsi="Arial" w:cs="Arial"/>
          <w:color w:val="000000" w:themeColor="text1"/>
          <w:sz w:val="22"/>
          <w:szCs w:val="22"/>
        </w:rPr>
        <w:t>nchored window</w:t>
      </w:r>
      <w:r>
        <w:rPr>
          <w:rFonts w:ascii="Arial" w:hAnsi="Arial" w:cs="Arial"/>
          <w:color w:val="000000" w:themeColor="text1"/>
          <w:sz w:val="22"/>
          <w:szCs w:val="22"/>
        </w:rPr>
        <w:t xml:space="preserve"> (</w:t>
      </w:r>
      <w:r w:rsidRPr="00D959F6">
        <w:rPr>
          <w:rFonts w:ascii="Arial" w:hAnsi="Arial" w:cs="Arial"/>
          <w:color w:val="000000" w:themeColor="text1"/>
          <w:sz w:val="22"/>
          <w:szCs w:val="22"/>
        </w:rPr>
        <w:t>days −15 to 0 relative to progression for early progressors, and time-matched windows for controls</w:t>
      </w:r>
      <w:r>
        <w:rPr>
          <w:rFonts w:ascii="Arial" w:hAnsi="Arial" w:cs="Arial"/>
          <w:color w:val="000000" w:themeColor="text1"/>
          <w:sz w:val="22"/>
          <w:szCs w:val="22"/>
        </w:rPr>
        <w:t>, “Period 2”</w:t>
      </w:r>
      <w:r w:rsidRPr="00D959F6">
        <w:rPr>
          <w:rFonts w:ascii="Arial" w:hAnsi="Arial" w:cs="Arial"/>
          <w:color w:val="000000" w:themeColor="text1"/>
          <w:sz w:val="22"/>
          <w:szCs w:val="22"/>
        </w:rPr>
        <w:t xml:space="preserve">). Curves summarize group-level daily trajectories within each window </w:t>
      </w:r>
      <w:r>
        <w:rPr>
          <w:rFonts w:ascii="Arial" w:hAnsi="Arial" w:cs="Arial"/>
          <w:color w:val="000000" w:themeColor="text1"/>
          <w:sz w:val="22"/>
          <w:szCs w:val="22"/>
        </w:rPr>
        <w:t xml:space="preserve">(median distance per day and 95% confidence interval).  </w:t>
      </w:r>
      <w:r w:rsidRPr="00D959F6">
        <w:rPr>
          <w:rFonts w:ascii="Arial" w:hAnsi="Arial" w:cs="Arial"/>
          <w:b/>
          <w:bCs/>
          <w:color w:val="000000" w:themeColor="text1"/>
          <w:sz w:val="22"/>
          <w:szCs w:val="22"/>
        </w:rPr>
        <w:t>(B)</w:t>
      </w:r>
      <w:r w:rsidRPr="00D959F6">
        <w:rPr>
          <w:rFonts w:ascii="Arial" w:hAnsi="Arial" w:cs="Arial"/>
          <w:color w:val="000000" w:themeColor="text1"/>
          <w:sz w:val="22"/>
          <w:szCs w:val="22"/>
        </w:rPr>
        <w:t xml:space="preserve"> </w:t>
      </w:r>
      <w:r>
        <w:rPr>
          <w:rFonts w:ascii="Arial" w:hAnsi="Arial" w:cs="Arial"/>
          <w:color w:val="000000" w:themeColor="text1"/>
          <w:sz w:val="22"/>
          <w:szCs w:val="22"/>
        </w:rPr>
        <w:t>Violin plots of s</w:t>
      </w:r>
      <w:r w:rsidRPr="00D959F6">
        <w:rPr>
          <w:rFonts w:ascii="Arial" w:hAnsi="Arial" w:cs="Arial"/>
          <w:color w:val="000000" w:themeColor="text1"/>
          <w:sz w:val="22"/>
          <w:szCs w:val="22"/>
        </w:rPr>
        <w:t xml:space="preserve">elf-reported pain intensity measured by daily visual analogue scale (VAS) and summarized per participant as the </w:t>
      </w:r>
      <w:r w:rsidR="009300B5">
        <w:rPr>
          <w:rFonts w:ascii="Arial" w:hAnsi="Arial" w:cs="Arial"/>
          <w:color w:val="000000" w:themeColor="text1"/>
          <w:sz w:val="22"/>
          <w:szCs w:val="22"/>
        </w:rPr>
        <w:t>average</w:t>
      </w:r>
      <w:r w:rsidRPr="00D959F6">
        <w:rPr>
          <w:rFonts w:ascii="Arial" w:hAnsi="Arial" w:cs="Arial"/>
          <w:color w:val="000000" w:themeColor="text1"/>
          <w:sz w:val="22"/>
          <w:szCs w:val="22"/>
        </w:rPr>
        <w:t xml:space="preserve"> pain score within each follow-up window. Distributions are shown for early progressors versus participants without early progression across three early follow-up windows (days 0–15, 15–60, and 60–135</w:t>
      </w:r>
      <w:r w:rsidR="009300B5">
        <w:rPr>
          <w:rFonts w:ascii="Arial" w:hAnsi="Arial" w:cs="Arial"/>
          <w:color w:val="000000" w:themeColor="text1"/>
          <w:sz w:val="22"/>
          <w:szCs w:val="22"/>
        </w:rPr>
        <w:t>; P values: 0.18, 0.07 and 0.28, respectively</w:t>
      </w:r>
      <w:r w:rsidRPr="00D959F6">
        <w:rPr>
          <w:rFonts w:ascii="Arial" w:hAnsi="Arial" w:cs="Arial"/>
          <w:color w:val="000000" w:themeColor="text1"/>
          <w:sz w:val="22"/>
          <w:szCs w:val="22"/>
        </w:rPr>
        <w:t xml:space="preserve">). </w:t>
      </w:r>
    </w:p>
    <w:p w14:paraId="4D0C8571" w14:textId="79BC2FE5" w:rsidR="00D959F6" w:rsidRDefault="00D959F6" w:rsidP="00D959F6">
      <w:pPr>
        <w:spacing w:line="480" w:lineRule="auto"/>
        <w:jc w:val="both"/>
        <w:rPr>
          <w:rFonts w:ascii="Arial" w:hAnsi="Arial" w:cs="Arial"/>
          <w:color w:val="000000" w:themeColor="text1"/>
          <w:sz w:val="22"/>
          <w:szCs w:val="22"/>
        </w:rPr>
      </w:pPr>
      <w:r w:rsidRPr="00D959F6">
        <w:rPr>
          <w:rFonts w:ascii="Arial" w:hAnsi="Arial" w:cs="Arial"/>
          <w:b/>
          <w:bCs/>
          <w:color w:val="000000" w:themeColor="text1"/>
          <w:sz w:val="22"/>
          <w:szCs w:val="22"/>
        </w:rPr>
        <w:lastRenderedPageBreak/>
        <w:t>Abbreviations:</w:t>
      </w:r>
      <w:r w:rsidRPr="00D959F6">
        <w:rPr>
          <w:rFonts w:ascii="Arial" w:hAnsi="Arial" w:cs="Arial"/>
          <w:color w:val="000000" w:themeColor="text1"/>
          <w:sz w:val="22"/>
          <w:szCs w:val="22"/>
        </w:rPr>
        <w:t xml:space="preserve"> PD</w:t>
      </w:r>
      <w:r w:rsidR="009300B5">
        <w:rPr>
          <w:rFonts w:ascii="Arial" w:hAnsi="Arial" w:cs="Arial"/>
          <w:color w:val="000000" w:themeColor="text1"/>
          <w:sz w:val="22"/>
          <w:szCs w:val="22"/>
        </w:rPr>
        <w:t>:</w:t>
      </w:r>
      <w:r w:rsidRPr="00D959F6">
        <w:rPr>
          <w:rFonts w:ascii="Arial" w:hAnsi="Arial" w:cs="Arial"/>
          <w:color w:val="000000" w:themeColor="text1"/>
          <w:sz w:val="22"/>
          <w:szCs w:val="22"/>
        </w:rPr>
        <w:t xml:space="preserve"> disease progression; VAS</w:t>
      </w:r>
      <w:r w:rsidR="009300B5">
        <w:rPr>
          <w:rFonts w:ascii="Arial" w:hAnsi="Arial" w:cs="Arial"/>
          <w:color w:val="000000" w:themeColor="text1"/>
          <w:sz w:val="22"/>
          <w:szCs w:val="22"/>
        </w:rPr>
        <w:t>:</w:t>
      </w:r>
      <w:r w:rsidRPr="00D959F6">
        <w:rPr>
          <w:rFonts w:ascii="Arial" w:hAnsi="Arial" w:cs="Arial"/>
          <w:color w:val="000000" w:themeColor="text1"/>
          <w:sz w:val="22"/>
          <w:szCs w:val="22"/>
        </w:rPr>
        <w:t xml:space="preserve"> visual analogue scale.</w:t>
      </w:r>
      <w:r w:rsidR="009300B5" w:rsidRPr="009300B5">
        <w:rPr>
          <w:rFonts w:ascii="Arial" w:hAnsi="Arial" w:cs="Arial"/>
          <w:color w:val="000000" w:themeColor="text1"/>
          <w:sz w:val="22"/>
          <w:szCs w:val="22"/>
        </w:rPr>
        <w:t xml:space="preserve"> *: P&lt;0.05</w:t>
      </w:r>
      <w:r w:rsidR="009300B5">
        <w:rPr>
          <w:rFonts w:ascii="Arial" w:hAnsi="Arial" w:cs="Arial"/>
          <w:color w:val="000000" w:themeColor="text1"/>
          <w:sz w:val="22"/>
          <w:szCs w:val="22"/>
        </w:rPr>
        <w:t>:</w:t>
      </w:r>
      <w:r w:rsidR="009300B5" w:rsidRPr="009300B5">
        <w:rPr>
          <w:rFonts w:ascii="Arial" w:hAnsi="Arial" w:cs="Arial"/>
          <w:color w:val="000000" w:themeColor="text1"/>
          <w:sz w:val="22"/>
          <w:szCs w:val="22"/>
        </w:rPr>
        <w:t xml:space="preserve"> NS: </w:t>
      </w:r>
      <w:r w:rsidR="009300B5">
        <w:rPr>
          <w:rFonts w:ascii="Arial" w:hAnsi="Arial" w:cs="Arial"/>
          <w:color w:val="000000" w:themeColor="text1"/>
          <w:sz w:val="22"/>
          <w:szCs w:val="22"/>
        </w:rPr>
        <w:t>Non-significant.</w:t>
      </w:r>
    </w:p>
    <w:p w14:paraId="38E6193A" w14:textId="77777777" w:rsidR="002E5396" w:rsidRDefault="002E5396" w:rsidP="00D959F6">
      <w:pPr>
        <w:spacing w:line="480" w:lineRule="auto"/>
        <w:jc w:val="both"/>
        <w:rPr>
          <w:rFonts w:ascii="Arial" w:hAnsi="Arial" w:cs="Arial"/>
          <w:color w:val="000000" w:themeColor="text1"/>
          <w:sz w:val="22"/>
          <w:szCs w:val="22"/>
        </w:rPr>
      </w:pPr>
    </w:p>
    <w:p w14:paraId="58BD1DE5" w14:textId="77777777" w:rsidR="002E5396" w:rsidRPr="00D959F6" w:rsidRDefault="002E5396" w:rsidP="00D959F6">
      <w:pPr>
        <w:spacing w:line="480" w:lineRule="auto"/>
        <w:jc w:val="both"/>
        <w:rPr>
          <w:rFonts w:ascii="Arial" w:hAnsi="Arial" w:cs="Arial"/>
          <w:color w:val="000000" w:themeColor="text1"/>
          <w:sz w:val="22"/>
          <w:szCs w:val="22"/>
        </w:rPr>
      </w:pPr>
    </w:p>
    <w:p w14:paraId="4E8FC68D" w14:textId="1D791E9D" w:rsidR="00152B4C" w:rsidRPr="00BF1A8F" w:rsidRDefault="002E5396" w:rsidP="00B97F33">
      <w:pPr>
        <w:spacing w:line="480" w:lineRule="auto"/>
        <w:jc w:val="both"/>
        <w:rPr>
          <w:rFonts w:ascii="Arial" w:hAnsi="Arial" w:cs="Arial"/>
          <w:b/>
          <w:bCs/>
          <w:color w:val="FF0000"/>
          <w:sz w:val="22"/>
          <w:szCs w:val="22"/>
          <w:lang w:val="es-ES"/>
        </w:rPr>
      </w:pPr>
      <w:r>
        <w:rPr>
          <w:rFonts w:ascii="Arial" w:hAnsi="Arial" w:cs="Arial"/>
          <w:b/>
          <w:bCs/>
          <w:noProof/>
          <w:color w:val="FF0000"/>
          <w:sz w:val="22"/>
          <w:szCs w:val="22"/>
          <w:lang w:val="es-ES"/>
        </w:rPr>
        <w:drawing>
          <wp:inline distT="0" distB="0" distL="0" distR="0" wp14:anchorId="4A982229" wp14:editId="5D141A9E">
            <wp:extent cx="5396230" cy="2871470"/>
            <wp:effectExtent l="0" t="0" r="0" b="0"/>
            <wp:docPr id="2242054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05482" name="Imagen 224205482"/>
                    <pic:cNvPicPr/>
                  </pic:nvPicPr>
                  <pic:blipFill>
                    <a:blip r:embed="rId8"/>
                    <a:stretch>
                      <a:fillRect/>
                    </a:stretch>
                  </pic:blipFill>
                  <pic:spPr>
                    <a:xfrm>
                      <a:off x="0" y="0"/>
                      <a:ext cx="5396230" cy="2871470"/>
                    </a:xfrm>
                    <a:prstGeom prst="rect">
                      <a:avLst/>
                    </a:prstGeom>
                  </pic:spPr>
                </pic:pic>
              </a:graphicData>
            </a:graphic>
          </wp:inline>
        </w:drawing>
      </w:r>
    </w:p>
    <w:p w14:paraId="0B9CE8FD" w14:textId="77777777" w:rsidR="001230A9" w:rsidRPr="001C3A93" w:rsidRDefault="001230A9" w:rsidP="00B97F33">
      <w:pPr>
        <w:spacing w:line="480" w:lineRule="auto"/>
        <w:jc w:val="both"/>
        <w:rPr>
          <w:rFonts w:ascii="Arial" w:hAnsi="Arial" w:cs="Arial"/>
          <w:b/>
          <w:bCs/>
          <w:color w:val="FF0000"/>
          <w:sz w:val="22"/>
          <w:szCs w:val="22"/>
        </w:rPr>
      </w:pPr>
    </w:p>
    <w:p w14:paraId="62554732" w14:textId="4FFD2D0F" w:rsidR="001230A9" w:rsidRDefault="00272B0A" w:rsidP="00B97F33">
      <w:pPr>
        <w:spacing w:line="480" w:lineRule="auto"/>
        <w:jc w:val="both"/>
        <w:rPr>
          <w:rFonts w:ascii="Arial" w:hAnsi="Arial" w:cs="Arial"/>
          <w:color w:val="000000" w:themeColor="text1"/>
          <w:sz w:val="22"/>
          <w:szCs w:val="22"/>
        </w:rPr>
      </w:pPr>
      <w:r w:rsidRPr="00272B0A">
        <w:rPr>
          <w:rFonts w:ascii="Arial" w:hAnsi="Arial" w:cs="Arial"/>
          <w:b/>
          <w:bCs/>
          <w:color w:val="000000" w:themeColor="text1"/>
          <w:sz w:val="22"/>
          <w:szCs w:val="22"/>
        </w:rPr>
        <w:t>Figure S4: Behavioral-</w:t>
      </w:r>
      <w:proofErr w:type="spellStart"/>
      <w:r w:rsidRPr="00272B0A">
        <w:rPr>
          <w:rFonts w:ascii="Arial" w:hAnsi="Arial" w:cs="Arial"/>
          <w:b/>
          <w:bCs/>
          <w:color w:val="000000" w:themeColor="text1"/>
          <w:sz w:val="22"/>
          <w:szCs w:val="22"/>
        </w:rPr>
        <w:t>varable</w:t>
      </w:r>
      <w:proofErr w:type="spellEnd"/>
      <w:r w:rsidRPr="00272B0A">
        <w:rPr>
          <w:rFonts w:ascii="Arial" w:hAnsi="Arial" w:cs="Arial"/>
          <w:b/>
          <w:bCs/>
          <w:color w:val="000000" w:themeColor="text1"/>
          <w:sz w:val="22"/>
          <w:szCs w:val="22"/>
        </w:rPr>
        <w:t xml:space="preserve"> pro</w:t>
      </w:r>
      <w:r>
        <w:rPr>
          <w:rFonts w:ascii="Arial" w:hAnsi="Arial" w:cs="Arial"/>
          <w:b/>
          <w:bCs/>
          <w:color w:val="000000" w:themeColor="text1"/>
          <w:sz w:val="22"/>
          <w:szCs w:val="22"/>
        </w:rPr>
        <w:t xml:space="preserve">files across DCABPs. </w:t>
      </w:r>
      <w:r>
        <w:rPr>
          <w:rFonts w:ascii="Arial" w:hAnsi="Arial" w:cs="Arial"/>
          <w:color w:val="000000" w:themeColor="text1"/>
          <w:sz w:val="22"/>
          <w:szCs w:val="22"/>
        </w:rPr>
        <w:t xml:space="preserve">Comparison of the constituent </w:t>
      </w:r>
      <w:r w:rsidR="0069613C">
        <w:rPr>
          <w:rFonts w:ascii="Arial" w:hAnsi="Arial" w:cs="Arial"/>
          <w:color w:val="000000" w:themeColor="text1"/>
          <w:sz w:val="22"/>
          <w:szCs w:val="22"/>
        </w:rPr>
        <w:t xml:space="preserve">behavioral/context variables across DCABPs (DCABP 0-5). Values are shown as standardized Z-scores (relative to the cohort distribution) to enable cross-variable comparison despite differences in units and dynamic range. </w:t>
      </w:r>
    </w:p>
    <w:p w14:paraId="578B4312" w14:textId="054C39B4" w:rsidR="000C1E3C" w:rsidRDefault="004C421B" w:rsidP="00B97F33">
      <w:pPr>
        <w:spacing w:line="480" w:lineRule="auto"/>
        <w:jc w:val="both"/>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584E52BB" wp14:editId="43ED4BFA">
            <wp:extent cx="4396105" cy="8893810"/>
            <wp:effectExtent l="0" t="0" r="0" b="0"/>
            <wp:docPr id="7534954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95415" name="Imagen 753495415"/>
                    <pic:cNvPicPr/>
                  </pic:nvPicPr>
                  <pic:blipFill>
                    <a:blip r:embed="rId9"/>
                    <a:stretch>
                      <a:fillRect/>
                    </a:stretch>
                  </pic:blipFill>
                  <pic:spPr>
                    <a:xfrm>
                      <a:off x="0" y="0"/>
                      <a:ext cx="4396105" cy="8893810"/>
                    </a:xfrm>
                    <a:prstGeom prst="rect">
                      <a:avLst/>
                    </a:prstGeom>
                  </pic:spPr>
                </pic:pic>
              </a:graphicData>
            </a:graphic>
          </wp:inline>
        </w:drawing>
      </w:r>
    </w:p>
    <w:p w14:paraId="6E1C5DC6" w14:textId="77777777" w:rsidR="004C421B" w:rsidRDefault="004C421B" w:rsidP="00B97F33">
      <w:pPr>
        <w:spacing w:line="480" w:lineRule="auto"/>
        <w:jc w:val="both"/>
        <w:rPr>
          <w:rFonts w:ascii="Arial" w:hAnsi="Arial" w:cs="Arial"/>
          <w:b/>
          <w:bCs/>
          <w:color w:val="FF0000"/>
          <w:sz w:val="22"/>
          <w:szCs w:val="22"/>
        </w:rPr>
      </w:pPr>
    </w:p>
    <w:p w14:paraId="1C6A51CF" w14:textId="32B89441" w:rsidR="001230A9" w:rsidRPr="000A72E5" w:rsidRDefault="00890376" w:rsidP="00B97F33">
      <w:pPr>
        <w:spacing w:line="480" w:lineRule="auto"/>
        <w:jc w:val="both"/>
        <w:rPr>
          <w:rFonts w:ascii="Arial" w:hAnsi="Arial" w:cs="Arial"/>
          <w:color w:val="000000" w:themeColor="text1"/>
          <w:sz w:val="22"/>
          <w:szCs w:val="22"/>
        </w:rPr>
      </w:pPr>
      <w:r>
        <w:rPr>
          <w:rFonts w:ascii="Arial" w:hAnsi="Arial" w:cs="Arial"/>
          <w:b/>
          <w:bCs/>
          <w:color w:val="000000" w:themeColor="text1"/>
          <w:sz w:val="22"/>
          <w:szCs w:val="22"/>
        </w:rPr>
        <w:t xml:space="preserve">Figure S5: </w:t>
      </w:r>
      <w:r w:rsidR="000A72E5" w:rsidRPr="000A72E5">
        <w:rPr>
          <w:rFonts w:ascii="Arial" w:hAnsi="Arial" w:cs="Arial"/>
          <w:b/>
          <w:bCs/>
          <w:color w:val="000000" w:themeColor="text1"/>
          <w:sz w:val="22"/>
          <w:szCs w:val="22"/>
        </w:rPr>
        <w:t>Month-1 DCABP assignment, granular pattern switches, and longitudinal quality of life</w:t>
      </w:r>
      <w:r w:rsidR="000A72E5">
        <w:rPr>
          <w:rFonts w:ascii="Arial" w:hAnsi="Arial" w:cs="Arial"/>
          <w:b/>
          <w:bCs/>
          <w:color w:val="000000" w:themeColor="text1"/>
          <w:sz w:val="22"/>
          <w:szCs w:val="22"/>
        </w:rPr>
        <w:t xml:space="preserve">. </w:t>
      </w:r>
      <w:r w:rsidR="000A72E5" w:rsidRPr="000A72E5">
        <w:rPr>
          <w:rFonts w:ascii="Arial" w:hAnsi="Arial" w:cs="Arial"/>
          <w:b/>
          <w:bCs/>
          <w:color w:val="000000" w:themeColor="text1"/>
          <w:sz w:val="22"/>
          <w:szCs w:val="22"/>
        </w:rPr>
        <w:t xml:space="preserve">(A) </w:t>
      </w:r>
      <w:r w:rsidR="000A72E5" w:rsidRPr="000A72E5">
        <w:rPr>
          <w:rFonts w:ascii="Arial" w:hAnsi="Arial" w:cs="Arial"/>
          <w:color w:val="000000" w:themeColor="text1"/>
          <w:sz w:val="22"/>
          <w:szCs w:val="22"/>
        </w:rPr>
        <w:t>Kaplan–Meier estimates of PFS stratified by the month-1 dominant DCABP (dominant DCABP during the first month on study). Tick marks denote censoring. Median PFS was 447 days (95% CI 347–512), 734 days (95% CI 134–1333), 623 days (95% CI 543–702), 446 days (95% CI 306–586), 387 days (95% CI 265–508), and 655 days (95% CI 435–874) for DCABPs 0–5, respectively.</w:t>
      </w:r>
      <w:r w:rsidR="000A72E5">
        <w:rPr>
          <w:rFonts w:ascii="Arial" w:hAnsi="Arial" w:cs="Arial"/>
          <w:color w:val="000000" w:themeColor="text1"/>
          <w:sz w:val="22"/>
          <w:szCs w:val="22"/>
        </w:rPr>
        <w:t xml:space="preserve"> </w:t>
      </w:r>
      <w:r w:rsidR="000A72E5" w:rsidRPr="000A72E5">
        <w:rPr>
          <w:rFonts w:ascii="Arial" w:hAnsi="Arial" w:cs="Arial"/>
          <w:b/>
          <w:bCs/>
          <w:color w:val="000000" w:themeColor="text1"/>
          <w:sz w:val="22"/>
          <w:szCs w:val="22"/>
        </w:rPr>
        <w:t>(B)</w:t>
      </w:r>
      <w:r w:rsidR="000A72E5" w:rsidRPr="000A72E5">
        <w:rPr>
          <w:rFonts w:ascii="Arial" w:hAnsi="Arial" w:cs="Arial"/>
          <w:color w:val="000000" w:themeColor="text1"/>
          <w:sz w:val="22"/>
          <w:szCs w:val="22"/>
        </w:rPr>
        <w:t xml:space="preserve"> Sankey diagram showing granular DCABP transitions from month 1 (left; DCABP 0–5) to the overall dominant DCABP over follow-up (right). Stream widths are proportional to the number of participants in each transition.</w:t>
      </w:r>
      <w:r w:rsidR="000A72E5">
        <w:rPr>
          <w:rFonts w:ascii="Arial" w:hAnsi="Arial" w:cs="Arial"/>
          <w:color w:val="000000" w:themeColor="text1"/>
          <w:sz w:val="22"/>
          <w:szCs w:val="22"/>
        </w:rPr>
        <w:t xml:space="preserve"> </w:t>
      </w:r>
      <w:r w:rsidR="000A72E5">
        <w:rPr>
          <w:rFonts w:ascii="Arial" w:hAnsi="Arial" w:cs="Arial"/>
          <w:b/>
          <w:bCs/>
          <w:color w:val="000000" w:themeColor="text1"/>
          <w:sz w:val="22"/>
          <w:szCs w:val="22"/>
        </w:rPr>
        <w:t>(C</w:t>
      </w:r>
      <w:r w:rsidR="000A72E5" w:rsidRPr="000A72E5">
        <w:rPr>
          <w:rFonts w:ascii="Arial" w:hAnsi="Arial" w:cs="Arial"/>
          <w:b/>
          <w:bCs/>
          <w:color w:val="000000" w:themeColor="text1"/>
          <w:sz w:val="22"/>
          <w:szCs w:val="22"/>
        </w:rPr>
        <w:t>)</w:t>
      </w:r>
      <w:r w:rsidR="000A72E5" w:rsidRPr="000A72E5">
        <w:rPr>
          <w:rFonts w:ascii="Arial" w:hAnsi="Arial" w:cs="Arial"/>
          <w:color w:val="000000" w:themeColor="text1"/>
          <w:sz w:val="22"/>
          <w:szCs w:val="22"/>
        </w:rPr>
        <w:t xml:space="preserve"> Longitudinal evolution of EORTC QLQ</w:t>
      </w:r>
      <w:r w:rsidR="000A72E5" w:rsidRPr="000A72E5">
        <w:rPr>
          <w:rFonts w:ascii="Arial" w:hAnsi="Arial" w:cs="Arial"/>
          <w:color w:val="000000" w:themeColor="text1"/>
          <w:sz w:val="22"/>
          <w:szCs w:val="22"/>
        </w:rPr>
        <w:noBreakHyphen/>
        <w:t>C30 summary score stratified by overall dominant hyper-DCABP (F-DCABP vs U-DCABP). Lines show monthly mean scores; shaded bands denote uncertainty (95% confidence intervals, as defined in Methods).</w:t>
      </w:r>
      <w:r w:rsidR="000A72E5">
        <w:rPr>
          <w:rFonts w:ascii="Arial" w:hAnsi="Arial" w:cs="Arial"/>
          <w:color w:val="000000" w:themeColor="text1"/>
          <w:sz w:val="22"/>
          <w:szCs w:val="22"/>
        </w:rPr>
        <w:t xml:space="preserve"> </w:t>
      </w:r>
      <w:r w:rsidR="000A72E5" w:rsidRPr="000A72E5">
        <w:rPr>
          <w:rFonts w:ascii="Arial" w:hAnsi="Arial" w:cs="Arial"/>
          <w:b/>
          <w:bCs/>
          <w:color w:val="000000" w:themeColor="text1"/>
          <w:sz w:val="22"/>
          <w:szCs w:val="22"/>
        </w:rPr>
        <w:t>Abbreviations:</w:t>
      </w:r>
      <w:r w:rsidR="000A72E5" w:rsidRPr="000A72E5">
        <w:rPr>
          <w:rFonts w:ascii="Arial" w:hAnsi="Arial" w:cs="Arial"/>
          <w:color w:val="000000" w:themeColor="text1"/>
          <w:sz w:val="22"/>
          <w:szCs w:val="22"/>
        </w:rPr>
        <w:t xml:space="preserve"> DCABP</w:t>
      </w:r>
      <w:r w:rsidR="000A72E5">
        <w:rPr>
          <w:rFonts w:ascii="Arial" w:hAnsi="Arial" w:cs="Arial"/>
          <w:color w:val="000000" w:themeColor="text1"/>
          <w:sz w:val="22"/>
          <w:szCs w:val="22"/>
        </w:rPr>
        <w:t>:</w:t>
      </w:r>
      <w:r w:rsidR="000A72E5" w:rsidRPr="000A72E5">
        <w:rPr>
          <w:rFonts w:ascii="Arial" w:hAnsi="Arial" w:cs="Arial"/>
          <w:color w:val="000000" w:themeColor="text1"/>
          <w:sz w:val="22"/>
          <w:szCs w:val="22"/>
        </w:rPr>
        <w:t xml:space="preserve"> disease-control–associated behavioral pattern; F-DCABP</w:t>
      </w:r>
      <w:r w:rsidR="000A72E5">
        <w:rPr>
          <w:rFonts w:ascii="Arial" w:hAnsi="Arial" w:cs="Arial"/>
          <w:color w:val="000000" w:themeColor="text1"/>
          <w:sz w:val="22"/>
          <w:szCs w:val="22"/>
        </w:rPr>
        <w:t>:</w:t>
      </w:r>
      <w:r w:rsidR="000A72E5" w:rsidRPr="000A72E5">
        <w:rPr>
          <w:rFonts w:ascii="Arial" w:hAnsi="Arial" w:cs="Arial"/>
          <w:color w:val="000000" w:themeColor="text1"/>
          <w:sz w:val="22"/>
          <w:szCs w:val="22"/>
        </w:rPr>
        <w:t xml:space="preserve"> favorable hyper-DCABP; U-DCABP</w:t>
      </w:r>
      <w:r w:rsidR="000A72E5">
        <w:rPr>
          <w:rFonts w:ascii="Arial" w:hAnsi="Arial" w:cs="Arial"/>
          <w:color w:val="000000" w:themeColor="text1"/>
          <w:sz w:val="22"/>
          <w:szCs w:val="22"/>
        </w:rPr>
        <w:t xml:space="preserve">: </w:t>
      </w:r>
      <w:r w:rsidR="000A72E5" w:rsidRPr="000A72E5">
        <w:rPr>
          <w:rFonts w:ascii="Arial" w:hAnsi="Arial" w:cs="Arial"/>
          <w:color w:val="000000" w:themeColor="text1"/>
          <w:sz w:val="22"/>
          <w:szCs w:val="22"/>
        </w:rPr>
        <w:t>unfavorable hyper-DCABP; PFS</w:t>
      </w:r>
      <w:r w:rsidR="000A72E5">
        <w:rPr>
          <w:rFonts w:ascii="Arial" w:hAnsi="Arial" w:cs="Arial"/>
          <w:color w:val="000000" w:themeColor="text1"/>
          <w:sz w:val="22"/>
          <w:szCs w:val="22"/>
        </w:rPr>
        <w:t>:</w:t>
      </w:r>
      <w:r w:rsidR="000A72E5" w:rsidRPr="000A72E5">
        <w:rPr>
          <w:rFonts w:ascii="Arial" w:hAnsi="Arial" w:cs="Arial"/>
          <w:color w:val="000000" w:themeColor="text1"/>
          <w:sz w:val="22"/>
          <w:szCs w:val="22"/>
        </w:rPr>
        <w:t xml:space="preserve"> progression-free survival; CI</w:t>
      </w:r>
      <w:r w:rsidR="000A72E5">
        <w:rPr>
          <w:rFonts w:ascii="Arial" w:hAnsi="Arial" w:cs="Arial"/>
          <w:color w:val="000000" w:themeColor="text1"/>
          <w:sz w:val="22"/>
          <w:szCs w:val="22"/>
        </w:rPr>
        <w:t>:</w:t>
      </w:r>
      <w:r w:rsidR="000A72E5" w:rsidRPr="000A72E5">
        <w:rPr>
          <w:rFonts w:ascii="Arial" w:hAnsi="Arial" w:cs="Arial"/>
          <w:color w:val="000000" w:themeColor="text1"/>
          <w:sz w:val="22"/>
          <w:szCs w:val="22"/>
        </w:rPr>
        <w:t xml:space="preserve"> confidence interval.</w:t>
      </w:r>
    </w:p>
    <w:p w14:paraId="37B58072" w14:textId="77777777" w:rsidR="001230A9" w:rsidRDefault="001230A9" w:rsidP="00B97F33">
      <w:pPr>
        <w:spacing w:line="480" w:lineRule="auto"/>
        <w:jc w:val="both"/>
        <w:rPr>
          <w:rFonts w:ascii="Arial" w:hAnsi="Arial" w:cs="Arial"/>
          <w:b/>
          <w:bCs/>
          <w:color w:val="FF0000"/>
          <w:sz w:val="22"/>
          <w:szCs w:val="22"/>
        </w:rPr>
      </w:pPr>
    </w:p>
    <w:p w14:paraId="638332DC" w14:textId="55BDD9C0" w:rsidR="00DC784F" w:rsidRDefault="00DC784F" w:rsidP="00B97F33">
      <w:pPr>
        <w:spacing w:line="480" w:lineRule="auto"/>
        <w:jc w:val="both"/>
        <w:rPr>
          <w:rFonts w:ascii="Arial" w:hAnsi="Arial" w:cs="Arial"/>
          <w:b/>
          <w:bCs/>
          <w:color w:val="FF0000"/>
          <w:sz w:val="22"/>
          <w:szCs w:val="22"/>
        </w:rPr>
      </w:pPr>
      <w:r>
        <w:rPr>
          <w:rFonts w:ascii="Arial" w:hAnsi="Arial" w:cs="Arial"/>
          <w:b/>
          <w:bCs/>
          <w:color w:val="FF0000"/>
          <w:sz w:val="22"/>
          <w:szCs w:val="22"/>
        </w:rPr>
        <w:t>Figure S6</w:t>
      </w:r>
    </w:p>
    <w:p w14:paraId="31FC32AF" w14:textId="77777777" w:rsidR="00B57B02" w:rsidRDefault="00B57B02" w:rsidP="00B57B02">
      <w:pPr>
        <w:spacing w:line="480" w:lineRule="auto"/>
        <w:jc w:val="both"/>
        <w:rPr>
          <w:rFonts w:ascii="Arial" w:hAnsi="Arial" w:cs="Arial"/>
          <w:b/>
          <w:bCs/>
          <w:color w:val="000000" w:themeColor="text1"/>
          <w:sz w:val="22"/>
          <w:szCs w:val="22"/>
        </w:rPr>
      </w:pPr>
    </w:p>
    <w:p w14:paraId="38598FF1" w14:textId="6A17E6C0" w:rsidR="00B57B02" w:rsidRPr="00B57B02" w:rsidRDefault="00DC784F" w:rsidP="00B57B02">
      <w:pPr>
        <w:spacing w:line="480" w:lineRule="auto"/>
        <w:jc w:val="both"/>
        <w:rPr>
          <w:rFonts w:ascii="Arial" w:hAnsi="Arial" w:cs="Arial"/>
          <w:sz w:val="22"/>
          <w:szCs w:val="22"/>
        </w:rPr>
      </w:pPr>
      <w:r w:rsidRPr="00B57B02">
        <w:rPr>
          <w:rFonts w:ascii="Arial" w:hAnsi="Arial" w:cs="Arial"/>
          <w:b/>
          <w:bCs/>
          <w:color w:val="000000" w:themeColor="text1"/>
          <w:sz w:val="22"/>
          <w:szCs w:val="22"/>
        </w:rPr>
        <w:t xml:space="preserve">Figure S6: </w:t>
      </w:r>
      <w:r w:rsidR="00B57B02" w:rsidRPr="00B57B02">
        <w:rPr>
          <w:rStyle w:val="Textoennegrita"/>
          <w:rFonts w:ascii="Arial" w:hAnsi="Arial" w:cs="Arial"/>
          <w:sz w:val="22"/>
          <w:szCs w:val="22"/>
        </w:rPr>
        <w:t>Month-level dominant DCABP occupancy across participants.</w:t>
      </w:r>
      <w:r w:rsidR="00B57B02" w:rsidRPr="00B57B02">
        <w:rPr>
          <w:rFonts w:ascii="Arial" w:hAnsi="Arial" w:cs="Arial"/>
          <w:sz w:val="22"/>
          <w:szCs w:val="22"/>
        </w:rPr>
        <w:br/>
        <w:t xml:space="preserve">Month-level heatmap showing each participant’s </w:t>
      </w:r>
      <w:r w:rsidR="00B57B02" w:rsidRPr="00B57B02">
        <w:rPr>
          <w:rStyle w:val="Textoennegrita"/>
          <w:rFonts w:ascii="Arial" w:hAnsi="Arial" w:cs="Arial"/>
          <w:b w:val="0"/>
          <w:bCs w:val="0"/>
          <w:sz w:val="22"/>
          <w:szCs w:val="22"/>
        </w:rPr>
        <w:t>dominant DCABP (0–5)</w:t>
      </w:r>
      <w:r w:rsidR="00B57B02" w:rsidRPr="00B57B02">
        <w:rPr>
          <w:rFonts w:ascii="Arial" w:hAnsi="Arial" w:cs="Arial"/>
          <w:sz w:val="22"/>
          <w:szCs w:val="22"/>
        </w:rPr>
        <w:t xml:space="preserve"> over follow-up (one tile per month; white, not observed/not available). Participants are grouped by progression status and ordered by follow-up; the month in which progression was identified is outlined in black.</w:t>
      </w:r>
    </w:p>
    <w:p w14:paraId="0CC3ECA1" w14:textId="5EF3F0C2" w:rsidR="00DC784F" w:rsidRPr="00DC784F" w:rsidRDefault="00DC784F" w:rsidP="00B97F33">
      <w:pPr>
        <w:spacing w:line="480" w:lineRule="auto"/>
        <w:jc w:val="both"/>
        <w:rPr>
          <w:rFonts w:ascii="Arial" w:hAnsi="Arial" w:cs="Arial"/>
          <w:b/>
          <w:bCs/>
          <w:color w:val="000000" w:themeColor="text1"/>
          <w:sz w:val="22"/>
          <w:szCs w:val="22"/>
        </w:rPr>
      </w:pPr>
    </w:p>
    <w:p w14:paraId="22CB29CA" w14:textId="77777777" w:rsidR="001230A9" w:rsidRPr="00272B0A" w:rsidRDefault="001230A9" w:rsidP="00B97F33">
      <w:pPr>
        <w:spacing w:line="480" w:lineRule="auto"/>
        <w:jc w:val="both"/>
        <w:rPr>
          <w:rFonts w:ascii="Arial" w:hAnsi="Arial" w:cs="Arial"/>
          <w:b/>
          <w:bCs/>
          <w:color w:val="FF0000"/>
          <w:sz w:val="22"/>
          <w:szCs w:val="22"/>
        </w:rPr>
      </w:pPr>
    </w:p>
    <w:p w14:paraId="49B59E75" w14:textId="4380A969" w:rsidR="00782F6E" w:rsidRDefault="00782F6E" w:rsidP="00B97F33">
      <w:pPr>
        <w:spacing w:line="480" w:lineRule="auto"/>
        <w:jc w:val="both"/>
        <w:rPr>
          <w:rFonts w:ascii="Arial" w:hAnsi="Arial" w:cs="Arial"/>
          <w:b/>
          <w:bCs/>
          <w:color w:val="FF0000"/>
          <w:sz w:val="22"/>
          <w:szCs w:val="22"/>
        </w:rPr>
      </w:pPr>
    </w:p>
    <w:p w14:paraId="3A7CEFAD" w14:textId="685EF5D1" w:rsidR="00150DA2" w:rsidRDefault="004E2A77" w:rsidP="00B97F33">
      <w:pPr>
        <w:spacing w:line="480" w:lineRule="auto"/>
        <w:jc w:val="both"/>
        <w:rPr>
          <w:rFonts w:ascii="Arial" w:hAnsi="Arial" w:cs="Arial"/>
          <w:b/>
          <w:bCs/>
          <w:color w:val="FF0000"/>
          <w:sz w:val="22"/>
          <w:szCs w:val="22"/>
        </w:rPr>
      </w:pPr>
      <w:r>
        <w:rPr>
          <w:rFonts w:ascii="Arial" w:hAnsi="Arial" w:cs="Arial"/>
          <w:b/>
          <w:bCs/>
          <w:color w:val="FF0000"/>
          <w:sz w:val="22"/>
          <w:szCs w:val="22"/>
        </w:rPr>
        <w:t>Figure S7</w:t>
      </w:r>
    </w:p>
    <w:p w14:paraId="6185A72F" w14:textId="77777777" w:rsidR="004E2A77" w:rsidRDefault="004E2A77" w:rsidP="00B97F33">
      <w:pPr>
        <w:spacing w:line="480" w:lineRule="auto"/>
        <w:jc w:val="both"/>
        <w:rPr>
          <w:rFonts w:ascii="Arial" w:hAnsi="Arial" w:cs="Arial"/>
          <w:b/>
          <w:bCs/>
          <w:color w:val="FF0000"/>
          <w:sz w:val="22"/>
          <w:szCs w:val="22"/>
        </w:rPr>
      </w:pPr>
    </w:p>
    <w:p w14:paraId="16C48C6E" w14:textId="77777777" w:rsidR="001F2591" w:rsidRDefault="001F2591" w:rsidP="00B97F33">
      <w:pPr>
        <w:spacing w:line="480" w:lineRule="auto"/>
        <w:jc w:val="both"/>
        <w:rPr>
          <w:rFonts w:ascii="Arial" w:hAnsi="Arial" w:cs="Arial"/>
          <w:b/>
          <w:bCs/>
          <w:color w:val="FF0000"/>
          <w:sz w:val="22"/>
          <w:szCs w:val="22"/>
        </w:rPr>
      </w:pPr>
    </w:p>
    <w:p w14:paraId="286B98FA" w14:textId="4D525AC3" w:rsidR="001F2591" w:rsidRDefault="001F2591" w:rsidP="00B97F33">
      <w:pPr>
        <w:spacing w:line="480" w:lineRule="auto"/>
        <w:jc w:val="both"/>
        <w:rPr>
          <w:rFonts w:ascii="Arial" w:hAnsi="Arial" w:cs="Arial"/>
          <w:b/>
          <w:bCs/>
          <w:color w:val="FF0000"/>
          <w:sz w:val="22"/>
          <w:szCs w:val="22"/>
        </w:rPr>
      </w:pPr>
    </w:p>
    <w:p w14:paraId="3B8A911B" w14:textId="26A4F56C" w:rsidR="00284E77" w:rsidRDefault="00284E77" w:rsidP="00B97F33">
      <w:pPr>
        <w:spacing w:line="480" w:lineRule="auto"/>
        <w:jc w:val="both"/>
        <w:rPr>
          <w:rFonts w:ascii="Arial" w:hAnsi="Arial" w:cs="Arial"/>
          <w:b/>
          <w:bCs/>
          <w:color w:val="000000" w:themeColor="text1"/>
          <w:sz w:val="22"/>
          <w:szCs w:val="22"/>
        </w:rPr>
      </w:pPr>
      <w:r>
        <w:rPr>
          <w:rFonts w:ascii="Arial" w:hAnsi="Arial" w:cs="Arial"/>
          <w:b/>
          <w:bCs/>
          <w:noProof/>
          <w:color w:val="000000" w:themeColor="text1"/>
          <w:sz w:val="22"/>
          <w:szCs w:val="22"/>
        </w:rPr>
        <w:drawing>
          <wp:inline distT="0" distB="0" distL="0" distR="0" wp14:anchorId="52F41C49" wp14:editId="5D0C9E7B">
            <wp:extent cx="2413450" cy="1981199"/>
            <wp:effectExtent l="0" t="0" r="0" b="635"/>
            <wp:docPr id="234706095"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6095" name="Imagen 1" descr="Gráfico, Histo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4447" cy="1998436"/>
                    </a:xfrm>
                    <a:prstGeom prst="rect">
                      <a:avLst/>
                    </a:prstGeom>
                  </pic:spPr>
                </pic:pic>
              </a:graphicData>
            </a:graphic>
          </wp:inline>
        </w:drawing>
      </w:r>
      <w:r>
        <w:rPr>
          <w:rFonts w:ascii="Arial" w:hAnsi="Arial" w:cs="Arial"/>
          <w:b/>
          <w:bCs/>
          <w:noProof/>
          <w:color w:val="000000" w:themeColor="text1"/>
          <w:sz w:val="22"/>
          <w:szCs w:val="22"/>
        </w:rPr>
        <w:drawing>
          <wp:inline distT="0" distB="0" distL="0" distR="0" wp14:anchorId="061080E4" wp14:editId="7085EE1C">
            <wp:extent cx="2370311" cy="1945786"/>
            <wp:effectExtent l="0" t="0" r="5080" b="0"/>
            <wp:docPr id="382364325"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4325" name="Imagen 3" descr="Gráfic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6521" cy="1983719"/>
                    </a:xfrm>
                    <a:prstGeom prst="rect">
                      <a:avLst/>
                    </a:prstGeom>
                  </pic:spPr>
                </pic:pic>
              </a:graphicData>
            </a:graphic>
          </wp:inline>
        </w:drawing>
      </w:r>
    </w:p>
    <w:p w14:paraId="7B2D4AFF" w14:textId="77777777" w:rsidR="0077703E" w:rsidRDefault="0077703E" w:rsidP="00B97F33">
      <w:pPr>
        <w:spacing w:line="480" w:lineRule="auto"/>
        <w:jc w:val="both"/>
        <w:rPr>
          <w:rFonts w:ascii="Arial" w:hAnsi="Arial" w:cs="Arial"/>
          <w:b/>
          <w:bCs/>
          <w:color w:val="000000" w:themeColor="text1"/>
          <w:sz w:val="22"/>
          <w:szCs w:val="22"/>
        </w:rPr>
      </w:pPr>
    </w:p>
    <w:p w14:paraId="5BA39021" w14:textId="2CDD32E8" w:rsidR="0077703E" w:rsidRDefault="0077703E" w:rsidP="00B97F33">
      <w:pPr>
        <w:spacing w:line="480" w:lineRule="auto"/>
        <w:jc w:val="both"/>
        <w:rPr>
          <w:rFonts w:ascii="Arial" w:hAnsi="Arial" w:cs="Arial"/>
          <w:b/>
          <w:bCs/>
          <w:color w:val="000000" w:themeColor="text1"/>
          <w:sz w:val="22"/>
          <w:szCs w:val="22"/>
        </w:rPr>
      </w:pPr>
      <w:r>
        <w:rPr>
          <w:rFonts w:ascii="Arial" w:hAnsi="Arial" w:cs="Arial"/>
          <w:b/>
          <w:bCs/>
          <w:noProof/>
          <w:color w:val="FF0000"/>
          <w:sz w:val="22"/>
          <w:szCs w:val="22"/>
        </w:rPr>
        <w:drawing>
          <wp:inline distT="0" distB="0" distL="0" distR="0" wp14:anchorId="3CF6BDDB" wp14:editId="2E222F86">
            <wp:extent cx="5396230" cy="2691130"/>
            <wp:effectExtent l="0" t="0" r="1270" b="1270"/>
            <wp:docPr id="871474211" name="Imagen 1" descr="Gráfico,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4211" name="Imagen 1" descr="Gráfico, Gráfico de embudo&#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6230" cy="2691130"/>
                    </a:xfrm>
                    <a:prstGeom prst="rect">
                      <a:avLst/>
                    </a:prstGeom>
                  </pic:spPr>
                </pic:pic>
              </a:graphicData>
            </a:graphic>
          </wp:inline>
        </w:drawing>
      </w:r>
    </w:p>
    <w:p w14:paraId="49C06C31" w14:textId="77777777" w:rsidR="0077703E" w:rsidRDefault="0077703E" w:rsidP="00B97F33">
      <w:pPr>
        <w:spacing w:line="480" w:lineRule="auto"/>
        <w:jc w:val="both"/>
        <w:rPr>
          <w:rFonts w:ascii="Arial" w:hAnsi="Arial" w:cs="Arial"/>
          <w:b/>
          <w:bCs/>
          <w:color w:val="000000" w:themeColor="text1"/>
          <w:sz w:val="22"/>
          <w:szCs w:val="22"/>
        </w:rPr>
      </w:pPr>
    </w:p>
    <w:p w14:paraId="2148EC13" w14:textId="77777777" w:rsidR="0077703E" w:rsidRPr="0077703E" w:rsidRDefault="0077703E" w:rsidP="0077703E">
      <w:pPr>
        <w:spacing w:line="480" w:lineRule="auto"/>
        <w:jc w:val="both"/>
        <w:rPr>
          <w:rFonts w:ascii="Arial" w:hAnsi="Arial" w:cs="Arial"/>
          <w:color w:val="FF0000"/>
          <w:sz w:val="22"/>
          <w:szCs w:val="22"/>
        </w:rPr>
      </w:pPr>
      <w:r w:rsidRPr="0077703E">
        <w:rPr>
          <w:rFonts w:ascii="Arial" w:hAnsi="Arial" w:cs="Arial"/>
          <w:b/>
          <w:bCs/>
          <w:color w:val="FF0000"/>
          <w:sz w:val="22"/>
          <w:szCs w:val="22"/>
        </w:rPr>
        <w:t xml:space="preserve">Figure S7: Genomic and transcriptomic correlates of hyper-DCABPs. (A) </w:t>
      </w:r>
      <w:r w:rsidRPr="0077703E">
        <w:rPr>
          <w:rFonts w:ascii="Arial" w:hAnsi="Arial" w:cs="Arial"/>
          <w:color w:val="FF0000"/>
          <w:sz w:val="22"/>
          <w:szCs w:val="22"/>
        </w:rPr>
        <w:t xml:space="preserve">PFS Kaplan-Meier estimates of </w:t>
      </w:r>
      <w:proofErr w:type="spellStart"/>
      <w:r w:rsidRPr="0077703E">
        <w:rPr>
          <w:rFonts w:ascii="Arial" w:hAnsi="Arial" w:cs="Arial"/>
          <w:color w:val="FF0000"/>
          <w:sz w:val="22"/>
          <w:szCs w:val="22"/>
        </w:rPr>
        <w:t>patietns</w:t>
      </w:r>
      <w:proofErr w:type="spellEnd"/>
      <w:r w:rsidRPr="0077703E">
        <w:rPr>
          <w:rFonts w:ascii="Arial" w:hAnsi="Arial" w:cs="Arial"/>
          <w:color w:val="FF0000"/>
          <w:sz w:val="22"/>
          <w:szCs w:val="22"/>
        </w:rPr>
        <w:t xml:space="preserve"> according to their TP53 and PLEC tumor mutational status</w:t>
      </w:r>
      <w:r w:rsidRPr="0077703E">
        <w:rPr>
          <w:rFonts w:ascii="Arial" w:hAnsi="Arial" w:cs="Arial"/>
          <w:color w:val="000000" w:themeColor="text1"/>
          <w:sz w:val="22"/>
          <w:szCs w:val="22"/>
        </w:rPr>
        <w:t xml:space="preserve">. </w:t>
      </w:r>
      <w:r w:rsidRPr="0077703E">
        <w:rPr>
          <w:rFonts w:ascii="Arial" w:hAnsi="Arial" w:cs="Arial"/>
          <w:b/>
          <w:bCs/>
          <w:color w:val="000000" w:themeColor="text1"/>
          <w:sz w:val="22"/>
          <w:szCs w:val="22"/>
        </w:rPr>
        <w:t>(B)</w:t>
      </w:r>
      <w:r w:rsidRPr="0077703E">
        <w:rPr>
          <w:rFonts w:ascii="Arial" w:hAnsi="Arial" w:cs="Arial"/>
          <w:color w:val="000000" w:themeColor="text1"/>
          <w:sz w:val="22"/>
          <w:szCs w:val="22"/>
        </w:rPr>
        <w:t xml:space="preserve"> Plot representing the </w:t>
      </w:r>
      <w:proofErr w:type="spellStart"/>
      <w:r w:rsidRPr="0077703E">
        <w:rPr>
          <w:rFonts w:ascii="Arial" w:hAnsi="Arial" w:cs="Arial"/>
          <w:color w:val="000000" w:themeColor="text1"/>
          <w:sz w:val="22"/>
          <w:szCs w:val="22"/>
        </w:rPr>
        <w:t>Reactome</w:t>
      </w:r>
      <w:proofErr w:type="spellEnd"/>
      <w:r w:rsidRPr="0077703E">
        <w:rPr>
          <w:rFonts w:ascii="Arial" w:hAnsi="Arial" w:cs="Arial"/>
          <w:color w:val="000000" w:themeColor="text1"/>
          <w:sz w:val="22"/>
          <w:szCs w:val="22"/>
        </w:rPr>
        <w:t xml:space="preserve"> gene sets enriched in PBMCs from patients with a predominant F-DCABP. </w:t>
      </w:r>
    </w:p>
    <w:p w14:paraId="068E6F1A" w14:textId="77777777" w:rsidR="0077703E" w:rsidRDefault="0077703E" w:rsidP="00B97F33">
      <w:pPr>
        <w:spacing w:line="480" w:lineRule="auto"/>
        <w:jc w:val="both"/>
        <w:rPr>
          <w:rFonts w:ascii="Arial" w:hAnsi="Arial" w:cs="Arial"/>
          <w:b/>
          <w:bCs/>
          <w:color w:val="000000" w:themeColor="text1"/>
          <w:sz w:val="22"/>
          <w:szCs w:val="22"/>
        </w:rPr>
      </w:pPr>
    </w:p>
    <w:p w14:paraId="47D74E11" w14:textId="1E941AF1" w:rsidR="008509EA" w:rsidRDefault="008509EA" w:rsidP="00B97F33">
      <w:pPr>
        <w:spacing w:line="480" w:lineRule="auto"/>
        <w:jc w:val="both"/>
        <w:rPr>
          <w:rFonts w:ascii="Arial" w:hAnsi="Arial" w:cs="Arial"/>
          <w:b/>
          <w:bCs/>
          <w:color w:val="FF0000"/>
          <w:sz w:val="22"/>
          <w:szCs w:val="22"/>
        </w:rPr>
      </w:pPr>
    </w:p>
    <w:p w14:paraId="58BB281D" w14:textId="77777777" w:rsidR="001E5E76" w:rsidRDefault="001E5E76" w:rsidP="00B97F33">
      <w:pPr>
        <w:spacing w:line="480" w:lineRule="auto"/>
        <w:jc w:val="both"/>
        <w:rPr>
          <w:rFonts w:ascii="Arial" w:hAnsi="Arial" w:cs="Arial"/>
          <w:b/>
          <w:bCs/>
          <w:color w:val="FF0000"/>
          <w:sz w:val="22"/>
          <w:szCs w:val="22"/>
        </w:rPr>
      </w:pPr>
    </w:p>
    <w:p w14:paraId="12D9AD8C" w14:textId="77777777" w:rsidR="001F2591" w:rsidRDefault="001F2591" w:rsidP="00B97F33">
      <w:pPr>
        <w:spacing w:line="480" w:lineRule="auto"/>
        <w:jc w:val="both"/>
        <w:rPr>
          <w:rFonts w:ascii="Arial" w:hAnsi="Arial" w:cs="Arial"/>
          <w:b/>
          <w:bCs/>
          <w:color w:val="FF0000"/>
          <w:sz w:val="22"/>
          <w:szCs w:val="22"/>
        </w:rPr>
      </w:pPr>
    </w:p>
    <w:p w14:paraId="6A65898A" w14:textId="77777777" w:rsidR="001F2591" w:rsidRDefault="001F2591" w:rsidP="00B97F33">
      <w:pPr>
        <w:spacing w:line="480" w:lineRule="auto"/>
        <w:jc w:val="both"/>
        <w:rPr>
          <w:rFonts w:ascii="Arial" w:hAnsi="Arial" w:cs="Arial"/>
          <w:b/>
          <w:bCs/>
          <w:color w:val="FF0000"/>
          <w:sz w:val="22"/>
          <w:szCs w:val="22"/>
        </w:rPr>
      </w:pPr>
    </w:p>
    <w:sectPr w:rsidR="001F2591" w:rsidSect="00DC2366">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FA"/>
    <w:rsid w:val="00003D9F"/>
    <w:rsid w:val="00006B09"/>
    <w:rsid w:val="0001068E"/>
    <w:rsid w:val="000128CC"/>
    <w:rsid w:val="00012D00"/>
    <w:rsid w:val="000151AF"/>
    <w:rsid w:val="00026359"/>
    <w:rsid w:val="0003138F"/>
    <w:rsid w:val="00036355"/>
    <w:rsid w:val="00061592"/>
    <w:rsid w:val="000708FF"/>
    <w:rsid w:val="00077BC6"/>
    <w:rsid w:val="00084101"/>
    <w:rsid w:val="00095259"/>
    <w:rsid w:val="000A72E5"/>
    <w:rsid w:val="000A7342"/>
    <w:rsid w:val="000B3536"/>
    <w:rsid w:val="000C1242"/>
    <w:rsid w:val="000C1E3C"/>
    <w:rsid w:val="000F21D4"/>
    <w:rsid w:val="00100178"/>
    <w:rsid w:val="00107CC4"/>
    <w:rsid w:val="0012063F"/>
    <w:rsid w:val="00122EA8"/>
    <w:rsid w:val="001230A9"/>
    <w:rsid w:val="001500D5"/>
    <w:rsid w:val="00150DA2"/>
    <w:rsid w:val="00152B4C"/>
    <w:rsid w:val="001550BA"/>
    <w:rsid w:val="0016732F"/>
    <w:rsid w:val="0018336C"/>
    <w:rsid w:val="00196CC4"/>
    <w:rsid w:val="001B1DA7"/>
    <w:rsid w:val="001B4129"/>
    <w:rsid w:val="001C2E7B"/>
    <w:rsid w:val="001C3A93"/>
    <w:rsid w:val="001C56B1"/>
    <w:rsid w:val="001D28B1"/>
    <w:rsid w:val="001E089A"/>
    <w:rsid w:val="001E337C"/>
    <w:rsid w:val="001E4731"/>
    <w:rsid w:val="001E5E76"/>
    <w:rsid w:val="001E6F4D"/>
    <w:rsid w:val="001F21F4"/>
    <w:rsid w:val="001F2591"/>
    <w:rsid w:val="001F3AA1"/>
    <w:rsid w:val="001F7D57"/>
    <w:rsid w:val="002170E4"/>
    <w:rsid w:val="002219D7"/>
    <w:rsid w:val="00221A69"/>
    <w:rsid w:val="00224F59"/>
    <w:rsid w:val="002272EA"/>
    <w:rsid w:val="00236171"/>
    <w:rsid w:val="00242C66"/>
    <w:rsid w:val="00255671"/>
    <w:rsid w:val="00263C77"/>
    <w:rsid w:val="00263D98"/>
    <w:rsid w:val="00264A82"/>
    <w:rsid w:val="00272B0A"/>
    <w:rsid w:val="002822E8"/>
    <w:rsid w:val="002834BF"/>
    <w:rsid w:val="00284E77"/>
    <w:rsid w:val="0029065E"/>
    <w:rsid w:val="002914BB"/>
    <w:rsid w:val="00297F24"/>
    <w:rsid w:val="002B0DE6"/>
    <w:rsid w:val="002B39B5"/>
    <w:rsid w:val="002B4F35"/>
    <w:rsid w:val="002D0253"/>
    <w:rsid w:val="002E492A"/>
    <w:rsid w:val="002E5396"/>
    <w:rsid w:val="002F112B"/>
    <w:rsid w:val="002F33EE"/>
    <w:rsid w:val="002F40F6"/>
    <w:rsid w:val="00300032"/>
    <w:rsid w:val="00300F9A"/>
    <w:rsid w:val="00304C80"/>
    <w:rsid w:val="00312D18"/>
    <w:rsid w:val="00323892"/>
    <w:rsid w:val="0032608B"/>
    <w:rsid w:val="00330108"/>
    <w:rsid w:val="00330588"/>
    <w:rsid w:val="0033286E"/>
    <w:rsid w:val="0035116E"/>
    <w:rsid w:val="00352395"/>
    <w:rsid w:val="00355937"/>
    <w:rsid w:val="0036403D"/>
    <w:rsid w:val="00373410"/>
    <w:rsid w:val="00373C8A"/>
    <w:rsid w:val="00373DE4"/>
    <w:rsid w:val="003775A7"/>
    <w:rsid w:val="003A12BE"/>
    <w:rsid w:val="003A2591"/>
    <w:rsid w:val="003A540F"/>
    <w:rsid w:val="003B3FC1"/>
    <w:rsid w:val="003B592F"/>
    <w:rsid w:val="003C0085"/>
    <w:rsid w:val="003D09B5"/>
    <w:rsid w:val="003D1293"/>
    <w:rsid w:val="003D7AE6"/>
    <w:rsid w:val="003E2FE2"/>
    <w:rsid w:val="003E427E"/>
    <w:rsid w:val="003E5B8A"/>
    <w:rsid w:val="003F252F"/>
    <w:rsid w:val="00401BF3"/>
    <w:rsid w:val="00412C88"/>
    <w:rsid w:val="004143F6"/>
    <w:rsid w:val="00422D52"/>
    <w:rsid w:val="00430548"/>
    <w:rsid w:val="00452702"/>
    <w:rsid w:val="004640F5"/>
    <w:rsid w:val="00465DFE"/>
    <w:rsid w:val="004725B8"/>
    <w:rsid w:val="00487111"/>
    <w:rsid w:val="004901C8"/>
    <w:rsid w:val="00493BC5"/>
    <w:rsid w:val="004A0EDE"/>
    <w:rsid w:val="004A3177"/>
    <w:rsid w:val="004C1F87"/>
    <w:rsid w:val="004C421B"/>
    <w:rsid w:val="004D0FA1"/>
    <w:rsid w:val="004D2DC1"/>
    <w:rsid w:val="004D3525"/>
    <w:rsid w:val="004E2A77"/>
    <w:rsid w:val="004E47A4"/>
    <w:rsid w:val="004F6E03"/>
    <w:rsid w:val="0050255F"/>
    <w:rsid w:val="00517FF9"/>
    <w:rsid w:val="0053142C"/>
    <w:rsid w:val="005346BD"/>
    <w:rsid w:val="0054793B"/>
    <w:rsid w:val="005533DB"/>
    <w:rsid w:val="00553F19"/>
    <w:rsid w:val="00555F93"/>
    <w:rsid w:val="00562023"/>
    <w:rsid w:val="0056240A"/>
    <w:rsid w:val="00562832"/>
    <w:rsid w:val="00566C08"/>
    <w:rsid w:val="00571972"/>
    <w:rsid w:val="00572D7C"/>
    <w:rsid w:val="00573214"/>
    <w:rsid w:val="0058298C"/>
    <w:rsid w:val="00594FDB"/>
    <w:rsid w:val="005968A5"/>
    <w:rsid w:val="005A2865"/>
    <w:rsid w:val="005A52CB"/>
    <w:rsid w:val="005B075B"/>
    <w:rsid w:val="005B12BD"/>
    <w:rsid w:val="005D0BEF"/>
    <w:rsid w:val="005E4269"/>
    <w:rsid w:val="005F69CF"/>
    <w:rsid w:val="00600CC0"/>
    <w:rsid w:val="00624081"/>
    <w:rsid w:val="00636DB5"/>
    <w:rsid w:val="00646085"/>
    <w:rsid w:val="006542C3"/>
    <w:rsid w:val="00657CF6"/>
    <w:rsid w:val="00691A1A"/>
    <w:rsid w:val="00695471"/>
    <w:rsid w:val="0069613C"/>
    <w:rsid w:val="006A5CDA"/>
    <w:rsid w:val="006C4359"/>
    <w:rsid w:val="006E14DF"/>
    <w:rsid w:val="006E34C6"/>
    <w:rsid w:val="006F3AC9"/>
    <w:rsid w:val="007056D5"/>
    <w:rsid w:val="00706526"/>
    <w:rsid w:val="007113F4"/>
    <w:rsid w:val="00715ACD"/>
    <w:rsid w:val="007221A3"/>
    <w:rsid w:val="00724057"/>
    <w:rsid w:val="0074331F"/>
    <w:rsid w:val="00745C29"/>
    <w:rsid w:val="007507DE"/>
    <w:rsid w:val="007518BA"/>
    <w:rsid w:val="00762117"/>
    <w:rsid w:val="007653D2"/>
    <w:rsid w:val="00772AC3"/>
    <w:rsid w:val="00775A4C"/>
    <w:rsid w:val="0077703E"/>
    <w:rsid w:val="00782F6E"/>
    <w:rsid w:val="00787776"/>
    <w:rsid w:val="00792357"/>
    <w:rsid w:val="0079272C"/>
    <w:rsid w:val="00793709"/>
    <w:rsid w:val="007A196D"/>
    <w:rsid w:val="007A3B07"/>
    <w:rsid w:val="007A3C01"/>
    <w:rsid w:val="007B3557"/>
    <w:rsid w:val="007C01B2"/>
    <w:rsid w:val="007C4051"/>
    <w:rsid w:val="007D4279"/>
    <w:rsid w:val="007D4FF7"/>
    <w:rsid w:val="0080280E"/>
    <w:rsid w:val="00806B5C"/>
    <w:rsid w:val="00813C6B"/>
    <w:rsid w:val="00815C62"/>
    <w:rsid w:val="00844736"/>
    <w:rsid w:val="00845EBE"/>
    <w:rsid w:val="008506DB"/>
    <w:rsid w:val="008509EA"/>
    <w:rsid w:val="008551DD"/>
    <w:rsid w:val="00857426"/>
    <w:rsid w:val="00862365"/>
    <w:rsid w:val="00867FE0"/>
    <w:rsid w:val="00870EE8"/>
    <w:rsid w:val="0087107E"/>
    <w:rsid w:val="00875070"/>
    <w:rsid w:val="00881D1E"/>
    <w:rsid w:val="00890376"/>
    <w:rsid w:val="008903E5"/>
    <w:rsid w:val="008931E3"/>
    <w:rsid w:val="00894355"/>
    <w:rsid w:val="008B16ED"/>
    <w:rsid w:val="008B4D83"/>
    <w:rsid w:val="008B6BBC"/>
    <w:rsid w:val="008D7C64"/>
    <w:rsid w:val="008E1DB6"/>
    <w:rsid w:val="00900428"/>
    <w:rsid w:val="0090261E"/>
    <w:rsid w:val="00907320"/>
    <w:rsid w:val="00910630"/>
    <w:rsid w:val="00913994"/>
    <w:rsid w:val="009300B5"/>
    <w:rsid w:val="009409B2"/>
    <w:rsid w:val="009521FD"/>
    <w:rsid w:val="00952A53"/>
    <w:rsid w:val="009538A3"/>
    <w:rsid w:val="009650F6"/>
    <w:rsid w:val="009802C2"/>
    <w:rsid w:val="00987045"/>
    <w:rsid w:val="009877A3"/>
    <w:rsid w:val="009A29DF"/>
    <w:rsid w:val="009A6C20"/>
    <w:rsid w:val="009B38C0"/>
    <w:rsid w:val="009C3AAE"/>
    <w:rsid w:val="009C3D41"/>
    <w:rsid w:val="009C4316"/>
    <w:rsid w:val="009C5E36"/>
    <w:rsid w:val="009C7376"/>
    <w:rsid w:val="009D0DCD"/>
    <w:rsid w:val="009D1E0D"/>
    <w:rsid w:val="009F4E61"/>
    <w:rsid w:val="009F69EC"/>
    <w:rsid w:val="00A046A6"/>
    <w:rsid w:val="00A07190"/>
    <w:rsid w:val="00A32677"/>
    <w:rsid w:val="00A34E6F"/>
    <w:rsid w:val="00A462FA"/>
    <w:rsid w:val="00A502E0"/>
    <w:rsid w:val="00A57C12"/>
    <w:rsid w:val="00A607BE"/>
    <w:rsid w:val="00A66CB5"/>
    <w:rsid w:val="00A90979"/>
    <w:rsid w:val="00AB146B"/>
    <w:rsid w:val="00AC03A5"/>
    <w:rsid w:val="00AC6F9B"/>
    <w:rsid w:val="00AD4A42"/>
    <w:rsid w:val="00AD5A8B"/>
    <w:rsid w:val="00AE3BAC"/>
    <w:rsid w:val="00B0441F"/>
    <w:rsid w:val="00B15D94"/>
    <w:rsid w:val="00B250C6"/>
    <w:rsid w:val="00B34DB4"/>
    <w:rsid w:val="00B37C88"/>
    <w:rsid w:val="00B50F16"/>
    <w:rsid w:val="00B5385D"/>
    <w:rsid w:val="00B53D28"/>
    <w:rsid w:val="00B57B02"/>
    <w:rsid w:val="00B63573"/>
    <w:rsid w:val="00B7739B"/>
    <w:rsid w:val="00B83620"/>
    <w:rsid w:val="00B85434"/>
    <w:rsid w:val="00B85605"/>
    <w:rsid w:val="00B86A51"/>
    <w:rsid w:val="00B97F33"/>
    <w:rsid w:val="00BA7808"/>
    <w:rsid w:val="00BA7C84"/>
    <w:rsid w:val="00BB010B"/>
    <w:rsid w:val="00BB0E96"/>
    <w:rsid w:val="00BC5600"/>
    <w:rsid w:val="00BC5F37"/>
    <w:rsid w:val="00BE1663"/>
    <w:rsid w:val="00BE1948"/>
    <w:rsid w:val="00BE3E8E"/>
    <w:rsid w:val="00BE5022"/>
    <w:rsid w:val="00BF001D"/>
    <w:rsid w:val="00BF1A8F"/>
    <w:rsid w:val="00BF52CF"/>
    <w:rsid w:val="00C466AE"/>
    <w:rsid w:val="00C51FA7"/>
    <w:rsid w:val="00C60D98"/>
    <w:rsid w:val="00C61A7A"/>
    <w:rsid w:val="00C67781"/>
    <w:rsid w:val="00C725DC"/>
    <w:rsid w:val="00C919F7"/>
    <w:rsid w:val="00C92A97"/>
    <w:rsid w:val="00C92D76"/>
    <w:rsid w:val="00C978CD"/>
    <w:rsid w:val="00CA18F9"/>
    <w:rsid w:val="00CB2F87"/>
    <w:rsid w:val="00CC154D"/>
    <w:rsid w:val="00CC2313"/>
    <w:rsid w:val="00CC2CBD"/>
    <w:rsid w:val="00CD0689"/>
    <w:rsid w:val="00CE2447"/>
    <w:rsid w:val="00CE7931"/>
    <w:rsid w:val="00CF63B4"/>
    <w:rsid w:val="00D01112"/>
    <w:rsid w:val="00D022BF"/>
    <w:rsid w:val="00D06BD9"/>
    <w:rsid w:val="00D12E44"/>
    <w:rsid w:val="00D1565A"/>
    <w:rsid w:val="00D15B32"/>
    <w:rsid w:val="00D246AB"/>
    <w:rsid w:val="00D27CBA"/>
    <w:rsid w:val="00D3210C"/>
    <w:rsid w:val="00D52A8C"/>
    <w:rsid w:val="00D633D6"/>
    <w:rsid w:val="00D63D51"/>
    <w:rsid w:val="00D7004F"/>
    <w:rsid w:val="00D729D2"/>
    <w:rsid w:val="00D72A3D"/>
    <w:rsid w:val="00D901C1"/>
    <w:rsid w:val="00D903F8"/>
    <w:rsid w:val="00D959F6"/>
    <w:rsid w:val="00DA287B"/>
    <w:rsid w:val="00DA45BE"/>
    <w:rsid w:val="00DB3310"/>
    <w:rsid w:val="00DC2366"/>
    <w:rsid w:val="00DC784F"/>
    <w:rsid w:val="00DD0308"/>
    <w:rsid w:val="00DD40AF"/>
    <w:rsid w:val="00DE4A2A"/>
    <w:rsid w:val="00DE6C08"/>
    <w:rsid w:val="00DE6D83"/>
    <w:rsid w:val="00DF17E2"/>
    <w:rsid w:val="00DF30A3"/>
    <w:rsid w:val="00E17120"/>
    <w:rsid w:val="00E21F6F"/>
    <w:rsid w:val="00E22BA1"/>
    <w:rsid w:val="00E23735"/>
    <w:rsid w:val="00E31A4B"/>
    <w:rsid w:val="00E42650"/>
    <w:rsid w:val="00E55D7A"/>
    <w:rsid w:val="00E713DA"/>
    <w:rsid w:val="00E80100"/>
    <w:rsid w:val="00E82D67"/>
    <w:rsid w:val="00E86059"/>
    <w:rsid w:val="00E92680"/>
    <w:rsid w:val="00E92FA4"/>
    <w:rsid w:val="00EB581E"/>
    <w:rsid w:val="00EE3D13"/>
    <w:rsid w:val="00EE4E35"/>
    <w:rsid w:val="00EF08D2"/>
    <w:rsid w:val="00EF0C21"/>
    <w:rsid w:val="00F107C3"/>
    <w:rsid w:val="00F156AE"/>
    <w:rsid w:val="00F45BE6"/>
    <w:rsid w:val="00F463E7"/>
    <w:rsid w:val="00F51701"/>
    <w:rsid w:val="00F52DD9"/>
    <w:rsid w:val="00F61D8C"/>
    <w:rsid w:val="00F70680"/>
    <w:rsid w:val="00F746A1"/>
    <w:rsid w:val="00FA58E1"/>
    <w:rsid w:val="00FC02A2"/>
    <w:rsid w:val="00FC058E"/>
    <w:rsid w:val="00FE01AC"/>
    <w:rsid w:val="00FE1DE9"/>
    <w:rsid w:val="00FF1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75946"/>
  <w15:chartTrackingRefBased/>
  <w15:docId w15:val="{AD77585B-87DF-C84C-8CDF-75EC36FB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A46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6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62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62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62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62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62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62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62F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2FA"/>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A462FA"/>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A462FA"/>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A462FA"/>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A462FA"/>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A462FA"/>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A462FA"/>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A462FA"/>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A462FA"/>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A462F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62FA"/>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A462F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62FA"/>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A462F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462FA"/>
    <w:rPr>
      <w:i/>
      <w:iCs/>
      <w:color w:val="404040" w:themeColor="text1" w:themeTint="BF"/>
      <w:lang w:val="en-US"/>
    </w:rPr>
  </w:style>
  <w:style w:type="paragraph" w:styleId="Prrafodelista">
    <w:name w:val="List Paragraph"/>
    <w:basedOn w:val="Normal"/>
    <w:uiPriority w:val="34"/>
    <w:qFormat/>
    <w:rsid w:val="00A462FA"/>
    <w:pPr>
      <w:ind w:left="720"/>
      <w:contextualSpacing/>
    </w:pPr>
  </w:style>
  <w:style w:type="character" w:styleId="nfasisintenso">
    <w:name w:val="Intense Emphasis"/>
    <w:basedOn w:val="Fuentedeprrafopredeter"/>
    <w:uiPriority w:val="21"/>
    <w:qFormat/>
    <w:rsid w:val="00A462FA"/>
    <w:rPr>
      <w:i/>
      <w:iCs/>
      <w:color w:val="0F4761" w:themeColor="accent1" w:themeShade="BF"/>
    </w:rPr>
  </w:style>
  <w:style w:type="paragraph" w:styleId="Citadestacada">
    <w:name w:val="Intense Quote"/>
    <w:basedOn w:val="Normal"/>
    <w:next w:val="Normal"/>
    <w:link w:val="CitadestacadaCar"/>
    <w:uiPriority w:val="30"/>
    <w:qFormat/>
    <w:rsid w:val="00A4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62FA"/>
    <w:rPr>
      <w:i/>
      <w:iCs/>
      <w:color w:val="0F4761" w:themeColor="accent1" w:themeShade="BF"/>
      <w:lang w:val="en-US"/>
    </w:rPr>
  </w:style>
  <w:style w:type="character" w:styleId="Referenciaintensa">
    <w:name w:val="Intense Reference"/>
    <w:basedOn w:val="Fuentedeprrafopredeter"/>
    <w:uiPriority w:val="32"/>
    <w:qFormat/>
    <w:rsid w:val="00A462FA"/>
    <w:rPr>
      <w:b/>
      <w:bCs/>
      <w:smallCaps/>
      <w:color w:val="0F4761" w:themeColor="accent1" w:themeShade="BF"/>
      <w:spacing w:val="5"/>
    </w:rPr>
  </w:style>
  <w:style w:type="table" w:styleId="Tablaconcuadrcula">
    <w:name w:val="Table Grid"/>
    <w:basedOn w:val="Tablanormal"/>
    <w:uiPriority w:val="39"/>
    <w:rsid w:val="00900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A4B"/>
    <w:rPr>
      <w:rFonts w:ascii="Times New Roman" w:hAnsi="Times New Roman" w:cs="Times New Roman"/>
    </w:rPr>
  </w:style>
  <w:style w:type="character" w:styleId="Textoennegrita">
    <w:name w:val="Strong"/>
    <w:basedOn w:val="Fuentedeprrafopredeter"/>
    <w:uiPriority w:val="22"/>
    <w:qFormat/>
    <w:rsid w:val="00B57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9570">
      <w:bodyDiv w:val="1"/>
      <w:marLeft w:val="0"/>
      <w:marRight w:val="0"/>
      <w:marTop w:val="0"/>
      <w:marBottom w:val="0"/>
      <w:divBdr>
        <w:top w:val="none" w:sz="0" w:space="0" w:color="auto"/>
        <w:left w:val="none" w:sz="0" w:space="0" w:color="auto"/>
        <w:bottom w:val="none" w:sz="0" w:space="0" w:color="auto"/>
        <w:right w:val="none" w:sz="0" w:space="0" w:color="auto"/>
      </w:divBdr>
      <w:divsChild>
        <w:div w:id="1798641124">
          <w:marLeft w:val="0"/>
          <w:marRight w:val="0"/>
          <w:marTop w:val="0"/>
          <w:marBottom w:val="0"/>
          <w:divBdr>
            <w:top w:val="none" w:sz="0" w:space="0" w:color="auto"/>
            <w:left w:val="none" w:sz="0" w:space="0" w:color="auto"/>
            <w:bottom w:val="none" w:sz="0" w:space="0" w:color="auto"/>
            <w:right w:val="none" w:sz="0" w:space="0" w:color="auto"/>
          </w:divBdr>
        </w:div>
        <w:div w:id="1721778885">
          <w:marLeft w:val="0"/>
          <w:marRight w:val="0"/>
          <w:marTop w:val="0"/>
          <w:marBottom w:val="0"/>
          <w:divBdr>
            <w:top w:val="none" w:sz="0" w:space="0" w:color="auto"/>
            <w:left w:val="none" w:sz="0" w:space="0" w:color="auto"/>
            <w:bottom w:val="none" w:sz="0" w:space="0" w:color="auto"/>
            <w:right w:val="none" w:sz="0" w:space="0" w:color="auto"/>
          </w:divBdr>
        </w:div>
        <w:div w:id="370039824">
          <w:marLeft w:val="0"/>
          <w:marRight w:val="0"/>
          <w:marTop w:val="0"/>
          <w:marBottom w:val="0"/>
          <w:divBdr>
            <w:top w:val="none" w:sz="0" w:space="0" w:color="auto"/>
            <w:left w:val="none" w:sz="0" w:space="0" w:color="auto"/>
            <w:bottom w:val="none" w:sz="0" w:space="0" w:color="auto"/>
            <w:right w:val="none" w:sz="0" w:space="0" w:color="auto"/>
          </w:divBdr>
        </w:div>
        <w:div w:id="1787194037">
          <w:marLeft w:val="0"/>
          <w:marRight w:val="0"/>
          <w:marTop w:val="0"/>
          <w:marBottom w:val="0"/>
          <w:divBdr>
            <w:top w:val="none" w:sz="0" w:space="0" w:color="auto"/>
            <w:left w:val="none" w:sz="0" w:space="0" w:color="auto"/>
            <w:bottom w:val="none" w:sz="0" w:space="0" w:color="auto"/>
            <w:right w:val="none" w:sz="0" w:space="0" w:color="auto"/>
          </w:divBdr>
        </w:div>
        <w:div w:id="969017642">
          <w:marLeft w:val="0"/>
          <w:marRight w:val="0"/>
          <w:marTop w:val="0"/>
          <w:marBottom w:val="0"/>
          <w:divBdr>
            <w:top w:val="none" w:sz="0" w:space="0" w:color="auto"/>
            <w:left w:val="none" w:sz="0" w:space="0" w:color="auto"/>
            <w:bottom w:val="none" w:sz="0" w:space="0" w:color="auto"/>
            <w:right w:val="none" w:sz="0" w:space="0" w:color="auto"/>
          </w:divBdr>
        </w:div>
        <w:div w:id="662851146">
          <w:marLeft w:val="0"/>
          <w:marRight w:val="0"/>
          <w:marTop w:val="0"/>
          <w:marBottom w:val="0"/>
          <w:divBdr>
            <w:top w:val="none" w:sz="0" w:space="0" w:color="auto"/>
            <w:left w:val="none" w:sz="0" w:space="0" w:color="auto"/>
            <w:bottom w:val="none" w:sz="0" w:space="0" w:color="auto"/>
            <w:right w:val="none" w:sz="0" w:space="0" w:color="auto"/>
          </w:divBdr>
        </w:div>
      </w:divsChild>
    </w:div>
    <w:div w:id="393162906">
      <w:bodyDiv w:val="1"/>
      <w:marLeft w:val="0"/>
      <w:marRight w:val="0"/>
      <w:marTop w:val="0"/>
      <w:marBottom w:val="0"/>
      <w:divBdr>
        <w:top w:val="none" w:sz="0" w:space="0" w:color="auto"/>
        <w:left w:val="none" w:sz="0" w:space="0" w:color="auto"/>
        <w:bottom w:val="none" w:sz="0" w:space="0" w:color="auto"/>
        <w:right w:val="none" w:sz="0" w:space="0" w:color="auto"/>
      </w:divBdr>
    </w:div>
    <w:div w:id="439298392">
      <w:bodyDiv w:val="1"/>
      <w:marLeft w:val="0"/>
      <w:marRight w:val="0"/>
      <w:marTop w:val="0"/>
      <w:marBottom w:val="0"/>
      <w:divBdr>
        <w:top w:val="none" w:sz="0" w:space="0" w:color="auto"/>
        <w:left w:val="none" w:sz="0" w:space="0" w:color="auto"/>
        <w:bottom w:val="none" w:sz="0" w:space="0" w:color="auto"/>
        <w:right w:val="none" w:sz="0" w:space="0" w:color="auto"/>
      </w:divBdr>
    </w:div>
    <w:div w:id="462385294">
      <w:bodyDiv w:val="1"/>
      <w:marLeft w:val="0"/>
      <w:marRight w:val="0"/>
      <w:marTop w:val="0"/>
      <w:marBottom w:val="0"/>
      <w:divBdr>
        <w:top w:val="none" w:sz="0" w:space="0" w:color="auto"/>
        <w:left w:val="none" w:sz="0" w:space="0" w:color="auto"/>
        <w:bottom w:val="none" w:sz="0" w:space="0" w:color="auto"/>
        <w:right w:val="none" w:sz="0" w:space="0" w:color="auto"/>
      </w:divBdr>
    </w:div>
    <w:div w:id="528420596">
      <w:bodyDiv w:val="1"/>
      <w:marLeft w:val="0"/>
      <w:marRight w:val="0"/>
      <w:marTop w:val="0"/>
      <w:marBottom w:val="0"/>
      <w:divBdr>
        <w:top w:val="none" w:sz="0" w:space="0" w:color="auto"/>
        <w:left w:val="none" w:sz="0" w:space="0" w:color="auto"/>
        <w:bottom w:val="none" w:sz="0" w:space="0" w:color="auto"/>
        <w:right w:val="none" w:sz="0" w:space="0" w:color="auto"/>
      </w:divBdr>
    </w:div>
    <w:div w:id="929040803">
      <w:bodyDiv w:val="1"/>
      <w:marLeft w:val="0"/>
      <w:marRight w:val="0"/>
      <w:marTop w:val="0"/>
      <w:marBottom w:val="0"/>
      <w:divBdr>
        <w:top w:val="none" w:sz="0" w:space="0" w:color="auto"/>
        <w:left w:val="none" w:sz="0" w:space="0" w:color="auto"/>
        <w:bottom w:val="none" w:sz="0" w:space="0" w:color="auto"/>
        <w:right w:val="none" w:sz="0" w:space="0" w:color="auto"/>
      </w:divBdr>
    </w:div>
    <w:div w:id="931663070">
      <w:bodyDiv w:val="1"/>
      <w:marLeft w:val="0"/>
      <w:marRight w:val="0"/>
      <w:marTop w:val="0"/>
      <w:marBottom w:val="0"/>
      <w:divBdr>
        <w:top w:val="none" w:sz="0" w:space="0" w:color="auto"/>
        <w:left w:val="none" w:sz="0" w:space="0" w:color="auto"/>
        <w:bottom w:val="none" w:sz="0" w:space="0" w:color="auto"/>
        <w:right w:val="none" w:sz="0" w:space="0" w:color="auto"/>
      </w:divBdr>
    </w:div>
    <w:div w:id="935599111">
      <w:bodyDiv w:val="1"/>
      <w:marLeft w:val="0"/>
      <w:marRight w:val="0"/>
      <w:marTop w:val="0"/>
      <w:marBottom w:val="0"/>
      <w:divBdr>
        <w:top w:val="none" w:sz="0" w:space="0" w:color="auto"/>
        <w:left w:val="none" w:sz="0" w:space="0" w:color="auto"/>
        <w:bottom w:val="none" w:sz="0" w:space="0" w:color="auto"/>
        <w:right w:val="none" w:sz="0" w:space="0" w:color="auto"/>
      </w:divBdr>
    </w:div>
    <w:div w:id="994650976">
      <w:bodyDiv w:val="1"/>
      <w:marLeft w:val="0"/>
      <w:marRight w:val="0"/>
      <w:marTop w:val="0"/>
      <w:marBottom w:val="0"/>
      <w:divBdr>
        <w:top w:val="none" w:sz="0" w:space="0" w:color="auto"/>
        <w:left w:val="none" w:sz="0" w:space="0" w:color="auto"/>
        <w:bottom w:val="none" w:sz="0" w:space="0" w:color="auto"/>
        <w:right w:val="none" w:sz="0" w:space="0" w:color="auto"/>
      </w:divBdr>
    </w:div>
    <w:div w:id="1071852886">
      <w:bodyDiv w:val="1"/>
      <w:marLeft w:val="0"/>
      <w:marRight w:val="0"/>
      <w:marTop w:val="0"/>
      <w:marBottom w:val="0"/>
      <w:divBdr>
        <w:top w:val="none" w:sz="0" w:space="0" w:color="auto"/>
        <w:left w:val="none" w:sz="0" w:space="0" w:color="auto"/>
        <w:bottom w:val="none" w:sz="0" w:space="0" w:color="auto"/>
        <w:right w:val="none" w:sz="0" w:space="0" w:color="auto"/>
      </w:divBdr>
      <w:divsChild>
        <w:div w:id="241984897">
          <w:marLeft w:val="0"/>
          <w:marRight w:val="0"/>
          <w:marTop w:val="0"/>
          <w:marBottom w:val="0"/>
          <w:divBdr>
            <w:top w:val="none" w:sz="0" w:space="0" w:color="auto"/>
            <w:left w:val="none" w:sz="0" w:space="0" w:color="auto"/>
            <w:bottom w:val="none" w:sz="0" w:space="0" w:color="auto"/>
            <w:right w:val="none" w:sz="0" w:space="0" w:color="auto"/>
          </w:divBdr>
        </w:div>
        <w:div w:id="795294576">
          <w:marLeft w:val="0"/>
          <w:marRight w:val="0"/>
          <w:marTop w:val="0"/>
          <w:marBottom w:val="0"/>
          <w:divBdr>
            <w:top w:val="none" w:sz="0" w:space="0" w:color="auto"/>
            <w:left w:val="none" w:sz="0" w:space="0" w:color="auto"/>
            <w:bottom w:val="none" w:sz="0" w:space="0" w:color="auto"/>
            <w:right w:val="none" w:sz="0" w:space="0" w:color="auto"/>
          </w:divBdr>
        </w:div>
        <w:div w:id="1338463853">
          <w:marLeft w:val="0"/>
          <w:marRight w:val="0"/>
          <w:marTop w:val="0"/>
          <w:marBottom w:val="0"/>
          <w:divBdr>
            <w:top w:val="none" w:sz="0" w:space="0" w:color="auto"/>
            <w:left w:val="none" w:sz="0" w:space="0" w:color="auto"/>
            <w:bottom w:val="none" w:sz="0" w:space="0" w:color="auto"/>
            <w:right w:val="none" w:sz="0" w:space="0" w:color="auto"/>
          </w:divBdr>
        </w:div>
        <w:div w:id="1174539197">
          <w:marLeft w:val="0"/>
          <w:marRight w:val="0"/>
          <w:marTop w:val="0"/>
          <w:marBottom w:val="0"/>
          <w:divBdr>
            <w:top w:val="none" w:sz="0" w:space="0" w:color="auto"/>
            <w:left w:val="none" w:sz="0" w:space="0" w:color="auto"/>
            <w:bottom w:val="none" w:sz="0" w:space="0" w:color="auto"/>
            <w:right w:val="none" w:sz="0" w:space="0" w:color="auto"/>
          </w:divBdr>
        </w:div>
        <w:div w:id="1571620408">
          <w:marLeft w:val="0"/>
          <w:marRight w:val="0"/>
          <w:marTop w:val="0"/>
          <w:marBottom w:val="0"/>
          <w:divBdr>
            <w:top w:val="none" w:sz="0" w:space="0" w:color="auto"/>
            <w:left w:val="none" w:sz="0" w:space="0" w:color="auto"/>
            <w:bottom w:val="none" w:sz="0" w:space="0" w:color="auto"/>
            <w:right w:val="none" w:sz="0" w:space="0" w:color="auto"/>
          </w:divBdr>
        </w:div>
        <w:div w:id="243496393">
          <w:marLeft w:val="0"/>
          <w:marRight w:val="0"/>
          <w:marTop w:val="0"/>
          <w:marBottom w:val="0"/>
          <w:divBdr>
            <w:top w:val="none" w:sz="0" w:space="0" w:color="auto"/>
            <w:left w:val="none" w:sz="0" w:space="0" w:color="auto"/>
            <w:bottom w:val="none" w:sz="0" w:space="0" w:color="auto"/>
            <w:right w:val="none" w:sz="0" w:space="0" w:color="auto"/>
          </w:divBdr>
        </w:div>
      </w:divsChild>
    </w:div>
    <w:div w:id="1233465185">
      <w:bodyDiv w:val="1"/>
      <w:marLeft w:val="0"/>
      <w:marRight w:val="0"/>
      <w:marTop w:val="0"/>
      <w:marBottom w:val="0"/>
      <w:divBdr>
        <w:top w:val="none" w:sz="0" w:space="0" w:color="auto"/>
        <w:left w:val="none" w:sz="0" w:space="0" w:color="auto"/>
        <w:bottom w:val="none" w:sz="0" w:space="0" w:color="auto"/>
        <w:right w:val="none" w:sz="0" w:space="0" w:color="auto"/>
      </w:divBdr>
    </w:div>
    <w:div w:id="1301106437">
      <w:bodyDiv w:val="1"/>
      <w:marLeft w:val="0"/>
      <w:marRight w:val="0"/>
      <w:marTop w:val="0"/>
      <w:marBottom w:val="0"/>
      <w:divBdr>
        <w:top w:val="none" w:sz="0" w:space="0" w:color="auto"/>
        <w:left w:val="none" w:sz="0" w:space="0" w:color="auto"/>
        <w:bottom w:val="none" w:sz="0" w:space="0" w:color="auto"/>
        <w:right w:val="none" w:sz="0" w:space="0" w:color="auto"/>
      </w:divBdr>
    </w:div>
    <w:div w:id="1335957402">
      <w:bodyDiv w:val="1"/>
      <w:marLeft w:val="0"/>
      <w:marRight w:val="0"/>
      <w:marTop w:val="0"/>
      <w:marBottom w:val="0"/>
      <w:divBdr>
        <w:top w:val="none" w:sz="0" w:space="0" w:color="auto"/>
        <w:left w:val="none" w:sz="0" w:space="0" w:color="auto"/>
        <w:bottom w:val="none" w:sz="0" w:space="0" w:color="auto"/>
        <w:right w:val="none" w:sz="0" w:space="0" w:color="auto"/>
      </w:divBdr>
    </w:div>
    <w:div w:id="1351684590">
      <w:bodyDiv w:val="1"/>
      <w:marLeft w:val="0"/>
      <w:marRight w:val="0"/>
      <w:marTop w:val="0"/>
      <w:marBottom w:val="0"/>
      <w:divBdr>
        <w:top w:val="none" w:sz="0" w:space="0" w:color="auto"/>
        <w:left w:val="none" w:sz="0" w:space="0" w:color="auto"/>
        <w:bottom w:val="none" w:sz="0" w:space="0" w:color="auto"/>
        <w:right w:val="none" w:sz="0" w:space="0" w:color="auto"/>
      </w:divBdr>
    </w:div>
    <w:div w:id="1484395909">
      <w:bodyDiv w:val="1"/>
      <w:marLeft w:val="0"/>
      <w:marRight w:val="0"/>
      <w:marTop w:val="0"/>
      <w:marBottom w:val="0"/>
      <w:divBdr>
        <w:top w:val="none" w:sz="0" w:space="0" w:color="auto"/>
        <w:left w:val="none" w:sz="0" w:space="0" w:color="auto"/>
        <w:bottom w:val="none" w:sz="0" w:space="0" w:color="auto"/>
        <w:right w:val="none" w:sz="0" w:space="0" w:color="auto"/>
      </w:divBdr>
      <w:divsChild>
        <w:div w:id="749347723">
          <w:marLeft w:val="0"/>
          <w:marRight w:val="0"/>
          <w:marTop w:val="0"/>
          <w:marBottom w:val="0"/>
          <w:divBdr>
            <w:top w:val="none" w:sz="0" w:space="0" w:color="auto"/>
            <w:left w:val="none" w:sz="0" w:space="0" w:color="auto"/>
            <w:bottom w:val="none" w:sz="0" w:space="0" w:color="auto"/>
            <w:right w:val="none" w:sz="0" w:space="0" w:color="auto"/>
          </w:divBdr>
        </w:div>
        <w:div w:id="687029636">
          <w:marLeft w:val="0"/>
          <w:marRight w:val="0"/>
          <w:marTop w:val="0"/>
          <w:marBottom w:val="0"/>
          <w:divBdr>
            <w:top w:val="none" w:sz="0" w:space="0" w:color="auto"/>
            <w:left w:val="none" w:sz="0" w:space="0" w:color="auto"/>
            <w:bottom w:val="none" w:sz="0" w:space="0" w:color="auto"/>
            <w:right w:val="none" w:sz="0" w:space="0" w:color="auto"/>
          </w:divBdr>
        </w:div>
        <w:div w:id="13311578">
          <w:marLeft w:val="0"/>
          <w:marRight w:val="0"/>
          <w:marTop w:val="0"/>
          <w:marBottom w:val="0"/>
          <w:divBdr>
            <w:top w:val="none" w:sz="0" w:space="0" w:color="auto"/>
            <w:left w:val="none" w:sz="0" w:space="0" w:color="auto"/>
            <w:bottom w:val="none" w:sz="0" w:space="0" w:color="auto"/>
            <w:right w:val="none" w:sz="0" w:space="0" w:color="auto"/>
          </w:divBdr>
        </w:div>
        <w:div w:id="1890608985">
          <w:marLeft w:val="0"/>
          <w:marRight w:val="0"/>
          <w:marTop w:val="0"/>
          <w:marBottom w:val="0"/>
          <w:divBdr>
            <w:top w:val="none" w:sz="0" w:space="0" w:color="auto"/>
            <w:left w:val="none" w:sz="0" w:space="0" w:color="auto"/>
            <w:bottom w:val="none" w:sz="0" w:space="0" w:color="auto"/>
            <w:right w:val="none" w:sz="0" w:space="0" w:color="auto"/>
          </w:divBdr>
        </w:div>
        <w:div w:id="1675067211">
          <w:marLeft w:val="0"/>
          <w:marRight w:val="0"/>
          <w:marTop w:val="0"/>
          <w:marBottom w:val="0"/>
          <w:divBdr>
            <w:top w:val="none" w:sz="0" w:space="0" w:color="auto"/>
            <w:left w:val="none" w:sz="0" w:space="0" w:color="auto"/>
            <w:bottom w:val="none" w:sz="0" w:space="0" w:color="auto"/>
            <w:right w:val="none" w:sz="0" w:space="0" w:color="auto"/>
          </w:divBdr>
        </w:div>
        <w:div w:id="434058219">
          <w:marLeft w:val="0"/>
          <w:marRight w:val="0"/>
          <w:marTop w:val="0"/>
          <w:marBottom w:val="0"/>
          <w:divBdr>
            <w:top w:val="none" w:sz="0" w:space="0" w:color="auto"/>
            <w:left w:val="none" w:sz="0" w:space="0" w:color="auto"/>
            <w:bottom w:val="none" w:sz="0" w:space="0" w:color="auto"/>
            <w:right w:val="none" w:sz="0" w:space="0" w:color="auto"/>
          </w:divBdr>
        </w:div>
        <w:div w:id="1744448229">
          <w:marLeft w:val="0"/>
          <w:marRight w:val="0"/>
          <w:marTop w:val="0"/>
          <w:marBottom w:val="0"/>
          <w:divBdr>
            <w:top w:val="none" w:sz="0" w:space="0" w:color="auto"/>
            <w:left w:val="none" w:sz="0" w:space="0" w:color="auto"/>
            <w:bottom w:val="none" w:sz="0" w:space="0" w:color="auto"/>
            <w:right w:val="none" w:sz="0" w:space="0" w:color="auto"/>
          </w:divBdr>
        </w:div>
        <w:div w:id="684864876">
          <w:marLeft w:val="0"/>
          <w:marRight w:val="0"/>
          <w:marTop w:val="0"/>
          <w:marBottom w:val="0"/>
          <w:divBdr>
            <w:top w:val="none" w:sz="0" w:space="0" w:color="auto"/>
            <w:left w:val="none" w:sz="0" w:space="0" w:color="auto"/>
            <w:bottom w:val="none" w:sz="0" w:space="0" w:color="auto"/>
            <w:right w:val="none" w:sz="0" w:space="0" w:color="auto"/>
          </w:divBdr>
        </w:div>
        <w:div w:id="347566248">
          <w:marLeft w:val="0"/>
          <w:marRight w:val="0"/>
          <w:marTop w:val="0"/>
          <w:marBottom w:val="0"/>
          <w:divBdr>
            <w:top w:val="none" w:sz="0" w:space="0" w:color="auto"/>
            <w:left w:val="none" w:sz="0" w:space="0" w:color="auto"/>
            <w:bottom w:val="none" w:sz="0" w:space="0" w:color="auto"/>
            <w:right w:val="none" w:sz="0" w:space="0" w:color="auto"/>
          </w:divBdr>
        </w:div>
        <w:div w:id="37628657">
          <w:marLeft w:val="0"/>
          <w:marRight w:val="0"/>
          <w:marTop w:val="0"/>
          <w:marBottom w:val="0"/>
          <w:divBdr>
            <w:top w:val="none" w:sz="0" w:space="0" w:color="auto"/>
            <w:left w:val="none" w:sz="0" w:space="0" w:color="auto"/>
            <w:bottom w:val="none" w:sz="0" w:space="0" w:color="auto"/>
            <w:right w:val="none" w:sz="0" w:space="0" w:color="auto"/>
          </w:divBdr>
        </w:div>
        <w:div w:id="1678851481">
          <w:marLeft w:val="0"/>
          <w:marRight w:val="0"/>
          <w:marTop w:val="0"/>
          <w:marBottom w:val="0"/>
          <w:divBdr>
            <w:top w:val="none" w:sz="0" w:space="0" w:color="auto"/>
            <w:left w:val="none" w:sz="0" w:space="0" w:color="auto"/>
            <w:bottom w:val="none" w:sz="0" w:space="0" w:color="auto"/>
            <w:right w:val="none" w:sz="0" w:space="0" w:color="auto"/>
          </w:divBdr>
        </w:div>
        <w:div w:id="1063481374">
          <w:marLeft w:val="0"/>
          <w:marRight w:val="0"/>
          <w:marTop w:val="0"/>
          <w:marBottom w:val="0"/>
          <w:divBdr>
            <w:top w:val="none" w:sz="0" w:space="0" w:color="auto"/>
            <w:left w:val="none" w:sz="0" w:space="0" w:color="auto"/>
            <w:bottom w:val="none" w:sz="0" w:space="0" w:color="auto"/>
            <w:right w:val="none" w:sz="0" w:space="0" w:color="auto"/>
          </w:divBdr>
        </w:div>
        <w:div w:id="1478107244">
          <w:marLeft w:val="0"/>
          <w:marRight w:val="0"/>
          <w:marTop w:val="0"/>
          <w:marBottom w:val="0"/>
          <w:divBdr>
            <w:top w:val="none" w:sz="0" w:space="0" w:color="auto"/>
            <w:left w:val="none" w:sz="0" w:space="0" w:color="auto"/>
            <w:bottom w:val="none" w:sz="0" w:space="0" w:color="auto"/>
            <w:right w:val="none" w:sz="0" w:space="0" w:color="auto"/>
          </w:divBdr>
        </w:div>
      </w:divsChild>
    </w:div>
    <w:div w:id="1648822302">
      <w:bodyDiv w:val="1"/>
      <w:marLeft w:val="0"/>
      <w:marRight w:val="0"/>
      <w:marTop w:val="0"/>
      <w:marBottom w:val="0"/>
      <w:divBdr>
        <w:top w:val="none" w:sz="0" w:space="0" w:color="auto"/>
        <w:left w:val="none" w:sz="0" w:space="0" w:color="auto"/>
        <w:bottom w:val="none" w:sz="0" w:space="0" w:color="auto"/>
        <w:right w:val="none" w:sz="0" w:space="0" w:color="auto"/>
      </w:divBdr>
      <w:divsChild>
        <w:div w:id="99229310">
          <w:marLeft w:val="0"/>
          <w:marRight w:val="0"/>
          <w:marTop w:val="0"/>
          <w:marBottom w:val="0"/>
          <w:divBdr>
            <w:top w:val="none" w:sz="0" w:space="0" w:color="auto"/>
            <w:left w:val="none" w:sz="0" w:space="0" w:color="auto"/>
            <w:bottom w:val="none" w:sz="0" w:space="0" w:color="auto"/>
            <w:right w:val="none" w:sz="0" w:space="0" w:color="auto"/>
          </w:divBdr>
        </w:div>
        <w:div w:id="1808282268">
          <w:marLeft w:val="0"/>
          <w:marRight w:val="0"/>
          <w:marTop w:val="0"/>
          <w:marBottom w:val="0"/>
          <w:divBdr>
            <w:top w:val="none" w:sz="0" w:space="0" w:color="auto"/>
            <w:left w:val="none" w:sz="0" w:space="0" w:color="auto"/>
            <w:bottom w:val="none" w:sz="0" w:space="0" w:color="auto"/>
            <w:right w:val="none" w:sz="0" w:space="0" w:color="auto"/>
          </w:divBdr>
        </w:div>
        <w:div w:id="572089058">
          <w:marLeft w:val="0"/>
          <w:marRight w:val="0"/>
          <w:marTop w:val="0"/>
          <w:marBottom w:val="0"/>
          <w:divBdr>
            <w:top w:val="none" w:sz="0" w:space="0" w:color="auto"/>
            <w:left w:val="none" w:sz="0" w:space="0" w:color="auto"/>
            <w:bottom w:val="none" w:sz="0" w:space="0" w:color="auto"/>
            <w:right w:val="none" w:sz="0" w:space="0" w:color="auto"/>
          </w:divBdr>
        </w:div>
        <w:div w:id="793135273">
          <w:marLeft w:val="0"/>
          <w:marRight w:val="0"/>
          <w:marTop w:val="0"/>
          <w:marBottom w:val="0"/>
          <w:divBdr>
            <w:top w:val="none" w:sz="0" w:space="0" w:color="auto"/>
            <w:left w:val="none" w:sz="0" w:space="0" w:color="auto"/>
            <w:bottom w:val="none" w:sz="0" w:space="0" w:color="auto"/>
            <w:right w:val="none" w:sz="0" w:space="0" w:color="auto"/>
          </w:divBdr>
        </w:div>
        <w:div w:id="447168111">
          <w:marLeft w:val="0"/>
          <w:marRight w:val="0"/>
          <w:marTop w:val="0"/>
          <w:marBottom w:val="0"/>
          <w:divBdr>
            <w:top w:val="none" w:sz="0" w:space="0" w:color="auto"/>
            <w:left w:val="none" w:sz="0" w:space="0" w:color="auto"/>
            <w:bottom w:val="none" w:sz="0" w:space="0" w:color="auto"/>
            <w:right w:val="none" w:sz="0" w:space="0" w:color="auto"/>
          </w:divBdr>
        </w:div>
        <w:div w:id="997880416">
          <w:marLeft w:val="0"/>
          <w:marRight w:val="0"/>
          <w:marTop w:val="0"/>
          <w:marBottom w:val="0"/>
          <w:divBdr>
            <w:top w:val="none" w:sz="0" w:space="0" w:color="auto"/>
            <w:left w:val="none" w:sz="0" w:space="0" w:color="auto"/>
            <w:bottom w:val="none" w:sz="0" w:space="0" w:color="auto"/>
            <w:right w:val="none" w:sz="0" w:space="0" w:color="auto"/>
          </w:divBdr>
        </w:div>
        <w:div w:id="165943670">
          <w:marLeft w:val="0"/>
          <w:marRight w:val="0"/>
          <w:marTop w:val="0"/>
          <w:marBottom w:val="0"/>
          <w:divBdr>
            <w:top w:val="none" w:sz="0" w:space="0" w:color="auto"/>
            <w:left w:val="none" w:sz="0" w:space="0" w:color="auto"/>
            <w:bottom w:val="none" w:sz="0" w:space="0" w:color="auto"/>
            <w:right w:val="none" w:sz="0" w:space="0" w:color="auto"/>
          </w:divBdr>
        </w:div>
        <w:div w:id="1545949121">
          <w:marLeft w:val="0"/>
          <w:marRight w:val="0"/>
          <w:marTop w:val="0"/>
          <w:marBottom w:val="0"/>
          <w:divBdr>
            <w:top w:val="none" w:sz="0" w:space="0" w:color="auto"/>
            <w:left w:val="none" w:sz="0" w:space="0" w:color="auto"/>
            <w:bottom w:val="none" w:sz="0" w:space="0" w:color="auto"/>
            <w:right w:val="none" w:sz="0" w:space="0" w:color="auto"/>
          </w:divBdr>
        </w:div>
        <w:div w:id="936133230">
          <w:marLeft w:val="0"/>
          <w:marRight w:val="0"/>
          <w:marTop w:val="0"/>
          <w:marBottom w:val="0"/>
          <w:divBdr>
            <w:top w:val="none" w:sz="0" w:space="0" w:color="auto"/>
            <w:left w:val="none" w:sz="0" w:space="0" w:color="auto"/>
            <w:bottom w:val="none" w:sz="0" w:space="0" w:color="auto"/>
            <w:right w:val="none" w:sz="0" w:space="0" w:color="auto"/>
          </w:divBdr>
        </w:div>
        <w:div w:id="130439689">
          <w:marLeft w:val="0"/>
          <w:marRight w:val="0"/>
          <w:marTop w:val="0"/>
          <w:marBottom w:val="0"/>
          <w:divBdr>
            <w:top w:val="none" w:sz="0" w:space="0" w:color="auto"/>
            <w:left w:val="none" w:sz="0" w:space="0" w:color="auto"/>
            <w:bottom w:val="none" w:sz="0" w:space="0" w:color="auto"/>
            <w:right w:val="none" w:sz="0" w:space="0" w:color="auto"/>
          </w:divBdr>
        </w:div>
        <w:div w:id="870923420">
          <w:marLeft w:val="0"/>
          <w:marRight w:val="0"/>
          <w:marTop w:val="0"/>
          <w:marBottom w:val="0"/>
          <w:divBdr>
            <w:top w:val="none" w:sz="0" w:space="0" w:color="auto"/>
            <w:left w:val="none" w:sz="0" w:space="0" w:color="auto"/>
            <w:bottom w:val="none" w:sz="0" w:space="0" w:color="auto"/>
            <w:right w:val="none" w:sz="0" w:space="0" w:color="auto"/>
          </w:divBdr>
        </w:div>
        <w:div w:id="942304875">
          <w:marLeft w:val="0"/>
          <w:marRight w:val="0"/>
          <w:marTop w:val="0"/>
          <w:marBottom w:val="0"/>
          <w:divBdr>
            <w:top w:val="none" w:sz="0" w:space="0" w:color="auto"/>
            <w:left w:val="none" w:sz="0" w:space="0" w:color="auto"/>
            <w:bottom w:val="none" w:sz="0" w:space="0" w:color="auto"/>
            <w:right w:val="none" w:sz="0" w:space="0" w:color="auto"/>
          </w:divBdr>
        </w:div>
        <w:div w:id="893541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5" Type="http://schemas.openxmlformats.org/officeDocument/2006/relationships/image" Target="media/image2.emf"/><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989</Words>
  <Characters>5442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Quintela.Miguel_Angel</dc:creator>
  <cp:keywords/>
  <dc:description/>
  <cp:lastModifiedBy>Quintela.Miguel_Angel</cp:lastModifiedBy>
  <cp:revision>18</cp:revision>
  <dcterms:created xsi:type="dcterms:W3CDTF">2026-02-17T12:46:00Z</dcterms:created>
  <dcterms:modified xsi:type="dcterms:W3CDTF">2026-03-05T10:59:00Z</dcterms:modified>
</cp:coreProperties>
</file>