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DE35" w14:textId="01862BBE" w:rsidR="00595D60" w:rsidRDefault="00595D60" w:rsidP="00595D60">
      <w:pPr>
        <w:spacing w:line="480" w:lineRule="auto"/>
        <w:jc w:val="both"/>
        <w:rPr>
          <w:rFonts w:ascii="Arial" w:hAnsi="Arial" w:cs="Arial"/>
          <w:sz w:val="22"/>
          <w:szCs w:val="22"/>
        </w:rPr>
      </w:pPr>
      <w:r>
        <w:rPr>
          <w:rFonts w:ascii="Arial" w:hAnsi="Arial" w:cs="Arial"/>
          <w:b/>
          <w:bCs/>
          <w:sz w:val="22"/>
          <w:szCs w:val="22"/>
        </w:rPr>
        <w:t>Methods</w:t>
      </w:r>
    </w:p>
    <w:p w14:paraId="624C024C" w14:textId="77777777" w:rsidR="00595D60" w:rsidRDefault="00595D60" w:rsidP="00595D60">
      <w:pPr>
        <w:spacing w:line="480" w:lineRule="auto"/>
        <w:jc w:val="both"/>
        <w:rPr>
          <w:rFonts w:ascii="Arial" w:hAnsi="Arial" w:cs="Arial"/>
          <w:sz w:val="22"/>
          <w:szCs w:val="22"/>
        </w:rPr>
      </w:pPr>
    </w:p>
    <w:p w14:paraId="5996F51B" w14:textId="6A212BC8" w:rsidR="00595D60" w:rsidRPr="00595D60" w:rsidRDefault="00595D60" w:rsidP="00595D60">
      <w:pPr>
        <w:spacing w:line="480" w:lineRule="auto"/>
        <w:jc w:val="both"/>
        <w:rPr>
          <w:rFonts w:ascii="Arial" w:hAnsi="Arial" w:cs="Arial"/>
          <w:b/>
          <w:bCs/>
          <w:sz w:val="22"/>
          <w:szCs w:val="22"/>
        </w:rPr>
      </w:pPr>
      <w:r>
        <w:rPr>
          <w:rFonts w:ascii="Arial" w:hAnsi="Arial" w:cs="Arial"/>
          <w:b/>
          <w:bCs/>
          <w:sz w:val="22"/>
          <w:szCs w:val="22"/>
        </w:rPr>
        <w:t>Clinical study design and oversight</w:t>
      </w:r>
    </w:p>
    <w:p w14:paraId="3B3C3FF4" w14:textId="317D01AA" w:rsidR="00595D60" w:rsidRDefault="00595D60" w:rsidP="00595D60">
      <w:pPr>
        <w:spacing w:line="480" w:lineRule="auto"/>
        <w:jc w:val="both"/>
        <w:rPr>
          <w:rFonts w:ascii="Arial" w:hAnsi="Arial" w:cs="Arial"/>
          <w:sz w:val="22"/>
          <w:szCs w:val="22"/>
        </w:rPr>
      </w:pPr>
      <w:r w:rsidRPr="00595D60">
        <w:rPr>
          <w:rFonts w:ascii="Arial" w:hAnsi="Arial" w:cs="Arial"/>
          <w:sz w:val="22"/>
          <w:szCs w:val="22"/>
        </w:rPr>
        <w:t>This was a prospective, multicenter, single</w:t>
      </w:r>
      <w:r w:rsidRPr="00595D60">
        <w:rPr>
          <w:rFonts w:ascii="Arial" w:hAnsi="Arial" w:cs="Arial"/>
          <w:sz w:val="22"/>
          <w:szCs w:val="22"/>
        </w:rPr>
        <w:noBreakHyphen/>
        <w:t xml:space="preserve">country (Spain) observational study conducted in accordance with the </w:t>
      </w:r>
      <w:r w:rsidRPr="00EB401F">
        <w:rPr>
          <w:rFonts w:ascii="Arial" w:hAnsi="Arial" w:cs="Arial"/>
          <w:sz w:val="22"/>
          <w:szCs w:val="22"/>
        </w:rPr>
        <w:t>Declaration of Helsinki and Good Clinical Practice. The study was registered at ClinicalTrials.gov (NCT</w:t>
      </w:r>
      <w:r w:rsidR="00EB401F" w:rsidRPr="00EB401F">
        <w:rPr>
          <w:rFonts w:ascii="Arial" w:hAnsi="Arial" w:cs="Arial"/>
          <w:sz w:val="22"/>
          <w:szCs w:val="22"/>
        </w:rPr>
        <w:t>06590506</w:t>
      </w:r>
      <w:r w:rsidRPr="00595D60">
        <w:rPr>
          <w:rFonts w:ascii="Arial" w:hAnsi="Arial" w:cs="Arial"/>
          <w:sz w:val="22"/>
          <w:szCs w:val="22"/>
        </w:rPr>
        <w:t>). Ethical approval was obtained from the Hospital Universitario de Fuenlabrada Research Ethics Committee (Code 21/11)</w:t>
      </w:r>
      <w:r w:rsidR="006A6B9E">
        <w:rPr>
          <w:rFonts w:ascii="Arial" w:hAnsi="Arial" w:cs="Arial"/>
          <w:sz w:val="22"/>
          <w:szCs w:val="22"/>
        </w:rPr>
        <w:t xml:space="preserve"> and the Spanish Agency for Medicine and Health Products (Code 20/394). </w:t>
      </w:r>
    </w:p>
    <w:p w14:paraId="7D814AEC" w14:textId="77777777" w:rsidR="006A6B9E" w:rsidRPr="0058106A" w:rsidRDefault="006A6B9E" w:rsidP="006A6B9E">
      <w:pPr>
        <w:spacing w:line="480" w:lineRule="auto"/>
        <w:jc w:val="both"/>
        <w:rPr>
          <w:rFonts w:ascii="Arial" w:hAnsi="Arial" w:cs="Arial"/>
          <w:color w:val="000000" w:themeColor="text1"/>
          <w:sz w:val="22"/>
          <w:szCs w:val="22"/>
        </w:rPr>
      </w:pPr>
      <w:r w:rsidRPr="0058106A">
        <w:rPr>
          <w:rFonts w:ascii="Arial" w:hAnsi="Arial" w:cs="Arial"/>
          <w:color w:val="000000" w:themeColor="text1"/>
          <w:sz w:val="22"/>
          <w:szCs w:val="22"/>
        </w:rPr>
        <w:t xml:space="preserve">The data for vector quantitation and topic modeling were originated in independent clinical studies sponsored by EB2 in non-cancer populations; each clinical study received approval from relevant institutional review boards in accordance with ethical standards and the declaration of Helsinki. Participating institutions included: Fundación Jiménez Díaz, Madrid (EC005-21 and PIC163.22); Montpellier University Hospital (CPP Ouest IV 20/18_2), Clinica Nuestra </w:t>
      </w:r>
      <w:proofErr w:type="spellStart"/>
      <w:r w:rsidRPr="0058106A">
        <w:rPr>
          <w:rFonts w:ascii="Arial" w:hAnsi="Arial" w:cs="Arial"/>
          <w:color w:val="000000" w:themeColor="text1"/>
          <w:sz w:val="22"/>
          <w:szCs w:val="22"/>
        </w:rPr>
        <w:t>Señora</w:t>
      </w:r>
      <w:proofErr w:type="spellEnd"/>
      <w:r w:rsidRPr="0058106A">
        <w:rPr>
          <w:rFonts w:ascii="Arial" w:hAnsi="Arial" w:cs="Arial"/>
          <w:color w:val="000000" w:themeColor="text1"/>
          <w:sz w:val="22"/>
          <w:szCs w:val="22"/>
        </w:rPr>
        <w:t xml:space="preserve"> de la Paz – Jiménez Díaz, Madrid (PIC148-22); </w:t>
      </w:r>
      <w:proofErr w:type="spellStart"/>
      <w:r w:rsidRPr="0058106A">
        <w:rPr>
          <w:rFonts w:ascii="Arial" w:hAnsi="Arial" w:cs="Arial"/>
          <w:color w:val="000000" w:themeColor="text1"/>
          <w:sz w:val="22"/>
          <w:szCs w:val="22"/>
        </w:rPr>
        <w:t>Adalmed</w:t>
      </w:r>
      <w:proofErr w:type="spellEnd"/>
      <w:r w:rsidRPr="0058106A">
        <w:rPr>
          <w:rFonts w:ascii="Arial" w:hAnsi="Arial" w:cs="Arial"/>
          <w:color w:val="000000" w:themeColor="text1"/>
          <w:sz w:val="22"/>
          <w:szCs w:val="22"/>
        </w:rPr>
        <w:t xml:space="preserve"> and Ita mental health clinics – Hospital Gregorio </w:t>
      </w:r>
      <w:proofErr w:type="spellStart"/>
      <w:r w:rsidRPr="0058106A">
        <w:rPr>
          <w:rFonts w:ascii="Arial" w:hAnsi="Arial" w:cs="Arial"/>
          <w:color w:val="000000" w:themeColor="text1"/>
          <w:sz w:val="22"/>
          <w:szCs w:val="22"/>
        </w:rPr>
        <w:t>Marañón</w:t>
      </w:r>
      <w:proofErr w:type="spellEnd"/>
      <w:r w:rsidRPr="0058106A">
        <w:rPr>
          <w:rFonts w:ascii="Arial" w:hAnsi="Arial" w:cs="Arial"/>
          <w:color w:val="000000" w:themeColor="text1"/>
          <w:sz w:val="22"/>
          <w:szCs w:val="22"/>
        </w:rPr>
        <w:t xml:space="preserve">, Madrid (EB2COLON2023 and MICRO.HGUGH.2022-002); Hospital </w:t>
      </w:r>
      <w:proofErr w:type="spellStart"/>
      <w:r w:rsidRPr="0058106A">
        <w:rPr>
          <w:rFonts w:ascii="Arial" w:hAnsi="Arial" w:cs="Arial"/>
          <w:color w:val="000000" w:themeColor="text1"/>
          <w:sz w:val="22"/>
          <w:szCs w:val="22"/>
        </w:rPr>
        <w:t>Clinico</w:t>
      </w:r>
      <w:proofErr w:type="spellEnd"/>
      <w:r w:rsidRPr="0058106A">
        <w:rPr>
          <w:rFonts w:ascii="Arial" w:hAnsi="Arial" w:cs="Arial"/>
          <w:color w:val="000000" w:themeColor="text1"/>
          <w:sz w:val="22"/>
          <w:szCs w:val="22"/>
        </w:rPr>
        <w:t xml:space="preserve"> San Carlos, Madrid (19/239-O_P). Informed consent was obtained from all participants at enrollment, ensuring adherence to ethical guidelines and protection of participant rights. </w:t>
      </w:r>
    </w:p>
    <w:p w14:paraId="3E5BA7A6" w14:textId="77777777" w:rsidR="00EB401F" w:rsidRDefault="00EB401F" w:rsidP="00595D60">
      <w:pPr>
        <w:spacing w:line="480" w:lineRule="auto"/>
        <w:jc w:val="both"/>
        <w:rPr>
          <w:rFonts w:ascii="Arial" w:hAnsi="Arial" w:cs="Arial"/>
          <w:b/>
          <w:bCs/>
          <w:sz w:val="22"/>
          <w:szCs w:val="22"/>
        </w:rPr>
      </w:pPr>
    </w:p>
    <w:p w14:paraId="515145D4" w14:textId="3304130D" w:rsidR="00595D60" w:rsidRDefault="00595D60" w:rsidP="00595D60">
      <w:pPr>
        <w:spacing w:line="480" w:lineRule="auto"/>
        <w:jc w:val="both"/>
        <w:rPr>
          <w:rFonts w:ascii="Arial" w:hAnsi="Arial" w:cs="Arial"/>
          <w:b/>
          <w:bCs/>
          <w:sz w:val="22"/>
          <w:szCs w:val="22"/>
        </w:rPr>
      </w:pPr>
      <w:r>
        <w:rPr>
          <w:rFonts w:ascii="Arial" w:hAnsi="Arial" w:cs="Arial"/>
          <w:b/>
          <w:bCs/>
          <w:sz w:val="22"/>
          <w:szCs w:val="22"/>
        </w:rPr>
        <w:t>Study population</w:t>
      </w:r>
    </w:p>
    <w:p w14:paraId="312B9D8E" w14:textId="77777777" w:rsidR="00595D60" w:rsidRDefault="00595D60" w:rsidP="00595D60">
      <w:pPr>
        <w:spacing w:line="480" w:lineRule="auto"/>
        <w:jc w:val="both"/>
        <w:rPr>
          <w:rFonts w:ascii="Arial" w:hAnsi="Arial" w:cs="Arial"/>
          <w:sz w:val="22"/>
          <w:szCs w:val="22"/>
        </w:rPr>
      </w:pPr>
      <w:r w:rsidRPr="00595D60">
        <w:rPr>
          <w:rFonts w:ascii="Arial" w:hAnsi="Arial" w:cs="Arial"/>
          <w:sz w:val="22"/>
          <w:szCs w:val="22"/>
        </w:rPr>
        <w:t>Women aged ≥18 years were eligible if they had histologically confirmed, non</w:t>
      </w:r>
      <w:r w:rsidRPr="00595D60">
        <w:rPr>
          <w:rFonts w:ascii="Arial" w:hAnsi="Arial" w:cs="Arial"/>
          <w:sz w:val="22"/>
          <w:szCs w:val="22"/>
        </w:rPr>
        <w:noBreakHyphen/>
        <w:t>curable, locally advanced or metastatic hormone receptor–positive breast cancer, lung cancer, or colorectal cancer not amenable to curative loco</w:t>
      </w:r>
      <w:r w:rsidRPr="00595D60">
        <w:rPr>
          <w:rFonts w:ascii="Arial" w:hAnsi="Arial" w:cs="Arial"/>
          <w:sz w:val="22"/>
          <w:szCs w:val="22"/>
        </w:rPr>
        <w:noBreakHyphen/>
        <w:t>regional therapy. Patients had to be systemic</w:t>
      </w:r>
      <w:r w:rsidRPr="00595D60">
        <w:rPr>
          <w:rFonts w:ascii="Arial" w:hAnsi="Arial" w:cs="Arial"/>
          <w:sz w:val="22"/>
          <w:szCs w:val="22"/>
        </w:rPr>
        <w:noBreakHyphen/>
        <w:t>treatment</w:t>
      </w:r>
      <w:r w:rsidRPr="00595D60">
        <w:rPr>
          <w:rFonts w:ascii="Arial" w:hAnsi="Arial" w:cs="Arial"/>
          <w:sz w:val="22"/>
          <w:szCs w:val="22"/>
        </w:rPr>
        <w:noBreakHyphen/>
        <w:t>naïve for the advanced/metastatic setting.</w:t>
      </w:r>
      <w:r>
        <w:rPr>
          <w:rFonts w:ascii="Arial" w:hAnsi="Arial" w:cs="Arial"/>
          <w:sz w:val="22"/>
          <w:szCs w:val="22"/>
        </w:rPr>
        <w:t xml:space="preserve"> </w:t>
      </w:r>
    </w:p>
    <w:p w14:paraId="481C4BC4" w14:textId="71B468F6" w:rsidR="00595D60" w:rsidRDefault="00595D60" w:rsidP="00595D60">
      <w:pPr>
        <w:spacing w:line="480" w:lineRule="auto"/>
        <w:jc w:val="both"/>
        <w:rPr>
          <w:rFonts w:ascii="Arial" w:hAnsi="Arial" w:cs="Arial"/>
          <w:sz w:val="22"/>
          <w:szCs w:val="22"/>
        </w:rPr>
      </w:pPr>
      <w:r w:rsidRPr="00595D60">
        <w:rPr>
          <w:rFonts w:ascii="Arial" w:hAnsi="Arial" w:cs="Arial"/>
          <w:sz w:val="22"/>
          <w:szCs w:val="22"/>
        </w:rPr>
        <w:t>To reflect real</w:t>
      </w:r>
      <w:r w:rsidRPr="00595D60">
        <w:rPr>
          <w:rFonts w:ascii="Arial" w:hAnsi="Arial" w:cs="Arial"/>
          <w:sz w:val="22"/>
          <w:szCs w:val="22"/>
        </w:rPr>
        <w:noBreakHyphen/>
        <w:t>world practice, we did not apply usual exclusion filters such as short life expectancy or the mere presence of brain metastases; instead, patients received appropriate loco</w:t>
      </w:r>
      <w:r w:rsidRPr="00595D60">
        <w:rPr>
          <w:rFonts w:ascii="Arial" w:hAnsi="Arial" w:cs="Arial"/>
          <w:sz w:val="22"/>
          <w:szCs w:val="22"/>
        </w:rPr>
        <w:noBreakHyphen/>
        <w:t>regional palliation (e.g., whole</w:t>
      </w:r>
      <w:r w:rsidRPr="00595D60">
        <w:rPr>
          <w:rFonts w:ascii="Arial" w:hAnsi="Arial" w:cs="Arial"/>
          <w:sz w:val="22"/>
          <w:szCs w:val="22"/>
        </w:rPr>
        <w:noBreakHyphen/>
        <w:t xml:space="preserve">brain radiotherapy or radiation to bone </w:t>
      </w:r>
      <w:r w:rsidRPr="00595D60">
        <w:rPr>
          <w:rFonts w:ascii="Arial" w:hAnsi="Arial" w:cs="Arial"/>
          <w:sz w:val="22"/>
          <w:szCs w:val="22"/>
        </w:rPr>
        <w:lastRenderedPageBreak/>
        <w:t>at risk of impending fracture) before starting systemic therapy when clinically indicated. The first day of systemic therapy was defined as “Day 1.”</w:t>
      </w:r>
    </w:p>
    <w:p w14:paraId="74D61434" w14:textId="669252BA" w:rsidR="00595D60" w:rsidRDefault="00595D60" w:rsidP="00595D60">
      <w:pPr>
        <w:spacing w:line="480" w:lineRule="auto"/>
        <w:jc w:val="both"/>
        <w:rPr>
          <w:rFonts w:ascii="Arial" w:hAnsi="Arial" w:cs="Arial"/>
          <w:sz w:val="22"/>
          <w:szCs w:val="22"/>
        </w:rPr>
      </w:pPr>
      <w:r w:rsidRPr="00595D60">
        <w:rPr>
          <w:rFonts w:ascii="Arial" w:hAnsi="Arial" w:cs="Arial"/>
          <w:sz w:val="22"/>
          <w:szCs w:val="22"/>
        </w:rPr>
        <w:t>For lung and colorectal cancer, any physician’s</w:t>
      </w:r>
      <w:r w:rsidRPr="00595D60">
        <w:rPr>
          <w:rFonts w:ascii="Arial" w:hAnsi="Arial" w:cs="Arial"/>
          <w:sz w:val="22"/>
          <w:szCs w:val="22"/>
        </w:rPr>
        <w:noBreakHyphen/>
        <w:t>choice regimen recommended by major guidelines (ASCO/ESMO/NCCN) for the relevant histology</w:t>
      </w:r>
      <w:r>
        <w:rPr>
          <w:rFonts w:ascii="Arial" w:hAnsi="Arial" w:cs="Arial"/>
          <w:sz w:val="22"/>
          <w:szCs w:val="22"/>
        </w:rPr>
        <w:t xml:space="preserve"> and</w:t>
      </w:r>
      <w:r w:rsidRPr="00595D60">
        <w:rPr>
          <w:rFonts w:ascii="Arial" w:hAnsi="Arial" w:cs="Arial"/>
          <w:sz w:val="22"/>
          <w:szCs w:val="22"/>
        </w:rPr>
        <w:t xml:space="preserve"> biomarker status was allowed. Participation in open</w:t>
      </w:r>
      <w:r w:rsidRPr="00595D60">
        <w:rPr>
          <w:rFonts w:ascii="Arial" w:hAnsi="Arial" w:cs="Arial"/>
          <w:sz w:val="22"/>
          <w:szCs w:val="22"/>
        </w:rPr>
        <w:noBreakHyphen/>
        <w:t xml:space="preserve">label interventional trials was permitted only when the investigational treatment belonged to the same therapeutic family/backbone as an accepted standard of care for that indication (i.e., a </w:t>
      </w:r>
      <w:r w:rsidRPr="00595D60">
        <w:rPr>
          <w:rFonts w:ascii="Arial" w:hAnsi="Arial" w:cs="Arial"/>
          <w:i/>
          <w:iCs/>
          <w:sz w:val="22"/>
          <w:szCs w:val="22"/>
        </w:rPr>
        <w:t>category</w:t>
      </w:r>
      <w:r w:rsidRPr="00595D60">
        <w:rPr>
          <w:rFonts w:ascii="Arial" w:hAnsi="Arial" w:cs="Arial"/>
          <w:i/>
          <w:iCs/>
          <w:sz w:val="22"/>
          <w:szCs w:val="22"/>
        </w:rPr>
        <w:noBreakHyphen/>
        <w:t>match</w:t>
      </w:r>
      <w:r w:rsidRPr="00595D60">
        <w:rPr>
          <w:rFonts w:ascii="Arial" w:hAnsi="Arial" w:cs="Arial"/>
          <w:sz w:val="22"/>
          <w:szCs w:val="22"/>
        </w:rPr>
        <w:t>). Examples of category</w:t>
      </w:r>
      <w:r w:rsidRPr="00595D60">
        <w:rPr>
          <w:rFonts w:ascii="Arial" w:hAnsi="Arial" w:cs="Arial"/>
          <w:sz w:val="22"/>
          <w:szCs w:val="22"/>
        </w:rPr>
        <w:noBreakHyphen/>
        <w:t>matched trial therapies include: a novel SERD plus a CDK4/6 inhibitor in HR</w:t>
      </w:r>
      <w:r w:rsidRPr="00595D60">
        <w:rPr>
          <w:rFonts w:ascii="Arial" w:hAnsi="Arial" w:cs="Arial"/>
          <w:sz w:val="22"/>
          <w:szCs w:val="22"/>
        </w:rPr>
        <w:noBreakHyphen/>
        <w:t>positive breast cancer; a new EGFR</w:t>
      </w:r>
      <w:r w:rsidRPr="00595D60">
        <w:rPr>
          <w:rFonts w:ascii="Arial" w:hAnsi="Arial" w:cs="Arial"/>
          <w:sz w:val="22"/>
          <w:szCs w:val="22"/>
        </w:rPr>
        <w:noBreakHyphen/>
        <w:t>targeting agent combined with chemotherapy in RAS wild</w:t>
      </w:r>
      <w:r w:rsidRPr="00595D60">
        <w:rPr>
          <w:rFonts w:ascii="Arial" w:hAnsi="Arial" w:cs="Arial"/>
          <w:sz w:val="22"/>
          <w:szCs w:val="22"/>
        </w:rPr>
        <w:noBreakHyphen/>
        <w:t>type colorectal cancer; or an immune</w:t>
      </w:r>
      <w:r w:rsidRPr="00595D60">
        <w:rPr>
          <w:rFonts w:ascii="Arial" w:hAnsi="Arial" w:cs="Arial"/>
          <w:sz w:val="22"/>
          <w:szCs w:val="22"/>
        </w:rPr>
        <w:noBreakHyphen/>
        <w:t>checkpoint inhibitor–based combination on a platinum</w:t>
      </w:r>
      <w:r w:rsidRPr="00595D60">
        <w:rPr>
          <w:rFonts w:ascii="Arial" w:hAnsi="Arial" w:cs="Arial"/>
          <w:sz w:val="22"/>
          <w:szCs w:val="22"/>
        </w:rPr>
        <w:noBreakHyphen/>
        <w:t>doublet backbone in PD</w:t>
      </w:r>
      <w:r w:rsidRPr="00595D60">
        <w:rPr>
          <w:rFonts w:ascii="Arial" w:hAnsi="Arial" w:cs="Arial"/>
          <w:sz w:val="22"/>
          <w:szCs w:val="22"/>
        </w:rPr>
        <w:noBreakHyphen/>
        <w:t>L1–positive lung cancer. Trials whose regimens did not align with standard therapeutic families or lacked a standard</w:t>
      </w:r>
      <w:r w:rsidRPr="00595D60">
        <w:rPr>
          <w:rFonts w:ascii="Arial" w:hAnsi="Arial" w:cs="Arial"/>
          <w:sz w:val="22"/>
          <w:szCs w:val="22"/>
        </w:rPr>
        <w:noBreakHyphen/>
        <w:t>of</w:t>
      </w:r>
      <w:r w:rsidRPr="00595D60">
        <w:rPr>
          <w:rFonts w:ascii="Arial" w:hAnsi="Arial" w:cs="Arial"/>
          <w:sz w:val="22"/>
          <w:szCs w:val="22"/>
        </w:rPr>
        <w:noBreakHyphen/>
        <w:t>care backbone (e.g., tumor</w:t>
      </w:r>
      <w:r w:rsidRPr="00595D60">
        <w:rPr>
          <w:rFonts w:ascii="Arial" w:hAnsi="Arial" w:cs="Arial"/>
          <w:sz w:val="22"/>
          <w:szCs w:val="22"/>
        </w:rPr>
        <w:noBreakHyphen/>
        <w:t>vaccine monotherapy in first</w:t>
      </w:r>
      <w:r w:rsidRPr="00595D60">
        <w:rPr>
          <w:rFonts w:ascii="Arial" w:hAnsi="Arial" w:cs="Arial"/>
          <w:sz w:val="22"/>
          <w:szCs w:val="22"/>
        </w:rPr>
        <w:noBreakHyphen/>
        <w:t>line lung cancer) were not eligible. Blinded (single</w:t>
      </w:r>
      <w:r w:rsidRPr="00595D60">
        <w:rPr>
          <w:rFonts w:ascii="Arial" w:hAnsi="Arial" w:cs="Arial"/>
          <w:sz w:val="22"/>
          <w:szCs w:val="22"/>
        </w:rPr>
        <w:noBreakHyphen/>
        <w:t xml:space="preserve"> or double</w:t>
      </w:r>
      <w:r w:rsidRPr="00595D60">
        <w:rPr>
          <w:rFonts w:ascii="Arial" w:hAnsi="Arial" w:cs="Arial"/>
          <w:sz w:val="22"/>
          <w:szCs w:val="22"/>
        </w:rPr>
        <w:noBreakHyphen/>
        <w:t>blind) trials were excluded because treatment assignment would not be known to investigators.</w:t>
      </w:r>
      <w:r>
        <w:rPr>
          <w:rFonts w:ascii="Arial" w:hAnsi="Arial" w:cs="Arial"/>
          <w:sz w:val="22"/>
          <w:szCs w:val="22"/>
        </w:rPr>
        <w:t xml:space="preserve"> </w:t>
      </w:r>
      <w:r w:rsidRPr="00595D60">
        <w:rPr>
          <w:rFonts w:ascii="Arial" w:hAnsi="Arial" w:cs="Arial"/>
          <w:sz w:val="22"/>
          <w:szCs w:val="22"/>
        </w:rPr>
        <w:t>For the hormone receptor–positive breast</w:t>
      </w:r>
      <w:r w:rsidRPr="00595D60">
        <w:rPr>
          <w:rFonts w:ascii="Arial" w:hAnsi="Arial" w:cs="Arial"/>
          <w:sz w:val="22"/>
          <w:szCs w:val="22"/>
        </w:rPr>
        <w:noBreakHyphen/>
        <w:t>cancer cohort, first</w:t>
      </w:r>
      <w:r w:rsidRPr="00595D60">
        <w:rPr>
          <w:rFonts w:ascii="Arial" w:hAnsi="Arial" w:cs="Arial"/>
          <w:sz w:val="22"/>
          <w:szCs w:val="22"/>
        </w:rPr>
        <w:noBreakHyphen/>
        <w:t>line therapy was restricted to endocrine therapy (aromatase inhibitor or selective estrogen</w:t>
      </w:r>
      <w:r w:rsidRPr="00595D60">
        <w:rPr>
          <w:rFonts w:ascii="Arial" w:hAnsi="Arial" w:cs="Arial"/>
          <w:sz w:val="22"/>
          <w:szCs w:val="22"/>
        </w:rPr>
        <w:noBreakHyphen/>
        <w:t>receptor modulator; LHRH analogue as appropriate according to menopausal status) plus a CDK4/6 inhibitor.</w:t>
      </w:r>
    </w:p>
    <w:p w14:paraId="36F6CED3" w14:textId="3770749E" w:rsidR="00086A1D" w:rsidRDefault="00086A1D" w:rsidP="00086A1D">
      <w:pPr>
        <w:spacing w:line="480" w:lineRule="auto"/>
        <w:jc w:val="both"/>
        <w:rPr>
          <w:rFonts w:ascii="Arial" w:hAnsi="Arial" w:cs="Arial"/>
          <w:sz w:val="22"/>
          <w:szCs w:val="22"/>
        </w:rPr>
      </w:pPr>
      <w:r>
        <w:rPr>
          <w:rFonts w:ascii="Arial" w:hAnsi="Arial" w:cs="Arial"/>
          <w:sz w:val="22"/>
          <w:szCs w:val="22"/>
        </w:rPr>
        <w:t>Key inclusion criteria included: 1)</w:t>
      </w:r>
      <w:r w:rsidRPr="00086A1D">
        <w:rPr>
          <w:rFonts w:ascii="Arial" w:hAnsi="Arial" w:cs="Arial"/>
          <w:sz w:val="22"/>
          <w:szCs w:val="22"/>
        </w:rPr>
        <w:t xml:space="preserve"> </w:t>
      </w:r>
      <w:r>
        <w:rPr>
          <w:rFonts w:ascii="Arial" w:hAnsi="Arial" w:cs="Arial"/>
          <w:sz w:val="22"/>
          <w:szCs w:val="22"/>
        </w:rPr>
        <w:t>a</w:t>
      </w:r>
      <w:r w:rsidRPr="00086A1D">
        <w:rPr>
          <w:rFonts w:ascii="Arial" w:hAnsi="Arial" w:cs="Arial"/>
          <w:sz w:val="22"/>
          <w:szCs w:val="22"/>
        </w:rPr>
        <w:t>ge ≥18 years</w:t>
      </w:r>
      <w:r>
        <w:rPr>
          <w:rFonts w:ascii="Arial" w:hAnsi="Arial" w:cs="Arial"/>
          <w:sz w:val="22"/>
          <w:szCs w:val="22"/>
        </w:rPr>
        <w:t>; 2)</w:t>
      </w:r>
      <w:r w:rsidRPr="00086A1D">
        <w:rPr>
          <w:rFonts w:ascii="Arial" w:hAnsi="Arial" w:cs="Arial"/>
          <w:sz w:val="22"/>
          <w:szCs w:val="22"/>
        </w:rPr>
        <w:t xml:space="preserve"> </w:t>
      </w:r>
      <w:r w:rsidR="00AB1F29">
        <w:rPr>
          <w:rFonts w:ascii="Arial" w:hAnsi="Arial" w:cs="Arial"/>
          <w:sz w:val="22"/>
          <w:szCs w:val="22"/>
        </w:rPr>
        <w:t xml:space="preserve">no upper bound was set for </w:t>
      </w:r>
      <w:r w:rsidRPr="00086A1D">
        <w:rPr>
          <w:rFonts w:ascii="Arial" w:hAnsi="Arial" w:cs="Arial"/>
          <w:sz w:val="22"/>
          <w:szCs w:val="22"/>
        </w:rPr>
        <w:t>ECOG performance status</w:t>
      </w:r>
      <w:r>
        <w:rPr>
          <w:rFonts w:ascii="Arial" w:hAnsi="Arial" w:cs="Arial"/>
          <w:sz w:val="22"/>
          <w:szCs w:val="22"/>
        </w:rPr>
        <w:t>; 3) a</w:t>
      </w:r>
      <w:r w:rsidRPr="00086A1D">
        <w:rPr>
          <w:rFonts w:ascii="Arial" w:hAnsi="Arial" w:cs="Arial"/>
          <w:sz w:val="22"/>
          <w:szCs w:val="22"/>
        </w:rPr>
        <w:t>bility and willingness to use and wear a smartphone and a smartwatch, and to comply with the app</w:t>
      </w:r>
      <w:r w:rsidRPr="00086A1D">
        <w:rPr>
          <w:rFonts w:ascii="Arial" w:hAnsi="Arial" w:cs="Arial"/>
          <w:sz w:val="22"/>
          <w:szCs w:val="22"/>
        </w:rPr>
        <w:noBreakHyphen/>
        <w:t>based assessments; 4) ownership of a smartphone with internet access; 5) ability and willingness to comply with study visits, questionnaires and sampling; 6) provision of written informed consent. Key exclusion criteria were: 1) prior systemic anticancer therapy for advanced/metastatic disease before Day 1. The following adjuncts to loco</w:t>
      </w:r>
      <w:r w:rsidRPr="00086A1D">
        <w:rPr>
          <w:rFonts w:ascii="Arial" w:hAnsi="Arial" w:cs="Arial"/>
          <w:sz w:val="22"/>
          <w:szCs w:val="22"/>
        </w:rPr>
        <w:noBreakHyphen/>
        <w:t>regional palliation were allowed when given solely for symptomatic control of a specific lesion and not intended as disease</w:t>
      </w:r>
      <w:r w:rsidRPr="00086A1D">
        <w:rPr>
          <w:rFonts w:ascii="Arial" w:hAnsi="Arial" w:cs="Arial"/>
          <w:sz w:val="22"/>
          <w:szCs w:val="22"/>
        </w:rPr>
        <w:noBreakHyphen/>
        <w:t>controlling systemic therapy: short</w:t>
      </w:r>
      <w:r w:rsidRPr="00086A1D">
        <w:rPr>
          <w:rFonts w:ascii="Arial" w:hAnsi="Arial" w:cs="Arial"/>
          <w:sz w:val="22"/>
          <w:szCs w:val="22"/>
        </w:rPr>
        <w:noBreakHyphen/>
        <w:t>course corticosteroids (e.g., dexamethasone) for brain metastases; bone</w:t>
      </w:r>
      <w:r w:rsidRPr="00086A1D">
        <w:rPr>
          <w:rFonts w:ascii="Arial" w:hAnsi="Arial" w:cs="Arial"/>
          <w:sz w:val="22"/>
          <w:szCs w:val="22"/>
        </w:rPr>
        <w:noBreakHyphen/>
        <w:t xml:space="preserve">targeted agents (bisphosphonates or denosumab) for </w:t>
      </w:r>
      <w:r w:rsidRPr="00086A1D">
        <w:rPr>
          <w:rFonts w:ascii="Arial" w:hAnsi="Arial" w:cs="Arial"/>
          <w:sz w:val="22"/>
          <w:szCs w:val="22"/>
        </w:rPr>
        <w:lastRenderedPageBreak/>
        <w:t>skeletal</w:t>
      </w:r>
      <w:r w:rsidRPr="00086A1D">
        <w:rPr>
          <w:rFonts w:ascii="Arial" w:hAnsi="Arial" w:cs="Arial"/>
          <w:sz w:val="22"/>
          <w:szCs w:val="22"/>
        </w:rPr>
        <w:noBreakHyphen/>
        <w:t>related</w:t>
      </w:r>
      <w:r w:rsidRPr="00086A1D">
        <w:rPr>
          <w:rFonts w:ascii="Arial" w:hAnsi="Arial" w:cs="Arial"/>
          <w:sz w:val="22"/>
          <w:szCs w:val="22"/>
        </w:rPr>
        <w:noBreakHyphen/>
        <w:t>event prophylaxis; and medications administered concurrently with palliative radiotherapy to an at</w:t>
      </w:r>
      <w:r w:rsidRPr="00086A1D">
        <w:rPr>
          <w:rFonts w:ascii="Arial" w:hAnsi="Arial" w:cs="Arial"/>
          <w:sz w:val="22"/>
          <w:szCs w:val="22"/>
        </w:rPr>
        <w:noBreakHyphen/>
        <w:t>risk lesion (such as pain-management or anti-emetic drugs). Cytotoxic chemotherapy, endocrine therapy, targeted therapy or immunotherapy intended to treat disseminated disease prior to Day 1 were not permitted. 2) Enrollment in blinded clinical trials (single</w:t>
      </w:r>
      <w:r w:rsidRPr="00086A1D">
        <w:rPr>
          <w:rFonts w:ascii="Arial" w:hAnsi="Arial" w:cs="Arial"/>
          <w:sz w:val="22"/>
          <w:szCs w:val="22"/>
        </w:rPr>
        <w:noBreakHyphen/>
        <w:t xml:space="preserve"> or double</w:t>
      </w:r>
      <w:r w:rsidRPr="00086A1D">
        <w:rPr>
          <w:rFonts w:ascii="Arial" w:hAnsi="Arial" w:cs="Arial"/>
          <w:sz w:val="22"/>
          <w:szCs w:val="22"/>
        </w:rPr>
        <w:noBreakHyphen/>
        <w:t xml:space="preserve">blind); 3) active second primary malignancy requiring treatment. Patients with a remote or adequately treated prior malignancy were eligible, </w:t>
      </w:r>
      <w:proofErr w:type="gramStart"/>
      <w:r w:rsidRPr="00086A1D">
        <w:rPr>
          <w:rFonts w:ascii="Arial" w:hAnsi="Arial" w:cs="Arial"/>
          <w:sz w:val="22"/>
          <w:szCs w:val="22"/>
        </w:rPr>
        <w:t>including:</w:t>
      </w:r>
      <w:proofErr w:type="gramEnd"/>
      <w:r w:rsidRPr="00086A1D">
        <w:rPr>
          <w:rFonts w:ascii="Arial" w:hAnsi="Arial" w:cs="Arial"/>
          <w:sz w:val="22"/>
          <w:szCs w:val="22"/>
        </w:rPr>
        <w:t xml:space="preserve"> basal</w:t>
      </w:r>
      <w:r w:rsidRPr="00086A1D">
        <w:rPr>
          <w:rFonts w:ascii="Arial" w:hAnsi="Arial" w:cs="Arial"/>
          <w:sz w:val="22"/>
          <w:szCs w:val="22"/>
        </w:rPr>
        <w:noBreakHyphen/>
        <w:t>cell or squamous</w:t>
      </w:r>
      <w:r w:rsidRPr="00086A1D">
        <w:rPr>
          <w:rFonts w:ascii="Arial" w:hAnsi="Arial" w:cs="Arial"/>
          <w:sz w:val="22"/>
          <w:szCs w:val="22"/>
        </w:rPr>
        <w:noBreakHyphen/>
        <w:t>cell carcinoma of the skin, and carcinoma of the cervix treated with curative intent and with no evidence of disease. 4) Presence of implantable electronic cardiac devices (e.g., pacemakers or implantable cardioverter</w:t>
      </w:r>
      <w:r w:rsidRPr="00086A1D">
        <w:rPr>
          <w:rFonts w:ascii="Arial" w:hAnsi="Arial" w:cs="Arial"/>
          <w:sz w:val="22"/>
          <w:szCs w:val="22"/>
        </w:rPr>
        <w:noBreakHyphen/>
        <w:t>defibrillators), due to potential unknown interactions with the wearable device.</w:t>
      </w:r>
    </w:p>
    <w:p w14:paraId="229C079B" w14:textId="77777777" w:rsidR="006A6B9E" w:rsidRDefault="006A6B9E" w:rsidP="00086A1D">
      <w:pPr>
        <w:spacing w:line="480" w:lineRule="auto"/>
        <w:jc w:val="both"/>
        <w:rPr>
          <w:rFonts w:ascii="Arial" w:hAnsi="Arial" w:cs="Arial"/>
          <w:sz w:val="22"/>
          <w:szCs w:val="22"/>
        </w:rPr>
      </w:pPr>
    </w:p>
    <w:p w14:paraId="0E3F8A06" w14:textId="77777777" w:rsidR="006A6B9E" w:rsidRDefault="006A6B9E" w:rsidP="006A6B9E">
      <w:pPr>
        <w:spacing w:line="480" w:lineRule="auto"/>
        <w:jc w:val="both"/>
        <w:rPr>
          <w:rFonts w:ascii="Arial" w:hAnsi="Arial" w:cs="Arial"/>
          <w:sz w:val="22"/>
          <w:szCs w:val="22"/>
          <w:u w:val="single"/>
        </w:rPr>
      </w:pPr>
      <w:r>
        <w:rPr>
          <w:rFonts w:ascii="Arial" w:hAnsi="Arial" w:cs="Arial"/>
          <w:sz w:val="22"/>
          <w:szCs w:val="22"/>
          <w:u w:val="single"/>
        </w:rPr>
        <w:t>Study Procedures</w:t>
      </w:r>
    </w:p>
    <w:p w14:paraId="369EAEEB" w14:textId="77777777" w:rsidR="006A6B9E" w:rsidRDefault="006A6B9E" w:rsidP="006A6B9E">
      <w:pPr>
        <w:spacing w:line="480" w:lineRule="auto"/>
        <w:jc w:val="both"/>
        <w:rPr>
          <w:rFonts w:ascii="Arial" w:hAnsi="Arial" w:cs="Arial"/>
          <w:sz w:val="22"/>
          <w:szCs w:val="22"/>
        </w:rPr>
      </w:pPr>
      <w:r>
        <w:rPr>
          <w:rFonts w:ascii="Arial" w:hAnsi="Arial" w:cs="Arial"/>
          <w:sz w:val="22"/>
          <w:szCs w:val="22"/>
        </w:rPr>
        <w:t>After signing informed consent, p</w:t>
      </w:r>
      <w:r w:rsidRPr="00DC4455">
        <w:rPr>
          <w:rFonts w:ascii="Arial" w:hAnsi="Arial" w:cs="Arial"/>
          <w:sz w:val="22"/>
          <w:szCs w:val="22"/>
        </w:rPr>
        <w:t>articipants attended a training visit during the pre</w:t>
      </w:r>
      <w:r w:rsidRPr="00DC4455">
        <w:rPr>
          <w:rFonts w:ascii="Arial" w:hAnsi="Arial" w:cs="Arial"/>
          <w:sz w:val="22"/>
          <w:szCs w:val="22"/>
        </w:rPr>
        <w:noBreakHyphen/>
        <w:t>treatment window (Day −14 to Day 0) to receive the study smartwatch (Garmin</w:t>
      </w:r>
      <w:r>
        <w:rPr>
          <w:rFonts w:ascii="Arial" w:hAnsi="Arial" w:cs="Arial"/>
          <w:sz w:val="22"/>
          <w:szCs w:val="22"/>
        </w:rPr>
        <w:t xml:space="preserve"> </w:t>
      </w:r>
      <w:proofErr w:type="spellStart"/>
      <w:r>
        <w:rPr>
          <w:rFonts w:ascii="Arial" w:hAnsi="Arial" w:cs="Arial"/>
          <w:sz w:val="22"/>
          <w:szCs w:val="22"/>
        </w:rPr>
        <w:t>Vivosmart</w:t>
      </w:r>
      <w:proofErr w:type="spellEnd"/>
      <w:r>
        <w:rPr>
          <w:rFonts w:ascii="Arial" w:hAnsi="Arial" w:cs="Arial"/>
          <w:sz w:val="22"/>
          <w:szCs w:val="22"/>
        </w:rPr>
        <w:t xml:space="preserve"> 4</w:t>
      </w:r>
      <w:r w:rsidRPr="00DC4455">
        <w:rPr>
          <w:rFonts w:ascii="Arial" w:hAnsi="Arial" w:cs="Arial"/>
          <w:sz w:val="22"/>
          <w:szCs w:val="22"/>
        </w:rPr>
        <w:t xml:space="preserve">; single vendor across the cohort), install and be trained on the smartphone </w:t>
      </w:r>
      <w:r>
        <w:rPr>
          <w:rFonts w:ascii="Arial" w:hAnsi="Arial" w:cs="Arial"/>
          <w:sz w:val="22"/>
          <w:szCs w:val="22"/>
        </w:rPr>
        <w:t xml:space="preserve">monitoring </w:t>
      </w:r>
      <w:r w:rsidRPr="00DC4455">
        <w:rPr>
          <w:rFonts w:ascii="Arial" w:hAnsi="Arial" w:cs="Arial"/>
          <w:sz w:val="22"/>
          <w:szCs w:val="22"/>
        </w:rPr>
        <w:t>application</w:t>
      </w:r>
      <w:r>
        <w:rPr>
          <w:rFonts w:ascii="Arial" w:hAnsi="Arial" w:cs="Arial"/>
          <w:sz w:val="22"/>
          <w:szCs w:val="22"/>
        </w:rPr>
        <w:t xml:space="preserve"> (described below)</w:t>
      </w:r>
      <w:r w:rsidRPr="00DC4455">
        <w:rPr>
          <w:rFonts w:ascii="Arial" w:hAnsi="Arial" w:cs="Arial"/>
          <w:sz w:val="22"/>
          <w:szCs w:val="22"/>
        </w:rPr>
        <w:t>,</w:t>
      </w:r>
      <w:r>
        <w:rPr>
          <w:rFonts w:ascii="Arial" w:hAnsi="Arial" w:cs="Arial"/>
          <w:sz w:val="22"/>
          <w:szCs w:val="22"/>
        </w:rPr>
        <w:t xml:space="preserve"> </w:t>
      </w:r>
      <w:r w:rsidRPr="00DC4455">
        <w:rPr>
          <w:rFonts w:ascii="Arial" w:hAnsi="Arial" w:cs="Arial"/>
          <w:sz w:val="22"/>
          <w:szCs w:val="22"/>
        </w:rPr>
        <w:t>and review visit schedules, sampling procedures, and PRO questionnaire cadence</w:t>
      </w:r>
      <w:r>
        <w:rPr>
          <w:rFonts w:ascii="Arial" w:hAnsi="Arial" w:cs="Arial"/>
          <w:sz w:val="22"/>
          <w:szCs w:val="22"/>
        </w:rPr>
        <w:t>.</w:t>
      </w:r>
    </w:p>
    <w:p w14:paraId="00A943B1" w14:textId="77777777" w:rsidR="006A6B9E" w:rsidRDefault="006A6B9E" w:rsidP="006A6B9E">
      <w:pPr>
        <w:spacing w:line="480" w:lineRule="auto"/>
        <w:jc w:val="both"/>
        <w:rPr>
          <w:rFonts w:ascii="Arial" w:hAnsi="Arial" w:cs="Arial"/>
          <w:sz w:val="22"/>
          <w:szCs w:val="22"/>
        </w:rPr>
      </w:pPr>
      <w:r>
        <w:rPr>
          <w:rFonts w:ascii="Arial" w:hAnsi="Arial" w:cs="Arial"/>
          <w:sz w:val="22"/>
          <w:szCs w:val="22"/>
        </w:rPr>
        <w:t xml:space="preserve">Clinical study coordinators had access to each patient’s monitoring dashboard (Supplementary Figure S1) in order to survey patients’ adherence or emergence of potential monitoring issues [i.e., smartphone operating system update requiring EB2 access permit confirmation, smartphone loss or change, smartwatch malfunction or misuse – e.g., patients might automatically put the watch to charge all night, missing 8-10 hours monitoring window and SpO2 determination, when 30 min charging per week is sufficient – or simply involuntary (e.g., leaving home without the smartphone) or voluntary lack of adherence]. Coordinators were instructed to call the patients when &gt;48 hours of consecutive lack of monitoring were registered and/or when a repetitive pattern of “black hours” emerged for 3-4 consecutive days. </w:t>
      </w:r>
    </w:p>
    <w:p w14:paraId="78969A5D" w14:textId="1407BF48" w:rsidR="006A6B9E" w:rsidRPr="006A6B9E" w:rsidRDefault="006A6B9E" w:rsidP="006A6B9E">
      <w:pPr>
        <w:spacing w:line="480" w:lineRule="auto"/>
        <w:jc w:val="both"/>
        <w:rPr>
          <w:rFonts w:ascii="Arial" w:hAnsi="Arial" w:cs="Arial"/>
          <w:color w:val="FF0000"/>
          <w:sz w:val="22"/>
          <w:szCs w:val="22"/>
        </w:rPr>
      </w:pPr>
      <w:r w:rsidRPr="00F53B5F">
        <w:rPr>
          <w:rFonts w:ascii="Arial" w:hAnsi="Arial" w:cs="Arial"/>
          <w:sz w:val="22"/>
          <w:szCs w:val="22"/>
        </w:rPr>
        <w:lastRenderedPageBreak/>
        <w:t>In parallel, a bespoke electronic case</w:t>
      </w:r>
      <w:r w:rsidRPr="00F53B5F">
        <w:rPr>
          <w:rFonts w:ascii="Arial" w:hAnsi="Arial" w:cs="Arial"/>
          <w:sz w:val="22"/>
          <w:szCs w:val="22"/>
        </w:rPr>
        <w:noBreakHyphen/>
        <w:t>report form (eCRF) captured demographics, comorbidities, oncology treatments, laboratory values, and imaging; DICOM files were archived in a centralized repository.</w:t>
      </w:r>
      <w:r>
        <w:rPr>
          <w:rFonts w:ascii="Arial" w:hAnsi="Arial" w:cs="Arial"/>
          <w:sz w:val="22"/>
          <w:szCs w:val="22"/>
        </w:rPr>
        <w:t xml:space="preserve"> Detailed study procedures have been reported elsewhere (</w:t>
      </w:r>
      <w:r>
        <w:rPr>
          <w:rFonts w:ascii="Arial" w:hAnsi="Arial" w:cs="Arial"/>
          <w:color w:val="FF0000"/>
          <w:sz w:val="22"/>
          <w:szCs w:val="22"/>
        </w:rPr>
        <w:t>In press manuscript, JCO PO submitted along the present one)</w:t>
      </w:r>
    </w:p>
    <w:p w14:paraId="22214D87" w14:textId="77777777" w:rsidR="006A6B9E" w:rsidRPr="006A6B9E" w:rsidRDefault="006A6B9E" w:rsidP="006A6B9E">
      <w:pPr>
        <w:spacing w:line="480" w:lineRule="auto"/>
        <w:jc w:val="both"/>
        <w:rPr>
          <w:rFonts w:ascii="Arial" w:hAnsi="Arial" w:cs="Arial"/>
          <w:sz w:val="22"/>
          <w:szCs w:val="22"/>
        </w:rPr>
      </w:pPr>
    </w:p>
    <w:p w14:paraId="72A7F48E" w14:textId="77777777" w:rsidR="006A6B9E" w:rsidRDefault="006A6B9E" w:rsidP="006A6B9E">
      <w:pPr>
        <w:spacing w:line="480" w:lineRule="auto"/>
        <w:jc w:val="both"/>
        <w:rPr>
          <w:rFonts w:ascii="Arial" w:hAnsi="Arial" w:cs="Arial"/>
          <w:b/>
          <w:bCs/>
          <w:sz w:val="22"/>
          <w:szCs w:val="22"/>
        </w:rPr>
      </w:pPr>
      <w:r w:rsidRPr="00F7700A">
        <w:rPr>
          <w:rFonts w:ascii="Arial" w:hAnsi="Arial" w:cs="Arial"/>
          <w:b/>
          <w:bCs/>
          <w:sz w:val="22"/>
          <w:szCs w:val="22"/>
        </w:rPr>
        <w:t xml:space="preserve">Digital monitoring platform and data capture </w:t>
      </w:r>
      <w:r>
        <w:rPr>
          <w:rFonts w:ascii="Arial" w:hAnsi="Arial" w:cs="Arial"/>
          <w:b/>
          <w:bCs/>
          <w:sz w:val="22"/>
          <w:szCs w:val="22"/>
        </w:rPr>
        <w:t xml:space="preserve">(EB2 smartphone application plus Garmin </w:t>
      </w:r>
      <w:proofErr w:type="spellStart"/>
      <w:r>
        <w:rPr>
          <w:rFonts w:ascii="Arial" w:hAnsi="Arial" w:cs="Arial"/>
          <w:b/>
          <w:bCs/>
          <w:sz w:val="22"/>
          <w:szCs w:val="22"/>
        </w:rPr>
        <w:t>Vivosmart</w:t>
      </w:r>
      <w:proofErr w:type="spellEnd"/>
      <w:r>
        <w:rPr>
          <w:rFonts w:ascii="Arial" w:hAnsi="Arial" w:cs="Arial"/>
          <w:b/>
          <w:bCs/>
          <w:sz w:val="22"/>
          <w:szCs w:val="22"/>
        </w:rPr>
        <w:t xml:space="preserve"> 4)</w:t>
      </w:r>
    </w:p>
    <w:p w14:paraId="65391728" w14:textId="77777777" w:rsidR="006A6B9E" w:rsidRPr="00F7700A" w:rsidRDefault="006A6B9E" w:rsidP="006A6B9E">
      <w:pPr>
        <w:spacing w:line="480" w:lineRule="auto"/>
        <w:jc w:val="both"/>
        <w:rPr>
          <w:rFonts w:ascii="Arial" w:hAnsi="Arial" w:cs="Arial"/>
          <w:b/>
          <w:bCs/>
          <w:sz w:val="22"/>
          <w:szCs w:val="22"/>
        </w:rPr>
      </w:pPr>
    </w:p>
    <w:p w14:paraId="305DD47D" w14:textId="77777777" w:rsidR="006A6B9E" w:rsidRDefault="006A6B9E" w:rsidP="006A6B9E">
      <w:pPr>
        <w:pStyle w:val="NormalWeb"/>
        <w:spacing w:line="480" w:lineRule="auto"/>
        <w:jc w:val="both"/>
        <w:rPr>
          <w:rFonts w:ascii="Arial" w:hAnsi="Arial" w:cs="Arial"/>
          <w:sz w:val="22"/>
          <w:szCs w:val="22"/>
        </w:rPr>
      </w:pPr>
      <w:r w:rsidRPr="000C408A">
        <w:rPr>
          <w:rFonts w:ascii="Arial" w:hAnsi="Arial" w:cs="Arial"/>
          <w:sz w:val="22"/>
          <w:szCs w:val="22"/>
        </w:rPr>
        <w:t xml:space="preserve">We implemented longitudinal passive monitoring using the eB2 </w:t>
      </w:r>
      <w:proofErr w:type="spellStart"/>
      <w:r w:rsidRPr="000C408A">
        <w:rPr>
          <w:rFonts w:ascii="Arial" w:hAnsi="Arial" w:cs="Arial"/>
          <w:sz w:val="22"/>
          <w:szCs w:val="22"/>
        </w:rPr>
        <w:t>MindCare</w:t>
      </w:r>
      <w:proofErr w:type="spellEnd"/>
      <w:r w:rsidRPr="000C408A">
        <w:rPr>
          <w:rFonts w:ascii="Arial" w:hAnsi="Arial" w:cs="Arial"/>
          <w:sz w:val="22"/>
          <w:szCs w:val="22"/>
        </w:rPr>
        <w:t xml:space="preserve"> platform (Evidence</w:t>
      </w:r>
      <w:r w:rsidRPr="000C408A">
        <w:rPr>
          <w:rFonts w:ascii="Arial" w:hAnsi="Arial" w:cs="Arial"/>
          <w:sz w:val="22"/>
          <w:szCs w:val="22"/>
        </w:rPr>
        <w:noBreakHyphen/>
        <w:t>Based Behavior, Spain), a Class I CE</w:t>
      </w:r>
      <w:r w:rsidRPr="000C408A">
        <w:rPr>
          <w:rFonts w:ascii="Arial" w:hAnsi="Arial" w:cs="Arial"/>
          <w:sz w:val="22"/>
          <w:szCs w:val="22"/>
        </w:rPr>
        <w:noBreakHyphen/>
        <w:t>marked medical device designed to support continuous behavioral and physiologic tracking and early detection of clinical deterioration in real</w:t>
      </w:r>
      <w:r w:rsidRPr="000C408A">
        <w:rPr>
          <w:rFonts w:ascii="Arial" w:hAnsi="Arial" w:cs="Arial"/>
          <w:sz w:val="22"/>
          <w:szCs w:val="22"/>
        </w:rPr>
        <w:noBreakHyphen/>
        <w:t>world settings. The platform was used purely for observational data collection and data</w:t>
      </w:r>
      <w:r w:rsidRPr="000C408A">
        <w:rPr>
          <w:rFonts w:ascii="Arial" w:hAnsi="Arial" w:cs="Arial"/>
          <w:sz w:val="22"/>
          <w:szCs w:val="22"/>
        </w:rPr>
        <w:noBreakHyphen/>
        <w:t>quality oversight in this study; no clinical decisions were triggered by algorithmic outputs.</w:t>
      </w:r>
    </w:p>
    <w:p w14:paraId="07640315" w14:textId="77777777" w:rsidR="006A6B9E" w:rsidRPr="000C408A" w:rsidRDefault="006A6B9E" w:rsidP="006A6B9E">
      <w:pPr>
        <w:pStyle w:val="NormalWeb"/>
        <w:spacing w:line="480" w:lineRule="auto"/>
        <w:jc w:val="both"/>
        <w:rPr>
          <w:rFonts w:ascii="Arial" w:hAnsi="Arial" w:cs="Arial"/>
          <w:sz w:val="22"/>
          <w:szCs w:val="22"/>
        </w:rPr>
      </w:pPr>
    </w:p>
    <w:p w14:paraId="1AAD7E47" w14:textId="77777777" w:rsidR="006A6B9E" w:rsidRPr="000C408A" w:rsidRDefault="006A6B9E" w:rsidP="006A6B9E">
      <w:pPr>
        <w:pStyle w:val="NormalWeb"/>
        <w:spacing w:line="480" w:lineRule="auto"/>
        <w:jc w:val="both"/>
        <w:rPr>
          <w:rFonts w:ascii="Arial" w:hAnsi="Arial" w:cs="Arial"/>
          <w:sz w:val="22"/>
          <w:szCs w:val="22"/>
          <w:u w:val="single"/>
        </w:rPr>
      </w:pPr>
      <w:r w:rsidRPr="000C408A">
        <w:rPr>
          <w:rFonts w:ascii="Arial" w:hAnsi="Arial" w:cs="Arial"/>
          <w:sz w:val="22"/>
          <w:szCs w:val="22"/>
          <w:u w:val="single"/>
        </w:rPr>
        <w:t xml:space="preserve">System architecture and data flow. </w:t>
      </w:r>
    </w:p>
    <w:p w14:paraId="0CD22C7C" w14:textId="77777777" w:rsidR="006A6B9E" w:rsidRPr="000C408A" w:rsidRDefault="006A6B9E" w:rsidP="006A6B9E">
      <w:pPr>
        <w:pStyle w:val="NormalWeb"/>
        <w:spacing w:line="480" w:lineRule="auto"/>
        <w:jc w:val="both"/>
        <w:rPr>
          <w:rFonts w:ascii="Arial" w:hAnsi="Arial" w:cs="Arial"/>
          <w:sz w:val="22"/>
          <w:szCs w:val="22"/>
        </w:rPr>
      </w:pPr>
      <w:r w:rsidRPr="000C408A">
        <w:rPr>
          <w:rFonts w:ascii="Arial" w:hAnsi="Arial" w:cs="Arial"/>
          <w:sz w:val="22"/>
          <w:szCs w:val="22"/>
        </w:rPr>
        <w:t>The platform runs on a cloud</w:t>
      </w:r>
      <w:r w:rsidRPr="000C408A">
        <w:rPr>
          <w:rFonts w:ascii="Arial" w:hAnsi="Arial" w:cs="Arial"/>
          <w:sz w:val="22"/>
          <w:szCs w:val="22"/>
        </w:rPr>
        <w:noBreakHyphen/>
        <w:t>based backend hosted on certified providers and comprises four components: (</w:t>
      </w:r>
      <w:proofErr w:type="spellStart"/>
      <w:r w:rsidRPr="000C408A">
        <w:rPr>
          <w:rFonts w:ascii="Arial" w:hAnsi="Arial" w:cs="Arial"/>
          <w:sz w:val="22"/>
          <w:szCs w:val="22"/>
        </w:rPr>
        <w:t>i</w:t>
      </w:r>
      <w:proofErr w:type="spellEnd"/>
      <w:r w:rsidRPr="000C408A">
        <w:rPr>
          <w:rFonts w:ascii="Arial" w:hAnsi="Arial" w:cs="Arial"/>
          <w:sz w:val="22"/>
          <w:szCs w:val="22"/>
        </w:rPr>
        <w:t>) a mobile application installed on the participant’s smartphone (data collection interface and PRO delivery), (ii) a wrist</w:t>
      </w:r>
      <w:r w:rsidRPr="000C408A">
        <w:rPr>
          <w:rFonts w:ascii="Arial" w:hAnsi="Arial" w:cs="Arial"/>
          <w:sz w:val="22"/>
          <w:szCs w:val="22"/>
        </w:rPr>
        <w:noBreakHyphen/>
        <w:t>worn wearable for continuous physiologic sensing, (iii) a secure cloud backend for storage and processing of time</w:t>
      </w:r>
      <w:r w:rsidRPr="000C408A">
        <w:rPr>
          <w:rFonts w:ascii="Arial" w:hAnsi="Arial" w:cs="Arial"/>
          <w:sz w:val="22"/>
          <w:szCs w:val="22"/>
        </w:rPr>
        <w:noBreakHyphen/>
        <w:t xml:space="preserve">series data, and (iv) a web dashboard for site coordinators. For this study, all participants were provisioned with the same wearable model (Garmin </w:t>
      </w:r>
      <w:proofErr w:type="spellStart"/>
      <w:r>
        <w:rPr>
          <w:rFonts w:ascii="Arial" w:hAnsi="Arial" w:cs="Arial"/>
          <w:sz w:val="22"/>
          <w:szCs w:val="22"/>
        </w:rPr>
        <w:t>Vivosmart</w:t>
      </w:r>
      <w:proofErr w:type="spellEnd"/>
      <w:r w:rsidRPr="000C408A">
        <w:rPr>
          <w:rFonts w:ascii="Arial" w:hAnsi="Arial" w:cs="Arial"/>
          <w:sz w:val="22"/>
          <w:szCs w:val="22"/>
        </w:rPr>
        <w:t> 4). After consent, wearable data were synchronized to Garmin Connect on the participant’s phone and relayed to eB2 via an authenticated cloud</w:t>
      </w:r>
      <w:r w:rsidRPr="000C408A">
        <w:rPr>
          <w:rFonts w:ascii="Arial" w:hAnsi="Arial" w:cs="Arial"/>
          <w:sz w:val="22"/>
          <w:szCs w:val="22"/>
        </w:rPr>
        <w:noBreakHyphen/>
        <w:t>to</w:t>
      </w:r>
      <w:r w:rsidRPr="000C408A">
        <w:rPr>
          <w:rFonts w:ascii="Arial" w:hAnsi="Arial" w:cs="Arial"/>
          <w:sz w:val="22"/>
          <w:szCs w:val="22"/>
        </w:rPr>
        <w:noBreakHyphen/>
        <w:t>cloud API. The mobile app aggregated smartphone</w:t>
      </w:r>
      <w:r w:rsidRPr="000C408A">
        <w:rPr>
          <w:rFonts w:ascii="Arial" w:hAnsi="Arial" w:cs="Arial"/>
          <w:sz w:val="22"/>
          <w:szCs w:val="22"/>
        </w:rPr>
        <w:noBreakHyphen/>
        <w:t xml:space="preserve">sensor signals and wearable streams and transmitted them via encrypted channels to the </w:t>
      </w:r>
      <w:proofErr w:type="spellStart"/>
      <w:r w:rsidRPr="000C408A">
        <w:rPr>
          <w:rFonts w:ascii="Arial" w:hAnsi="Arial" w:cs="Arial"/>
          <w:sz w:val="22"/>
          <w:szCs w:val="22"/>
        </w:rPr>
        <w:t>backend’s</w:t>
      </w:r>
      <w:proofErr w:type="spellEnd"/>
      <w:r w:rsidRPr="000C408A">
        <w:rPr>
          <w:rFonts w:ascii="Arial" w:hAnsi="Arial" w:cs="Arial"/>
          <w:sz w:val="22"/>
          <w:szCs w:val="22"/>
        </w:rPr>
        <w:t xml:space="preserve"> time</w:t>
      </w:r>
      <w:r w:rsidRPr="000C408A">
        <w:rPr>
          <w:rFonts w:ascii="Arial" w:hAnsi="Arial" w:cs="Arial"/>
          <w:sz w:val="22"/>
          <w:szCs w:val="22"/>
        </w:rPr>
        <w:noBreakHyphen/>
        <w:t>series databases. Site staff accessed a role</w:t>
      </w:r>
      <w:r w:rsidRPr="000C408A">
        <w:rPr>
          <w:rFonts w:ascii="Arial" w:hAnsi="Arial" w:cs="Arial"/>
          <w:sz w:val="22"/>
          <w:szCs w:val="22"/>
        </w:rPr>
        <w:noBreakHyphen/>
        <w:t>based dashboard to review completeness, visualize trends, and manage data</w:t>
      </w:r>
      <w:r w:rsidRPr="000C408A">
        <w:rPr>
          <w:rFonts w:ascii="Arial" w:hAnsi="Arial" w:cs="Arial"/>
          <w:sz w:val="22"/>
          <w:szCs w:val="22"/>
        </w:rPr>
        <w:noBreakHyphen/>
        <w:t>quality alerts.</w:t>
      </w:r>
    </w:p>
    <w:p w14:paraId="7601377B" w14:textId="77777777" w:rsidR="006A6B9E" w:rsidRPr="000C408A" w:rsidRDefault="006A6B9E" w:rsidP="006A6B9E">
      <w:pPr>
        <w:pStyle w:val="NormalWeb"/>
        <w:spacing w:line="480" w:lineRule="auto"/>
        <w:jc w:val="both"/>
        <w:rPr>
          <w:rFonts w:ascii="Arial" w:hAnsi="Arial" w:cs="Arial"/>
          <w:sz w:val="22"/>
          <w:szCs w:val="22"/>
          <w:u w:val="single"/>
        </w:rPr>
      </w:pPr>
      <w:r w:rsidRPr="000C408A">
        <w:rPr>
          <w:rFonts w:ascii="Arial" w:hAnsi="Arial" w:cs="Arial"/>
          <w:sz w:val="22"/>
          <w:szCs w:val="22"/>
          <w:u w:val="single"/>
        </w:rPr>
        <w:t xml:space="preserve">Data streams and actively reported inputs. </w:t>
      </w:r>
    </w:p>
    <w:p w14:paraId="27BA70DB" w14:textId="77777777" w:rsidR="006A6B9E" w:rsidRDefault="006A6B9E" w:rsidP="006A6B9E">
      <w:pPr>
        <w:pStyle w:val="NormalWeb"/>
        <w:spacing w:line="480" w:lineRule="auto"/>
        <w:jc w:val="both"/>
        <w:rPr>
          <w:rFonts w:ascii="Arial" w:hAnsi="Arial" w:cs="Arial"/>
          <w:sz w:val="22"/>
          <w:szCs w:val="22"/>
        </w:rPr>
      </w:pPr>
      <w:r w:rsidRPr="000C408A">
        <w:rPr>
          <w:rFonts w:ascii="Arial" w:hAnsi="Arial" w:cs="Arial"/>
          <w:sz w:val="22"/>
          <w:szCs w:val="22"/>
        </w:rPr>
        <w:lastRenderedPageBreak/>
        <w:t>Passive, continuous streams included heart rate, step counts/actigraphy, and sleep</w:t>
      </w:r>
      <w:r w:rsidRPr="000C408A">
        <w:rPr>
          <w:rFonts w:ascii="Arial" w:hAnsi="Arial" w:cs="Arial"/>
          <w:sz w:val="22"/>
          <w:szCs w:val="22"/>
        </w:rPr>
        <w:noBreakHyphen/>
        <w:t>related features from the wearable; oxygen saturation was captured passively once per night by device default. The smartphone contributed geolocation (for mobility footprints and time</w:t>
      </w:r>
      <w:r w:rsidRPr="000C408A">
        <w:rPr>
          <w:rFonts w:ascii="Arial" w:hAnsi="Arial" w:cs="Arial"/>
          <w:sz w:val="22"/>
          <w:szCs w:val="22"/>
        </w:rPr>
        <w:noBreakHyphen/>
        <w:t>at</w:t>
      </w:r>
      <w:r w:rsidRPr="000C408A">
        <w:rPr>
          <w:rFonts w:ascii="Arial" w:hAnsi="Arial" w:cs="Arial"/>
          <w:sz w:val="22"/>
          <w:szCs w:val="22"/>
        </w:rPr>
        <w:noBreakHyphen/>
        <w:t>home estimation), ambient light exposure, and optional phone</w:t>
      </w:r>
      <w:r w:rsidRPr="000C408A">
        <w:rPr>
          <w:rFonts w:ascii="Arial" w:hAnsi="Arial" w:cs="Arial"/>
          <w:sz w:val="22"/>
          <w:szCs w:val="22"/>
        </w:rPr>
        <w:noBreakHyphen/>
        <w:t>usage metadata where permissions allowed. The app also scheduled and delivered patient</w:t>
      </w:r>
      <w:r w:rsidRPr="000C408A">
        <w:rPr>
          <w:rFonts w:ascii="Arial" w:hAnsi="Arial" w:cs="Arial"/>
          <w:sz w:val="22"/>
          <w:szCs w:val="22"/>
        </w:rPr>
        <w:noBreakHyphen/>
        <w:t>reported outcomes: a daily pain Visual Analog Scale (VAS) and on</w:t>
      </w:r>
      <w:r w:rsidRPr="000C408A">
        <w:rPr>
          <w:rFonts w:ascii="Arial" w:hAnsi="Arial" w:cs="Arial"/>
          <w:sz w:val="22"/>
          <w:szCs w:val="22"/>
        </w:rPr>
        <w:noBreakHyphen/>
        <w:t>demand emotion tags from a pre</w:t>
      </w:r>
      <w:r w:rsidRPr="000C408A">
        <w:rPr>
          <w:rFonts w:ascii="Arial" w:hAnsi="Arial" w:cs="Arial"/>
          <w:sz w:val="22"/>
          <w:szCs w:val="22"/>
        </w:rPr>
        <w:noBreakHyphen/>
        <w:t>defined 20</w:t>
      </w:r>
      <w:r w:rsidRPr="000C408A">
        <w:rPr>
          <w:rFonts w:ascii="Arial" w:hAnsi="Arial" w:cs="Arial"/>
          <w:sz w:val="22"/>
          <w:szCs w:val="22"/>
        </w:rPr>
        <w:noBreakHyphen/>
        <w:t>term lexicon labeled by valence (positive/negative) and intensity (0=neutral to 2=intense). Scheduled clinical questionnaires were completed in</w:t>
      </w:r>
      <w:r w:rsidRPr="000C408A">
        <w:rPr>
          <w:rFonts w:ascii="Arial" w:hAnsi="Arial" w:cs="Arial"/>
          <w:sz w:val="22"/>
          <w:szCs w:val="22"/>
        </w:rPr>
        <w:noBreakHyphen/>
        <w:t>app at predefined cadences.</w:t>
      </w:r>
    </w:p>
    <w:p w14:paraId="2A7B50D8" w14:textId="77777777" w:rsidR="006A6B9E" w:rsidRPr="000C408A" w:rsidRDefault="006A6B9E" w:rsidP="006A6B9E">
      <w:pPr>
        <w:pStyle w:val="NormalWeb"/>
        <w:spacing w:line="480" w:lineRule="auto"/>
        <w:jc w:val="both"/>
        <w:rPr>
          <w:rFonts w:ascii="Arial" w:hAnsi="Arial" w:cs="Arial"/>
          <w:sz w:val="22"/>
          <w:szCs w:val="22"/>
        </w:rPr>
      </w:pPr>
    </w:p>
    <w:p w14:paraId="36884F1C" w14:textId="4475DEDB" w:rsidR="006A6B9E" w:rsidRPr="000C408A" w:rsidRDefault="006A6B9E" w:rsidP="006A6B9E">
      <w:pPr>
        <w:pStyle w:val="NormalWeb"/>
        <w:spacing w:line="480" w:lineRule="auto"/>
        <w:jc w:val="both"/>
        <w:rPr>
          <w:rFonts w:ascii="Arial" w:hAnsi="Arial" w:cs="Arial"/>
          <w:sz w:val="22"/>
          <w:szCs w:val="22"/>
          <w:u w:val="single"/>
        </w:rPr>
      </w:pPr>
      <w:r w:rsidRPr="000C408A">
        <w:rPr>
          <w:rFonts w:ascii="Arial" w:hAnsi="Arial" w:cs="Arial"/>
          <w:sz w:val="22"/>
          <w:szCs w:val="22"/>
          <w:u w:val="single"/>
        </w:rPr>
        <w:t>Derived indicators and feature construction</w:t>
      </w:r>
    </w:p>
    <w:p w14:paraId="264FBEF0" w14:textId="77777777" w:rsidR="006A6B9E" w:rsidRDefault="006A6B9E" w:rsidP="006A6B9E">
      <w:pPr>
        <w:pStyle w:val="NormalWeb"/>
        <w:spacing w:line="480" w:lineRule="auto"/>
        <w:jc w:val="both"/>
        <w:rPr>
          <w:rFonts w:ascii="Arial" w:hAnsi="Arial" w:cs="Arial"/>
          <w:sz w:val="22"/>
          <w:szCs w:val="22"/>
        </w:rPr>
      </w:pPr>
      <w:r w:rsidRPr="000C408A">
        <w:rPr>
          <w:rFonts w:ascii="Arial" w:hAnsi="Arial" w:cs="Arial"/>
          <w:sz w:val="22"/>
          <w:szCs w:val="22"/>
        </w:rPr>
        <w:t>Raw sensor signals were transformed to clinically interpretable indicators through vendor algorithms that fuse multiple streams (e.g., “Sleep by eB2” integrates wrist accelerometry, ambient light, and phone</w:t>
      </w:r>
      <w:r w:rsidRPr="000C408A">
        <w:rPr>
          <w:rFonts w:ascii="Arial" w:hAnsi="Arial" w:cs="Arial"/>
          <w:sz w:val="22"/>
          <w:szCs w:val="22"/>
        </w:rPr>
        <w:noBreakHyphen/>
        <w:t>interaction rhythms to derive sleep metrics). Geolocation traces were post</w:t>
      </w:r>
      <w:r w:rsidRPr="000C408A">
        <w:rPr>
          <w:rFonts w:ascii="Arial" w:hAnsi="Arial" w:cs="Arial"/>
          <w:sz w:val="22"/>
          <w:szCs w:val="22"/>
        </w:rPr>
        <w:noBreakHyphen/>
        <w:t>processed into daily “core locations” and time</w:t>
      </w:r>
      <w:r w:rsidRPr="000C408A">
        <w:rPr>
          <w:rFonts w:ascii="Arial" w:hAnsi="Arial" w:cs="Arial"/>
          <w:sz w:val="22"/>
          <w:szCs w:val="22"/>
        </w:rPr>
        <w:noBreakHyphen/>
        <w:t>at</w:t>
      </w:r>
      <w:r w:rsidRPr="000C408A">
        <w:rPr>
          <w:rFonts w:ascii="Arial" w:hAnsi="Arial" w:cs="Arial"/>
          <w:sz w:val="22"/>
          <w:szCs w:val="22"/>
        </w:rPr>
        <w:noBreakHyphen/>
        <w:t>home versus outside</w:t>
      </w:r>
      <w:r w:rsidRPr="000C408A">
        <w:rPr>
          <w:rFonts w:ascii="Arial" w:hAnsi="Arial" w:cs="Arial"/>
          <w:sz w:val="22"/>
          <w:szCs w:val="22"/>
        </w:rPr>
        <w:noBreakHyphen/>
        <w:t>home metrics without exposing raw coordinates to the analytic team</w:t>
      </w:r>
      <w:r w:rsidRPr="008020C0">
        <w:rPr>
          <w:rFonts w:ascii="Arial" w:hAnsi="Arial" w:cs="Arial"/>
          <w:sz w:val="22"/>
          <w:szCs w:val="22"/>
        </w:rPr>
        <w:t xml:space="preserve">. </w:t>
      </w:r>
      <w:r w:rsidRPr="005B06C4">
        <w:rPr>
          <w:rFonts w:ascii="Arial" w:hAnsi="Arial" w:cs="Arial"/>
          <w:color w:val="000000" w:themeColor="text1"/>
          <w:sz w:val="22"/>
          <w:szCs w:val="22"/>
        </w:rPr>
        <w:t>For physiologic signals, we prioritized the smartwatch stream; for mobility and context, the smartphone stream; steps were taken from the watch and only backfilled from the phone when watch data were missing.</w:t>
      </w:r>
      <w:r w:rsidRPr="005B06C4">
        <w:rPr>
          <w:rFonts w:ascii="Arial" w:hAnsi="Arial" w:cs="Arial"/>
          <w:i/>
          <w:iCs/>
          <w:color w:val="000000" w:themeColor="text1"/>
          <w:sz w:val="22"/>
          <w:szCs w:val="22"/>
        </w:rPr>
        <w:t xml:space="preserve"> </w:t>
      </w:r>
      <w:r w:rsidRPr="000C408A">
        <w:rPr>
          <w:rFonts w:ascii="Arial" w:hAnsi="Arial" w:cs="Arial"/>
          <w:sz w:val="22"/>
          <w:szCs w:val="22"/>
        </w:rPr>
        <w:t>For the present analyses, we pre</w:t>
      </w:r>
      <w:r w:rsidRPr="000C408A">
        <w:rPr>
          <w:rFonts w:ascii="Arial" w:hAnsi="Arial" w:cs="Arial"/>
          <w:sz w:val="22"/>
          <w:szCs w:val="22"/>
        </w:rPr>
        <w:noBreakHyphen/>
        <w:t>specified a limited set of derived variables from these pipelines—e.g., nightly minimum and mean heart rate, daily step counts, total sleep duration and regularity indicators, time at home per day, and number of location clusters—together with app</w:t>
      </w:r>
      <w:r w:rsidRPr="000C408A">
        <w:rPr>
          <w:rFonts w:ascii="Arial" w:hAnsi="Arial" w:cs="Arial"/>
          <w:sz w:val="22"/>
          <w:szCs w:val="22"/>
        </w:rPr>
        <w:noBreakHyphen/>
        <w:t>captured VAS and emotion tags. Algorithmic internals and additional vendor</w:t>
      </w:r>
      <w:r w:rsidRPr="000C408A">
        <w:rPr>
          <w:rFonts w:ascii="Arial" w:hAnsi="Arial" w:cs="Arial"/>
          <w:sz w:val="22"/>
          <w:szCs w:val="22"/>
        </w:rPr>
        <w:noBreakHyphen/>
        <w:t xml:space="preserve">side feature engineering steps are proprietary; when used, we treated the resulting variables as fixed inputs and documented their definitions in the study data dictionary </w:t>
      </w:r>
    </w:p>
    <w:p w14:paraId="29A3466F" w14:textId="77777777" w:rsidR="006A6B9E" w:rsidRPr="000C408A" w:rsidRDefault="006A6B9E" w:rsidP="006A6B9E">
      <w:pPr>
        <w:pStyle w:val="NormalWeb"/>
        <w:spacing w:line="480" w:lineRule="auto"/>
        <w:jc w:val="both"/>
        <w:rPr>
          <w:rFonts w:ascii="Arial" w:hAnsi="Arial" w:cs="Arial"/>
          <w:sz w:val="22"/>
          <w:szCs w:val="22"/>
        </w:rPr>
      </w:pPr>
    </w:p>
    <w:p w14:paraId="5C5CC7E4" w14:textId="4A92A49F" w:rsidR="006A6B9E" w:rsidRPr="000C408A" w:rsidRDefault="006A6B9E" w:rsidP="006A6B9E">
      <w:pPr>
        <w:pStyle w:val="NormalWeb"/>
        <w:spacing w:line="480" w:lineRule="auto"/>
        <w:jc w:val="both"/>
        <w:rPr>
          <w:rFonts w:ascii="Arial" w:hAnsi="Arial" w:cs="Arial"/>
          <w:sz w:val="22"/>
          <w:szCs w:val="22"/>
          <w:u w:val="single"/>
        </w:rPr>
      </w:pPr>
      <w:r w:rsidRPr="000C408A">
        <w:rPr>
          <w:rFonts w:ascii="Arial" w:hAnsi="Arial" w:cs="Arial"/>
          <w:sz w:val="22"/>
          <w:szCs w:val="22"/>
          <w:u w:val="single"/>
        </w:rPr>
        <w:t>Onboarding, monitoring cadence, and data</w:t>
      </w:r>
      <w:r w:rsidRPr="000C408A">
        <w:rPr>
          <w:rFonts w:ascii="Arial" w:hAnsi="Arial" w:cs="Arial"/>
          <w:sz w:val="22"/>
          <w:szCs w:val="22"/>
          <w:u w:val="single"/>
        </w:rPr>
        <w:noBreakHyphen/>
        <w:t>quality oversight</w:t>
      </w:r>
    </w:p>
    <w:p w14:paraId="6E6D5356" w14:textId="77777777" w:rsidR="006A6B9E" w:rsidRDefault="006A6B9E" w:rsidP="006A6B9E">
      <w:pPr>
        <w:pStyle w:val="NormalWeb"/>
        <w:spacing w:line="480" w:lineRule="auto"/>
        <w:jc w:val="both"/>
        <w:rPr>
          <w:rFonts w:ascii="Arial" w:hAnsi="Arial" w:cs="Arial"/>
          <w:sz w:val="22"/>
          <w:szCs w:val="22"/>
        </w:rPr>
      </w:pPr>
      <w:r w:rsidRPr="000C408A">
        <w:rPr>
          <w:rFonts w:ascii="Arial" w:hAnsi="Arial" w:cs="Arial"/>
          <w:sz w:val="22"/>
          <w:szCs w:val="22"/>
        </w:rPr>
        <w:lastRenderedPageBreak/>
        <w:t>Participants attended a training visit in the pre</w:t>
      </w:r>
      <w:r w:rsidRPr="000C408A">
        <w:rPr>
          <w:rFonts w:ascii="Arial" w:hAnsi="Arial" w:cs="Arial"/>
          <w:sz w:val="22"/>
          <w:szCs w:val="22"/>
        </w:rPr>
        <w:noBreakHyphen/>
        <w:t>treatment window (Day −14 to Day 0) to receive the wearable, install and be trained on the eB2 app, and review the schedule of PROs, visits, and sampling procedures. Data continuity was monitored in near</w:t>
      </w:r>
      <w:r w:rsidRPr="000C408A">
        <w:rPr>
          <w:rFonts w:ascii="Arial" w:hAnsi="Arial" w:cs="Arial"/>
          <w:sz w:val="22"/>
          <w:szCs w:val="22"/>
        </w:rPr>
        <w:noBreakHyphen/>
        <w:t>real time. Automated checks verified sensor activation and data uploads across streams; gaps triggered dashboard alerts. As per the site operating procedure, coordinators contacted participants if any core stream showed ≥48 h without incoming data to troubleshoot charging/sync issues or permissions. Valid</w:t>
      </w:r>
      <w:r w:rsidRPr="000C408A">
        <w:rPr>
          <w:rFonts w:ascii="Arial" w:hAnsi="Arial" w:cs="Arial"/>
          <w:sz w:val="22"/>
          <w:szCs w:val="22"/>
        </w:rPr>
        <w:noBreakHyphen/>
        <w:t>day definitions and minimum wear</w:t>
      </w:r>
      <w:r w:rsidRPr="000C408A">
        <w:rPr>
          <w:rFonts w:ascii="Arial" w:hAnsi="Arial" w:cs="Arial"/>
          <w:sz w:val="22"/>
          <w:szCs w:val="22"/>
        </w:rPr>
        <w:noBreakHyphen/>
        <w:t xml:space="preserve">time rules for each stream </w:t>
      </w:r>
      <w:r>
        <w:rPr>
          <w:rFonts w:ascii="Arial" w:hAnsi="Arial" w:cs="Arial"/>
          <w:sz w:val="22"/>
          <w:szCs w:val="22"/>
        </w:rPr>
        <w:t xml:space="preserve">were as follows: 1) Steps per day: a day is defined as valid if there are steps registered in at least 75% of the non-sleeping hourly intervals; 2) Heart rate: 5670 heart rate determinations are performed per day. A day is considered valid if &gt;50% of the day is covered; 3) -Sleep: a minimum of 3-hour sleep has to be registered to be considered a valid sleep registry day; 4) SpO2: at least one nocturnal determination is required to consider a valid day; 5) -GPS: day-location variables are considered valid if there is &gt;50% day coverage of GPS signal. </w:t>
      </w:r>
      <w:r w:rsidRPr="000C408A">
        <w:rPr>
          <w:rFonts w:ascii="Arial" w:hAnsi="Arial" w:cs="Arial"/>
          <w:sz w:val="22"/>
          <w:szCs w:val="22"/>
        </w:rPr>
        <w:t>No device</w:t>
      </w:r>
      <w:r w:rsidRPr="000C408A">
        <w:rPr>
          <w:rFonts w:ascii="Arial" w:hAnsi="Arial" w:cs="Arial"/>
          <w:sz w:val="22"/>
          <w:szCs w:val="22"/>
        </w:rPr>
        <w:noBreakHyphen/>
        <w:t>side or vendor</w:t>
      </w:r>
      <w:r w:rsidRPr="000C408A">
        <w:rPr>
          <w:rFonts w:ascii="Arial" w:hAnsi="Arial" w:cs="Arial"/>
          <w:sz w:val="22"/>
          <w:szCs w:val="22"/>
        </w:rPr>
        <w:noBreakHyphen/>
        <w:t>side imputations were introduced into the primary analytic datasets beyond the vendor’s standard signal processing inherent to the derived variables listed above.</w:t>
      </w:r>
    </w:p>
    <w:p w14:paraId="13B7D580" w14:textId="77777777" w:rsidR="006A6B9E" w:rsidRDefault="006A6B9E" w:rsidP="006A6B9E">
      <w:pPr>
        <w:pStyle w:val="NormalWeb"/>
        <w:spacing w:line="480" w:lineRule="auto"/>
        <w:jc w:val="both"/>
        <w:rPr>
          <w:rFonts w:ascii="Arial" w:hAnsi="Arial" w:cs="Arial"/>
          <w:sz w:val="22"/>
          <w:szCs w:val="22"/>
          <w:u w:val="single"/>
        </w:rPr>
      </w:pPr>
    </w:p>
    <w:p w14:paraId="7322FE74" w14:textId="76C236A8" w:rsidR="006A6B9E" w:rsidRDefault="006A6B9E" w:rsidP="006A6B9E">
      <w:pPr>
        <w:pStyle w:val="NormalWeb"/>
        <w:spacing w:line="480" w:lineRule="auto"/>
        <w:jc w:val="both"/>
        <w:rPr>
          <w:rFonts w:ascii="Arial" w:hAnsi="Arial" w:cs="Arial"/>
          <w:sz w:val="22"/>
          <w:szCs w:val="22"/>
          <w:u w:val="single"/>
        </w:rPr>
      </w:pPr>
      <w:r>
        <w:rPr>
          <w:rFonts w:ascii="Arial" w:hAnsi="Arial" w:cs="Arial"/>
          <w:sz w:val="22"/>
          <w:szCs w:val="22"/>
          <w:u w:val="single"/>
        </w:rPr>
        <w:t>Day-level stability metric</w:t>
      </w:r>
    </w:p>
    <w:p w14:paraId="20889DDB" w14:textId="77777777" w:rsidR="006A6B9E" w:rsidRPr="005B06C4" w:rsidRDefault="006A6B9E" w:rsidP="006A6B9E">
      <w:pPr>
        <w:pStyle w:val="NormalWeb"/>
        <w:spacing w:line="480" w:lineRule="auto"/>
        <w:jc w:val="both"/>
        <w:rPr>
          <w:rFonts w:ascii="Arial" w:hAnsi="Arial" w:cs="Arial"/>
          <w:sz w:val="22"/>
          <w:szCs w:val="22"/>
        </w:rPr>
      </w:pPr>
      <w:r w:rsidRPr="005B06C4">
        <w:rPr>
          <w:rFonts w:ascii="Arial" w:hAnsi="Arial" w:cs="Arial"/>
          <w:sz w:val="22"/>
          <w:szCs w:val="22"/>
        </w:rPr>
        <w:t>To summarize whether each day conforms to a participant’s usual routine, we computed a day</w:t>
      </w:r>
      <w:r w:rsidRPr="005B06C4">
        <w:rPr>
          <w:rFonts w:ascii="Arial" w:hAnsi="Arial" w:cs="Arial"/>
          <w:sz w:val="22"/>
          <w:szCs w:val="22"/>
        </w:rPr>
        <w:noBreakHyphen/>
        <w:t>level instability flag from smartphone and wearable streams. First, daily signals (e.g., mobility and time at home summarized into circadian profiles) were assigned to learned “day types”; a day was considered “diffuse” when no single type dominated the posterior assignment (i.e., there was no clear winning class). Second, an online change</w:t>
      </w:r>
      <w:r w:rsidRPr="005B06C4">
        <w:rPr>
          <w:rFonts w:ascii="Arial" w:hAnsi="Arial" w:cs="Arial"/>
          <w:sz w:val="22"/>
          <w:szCs w:val="22"/>
        </w:rPr>
        <w:noBreakHyphen/>
        <w:t>point model tracked the run</w:t>
      </w:r>
      <w:r w:rsidRPr="005B06C4">
        <w:rPr>
          <w:rFonts w:ascii="Arial" w:hAnsi="Arial" w:cs="Arial"/>
          <w:sz w:val="22"/>
          <w:szCs w:val="22"/>
        </w:rPr>
        <w:noBreakHyphen/>
        <w:t>length (time since last detected change); a collapse or failure to grow of the run</w:t>
      </w:r>
      <w:r w:rsidRPr="005B06C4">
        <w:rPr>
          <w:rFonts w:ascii="Arial" w:hAnsi="Arial" w:cs="Arial"/>
          <w:sz w:val="22"/>
          <w:szCs w:val="22"/>
        </w:rPr>
        <w:noBreakHyphen/>
        <w:t>length indicated a recent shift in routine. Days were labeled unstable when both criteria were present (diffuse day</w:t>
      </w:r>
      <w:r w:rsidRPr="005B06C4">
        <w:rPr>
          <w:rFonts w:ascii="Arial" w:hAnsi="Arial" w:cs="Arial"/>
          <w:sz w:val="22"/>
          <w:szCs w:val="22"/>
        </w:rPr>
        <w:noBreakHyphen/>
        <w:t>type posterior and change</w:t>
      </w:r>
      <w:r w:rsidRPr="005B06C4">
        <w:rPr>
          <w:rFonts w:ascii="Arial" w:hAnsi="Arial" w:cs="Arial"/>
          <w:sz w:val="22"/>
          <w:szCs w:val="22"/>
        </w:rPr>
        <w:noBreakHyphen/>
        <w:t>point run</w:t>
      </w:r>
      <w:r w:rsidRPr="005B06C4">
        <w:rPr>
          <w:rFonts w:ascii="Arial" w:hAnsi="Arial" w:cs="Arial"/>
          <w:sz w:val="22"/>
          <w:szCs w:val="22"/>
        </w:rPr>
        <w:noBreakHyphen/>
        <w:t>length collapse), providing a low</w:t>
      </w:r>
      <w:r w:rsidRPr="005B06C4">
        <w:rPr>
          <w:rFonts w:ascii="Arial" w:hAnsi="Arial" w:cs="Arial"/>
          <w:sz w:val="22"/>
          <w:szCs w:val="22"/>
        </w:rPr>
        <w:noBreakHyphen/>
        <w:t xml:space="preserve">burden summary that is sensitive to genuine routine deviations and robust to noise. The metric is computed once per day within the eB2 </w:t>
      </w:r>
      <w:r w:rsidRPr="005B06C4">
        <w:rPr>
          <w:rFonts w:ascii="Arial" w:hAnsi="Arial" w:cs="Arial"/>
          <w:sz w:val="22"/>
          <w:szCs w:val="22"/>
        </w:rPr>
        <w:lastRenderedPageBreak/>
        <w:t>framework; missingness is handled within the probabilistic assignment and change</w:t>
      </w:r>
      <w:r w:rsidRPr="005B06C4">
        <w:rPr>
          <w:rFonts w:ascii="Arial" w:hAnsi="Arial" w:cs="Arial"/>
          <w:sz w:val="22"/>
          <w:szCs w:val="22"/>
        </w:rPr>
        <w:noBreakHyphen/>
        <w:t xml:space="preserve">point steps to minimize spurious flags. </w:t>
      </w:r>
    </w:p>
    <w:p w14:paraId="341C9BD2" w14:textId="77777777" w:rsidR="006A6B9E" w:rsidRPr="005B06C4" w:rsidRDefault="006A6B9E" w:rsidP="006A6B9E">
      <w:pPr>
        <w:pStyle w:val="NormalWeb"/>
        <w:spacing w:line="480" w:lineRule="auto"/>
        <w:jc w:val="both"/>
        <w:rPr>
          <w:rFonts w:ascii="Arial" w:hAnsi="Arial" w:cs="Arial"/>
          <w:sz w:val="22"/>
          <w:szCs w:val="22"/>
        </w:rPr>
      </w:pPr>
    </w:p>
    <w:p w14:paraId="4892A925" w14:textId="151EE7CC" w:rsidR="006A6B9E" w:rsidRPr="000C408A" w:rsidRDefault="006A6B9E" w:rsidP="006A6B9E">
      <w:pPr>
        <w:pStyle w:val="NormalWeb"/>
        <w:spacing w:line="480" w:lineRule="auto"/>
        <w:jc w:val="both"/>
        <w:rPr>
          <w:rFonts w:ascii="Arial" w:hAnsi="Arial" w:cs="Arial"/>
          <w:sz w:val="22"/>
          <w:szCs w:val="22"/>
          <w:u w:val="single"/>
        </w:rPr>
      </w:pPr>
      <w:r w:rsidRPr="000C408A">
        <w:rPr>
          <w:rFonts w:ascii="Arial" w:hAnsi="Arial" w:cs="Arial"/>
          <w:sz w:val="22"/>
          <w:szCs w:val="22"/>
          <w:u w:val="single"/>
        </w:rPr>
        <w:t>Security, privacy, and regulatory compliance</w:t>
      </w:r>
    </w:p>
    <w:p w14:paraId="3D6FD2D3" w14:textId="77777777" w:rsidR="006A6B9E" w:rsidRDefault="006A6B9E" w:rsidP="006A6B9E">
      <w:pPr>
        <w:pStyle w:val="NormalWeb"/>
        <w:spacing w:line="480" w:lineRule="auto"/>
        <w:jc w:val="both"/>
        <w:rPr>
          <w:rFonts w:ascii="Arial" w:hAnsi="Arial" w:cs="Arial"/>
          <w:sz w:val="22"/>
          <w:szCs w:val="22"/>
        </w:rPr>
      </w:pPr>
      <w:r w:rsidRPr="000C408A">
        <w:rPr>
          <w:rFonts w:ascii="Arial" w:hAnsi="Arial" w:cs="Arial"/>
          <w:sz w:val="22"/>
          <w:szCs w:val="22"/>
        </w:rPr>
        <w:t>Data transmission and storage used encrypted channels and databases with access control. The platform adheres to GDPR requirements and is designed for compliance with Spain’s National Security Framework (ENS). Information security and privacy management follow ISO/IEC 27001 and ISO/IEC 27701. All records were pseudonymized before analysis, and only aggregated, de</w:t>
      </w:r>
      <w:r w:rsidRPr="000C408A">
        <w:rPr>
          <w:rFonts w:ascii="Arial" w:hAnsi="Arial" w:cs="Arial"/>
          <w:sz w:val="22"/>
          <w:szCs w:val="22"/>
        </w:rPr>
        <w:noBreakHyphen/>
        <w:t>identified features were exported to the study warehouse. Algorithm provenance and versioning are maintained by the vendor; certain models are registered for authenticity verification by blockchain</w:t>
      </w:r>
      <w:r w:rsidRPr="000C408A">
        <w:rPr>
          <w:rFonts w:ascii="Arial" w:hAnsi="Arial" w:cs="Arial"/>
          <w:sz w:val="22"/>
          <w:szCs w:val="22"/>
        </w:rPr>
        <w:noBreakHyphen/>
        <w:t>based logs.</w:t>
      </w:r>
    </w:p>
    <w:p w14:paraId="24BC9E1B" w14:textId="77777777" w:rsidR="00B83544" w:rsidRPr="000C408A" w:rsidRDefault="00B83544" w:rsidP="006A6B9E">
      <w:pPr>
        <w:pStyle w:val="NormalWeb"/>
        <w:spacing w:line="480" w:lineRule="auto"/>
        <w:jc w:val="both"/>
        <w:rPr>
          <w:rFonts w:ascii="Arial" w:hAnsi="Arial" w:cs="Arial"/>
          <w:sz w:val="22"/>
          <w:szCs w:val="22"/>
        </w:rPr>
      </w:pPr>
    </w:p>
    <w:p w14:paraId="05F7AF17" w14:textId="6AB7AB7C" w:rsidR="006A6B9E" w:rsidRPr="000C408A" w:rsidRDefault="006A6B9E" w:rsidP="006A6B9E">
      <w:pPr>
        <w:pStyle w:val="NormalWeb"/>
        <w:spacing w:line="480" w:lineRule="auto"/>
        <w:jc w:val="both"/>
        <w:rPr>
          <w:rFonts w:ascii="Arial" w:hAnsi="Arial" w:cs="Arial"/>
          <w:sz w:val="22"/>
          <w:szCs w:val="22"/>
          <w:u w:val="single"/>
        </w:rPr>
      </w:pPr>
      <w:r w:rsidRPr="000C408A">
        <w:rPr>
          <w:rFonts w:ascii="Arial" w:hAnsi="Arial" w:cs="Arial"/>
          <w:sz w:val="22"/>
          <w:szCs w:val="22"/>
          <w:u w:val="single"/>
        </w:rPr>
        <w:t>Analytic interface and reproducibility</w:t>
      </w:r>
    </w:p>
    <w:p w14:paraId="0A04AEF2" w14:textId="1E330C26" w:rsidR="006A6B9E" w:rsidRPr="000C408A" w:rsidRDefault="006A6B9E" w:rsidP="006A6B9E">
      <w:pPr>
        <w:pStyle w:val="NormalWeb"/>
        <w:spacing w:line="480" w:lineRule="auto"/>
        <w:jc w:val="both"/>
        <w:rPr>
          <w:rFonts w:ascii="Arial" w:hAnsi="Arial" w:cs="Arial"/>
          <w:sz w:val="22"/>
          <w:szCs w:val="22"/>
        </w:rPr>
      </w:pPr>
      <w:r w:rsidRPr="000C408A">
        <w:rPr>
          <w:rFonts w:ascii="Arial" w:hAnsi="Arial" w:cs="Arial"/>
          <w:sz w:val="22"/>
          <w:szCs w:val="22"/>
        </w:rPr>
        <w:t>For each participant, daily multimodal summaries were computed server</w:t>
      </w:r>
      <w:r w:rsidRPr="000C408A">
        <w:rPr>
          <w:rFonts w:ascii="Arial" w:hAnsi="Arial" w:cs="Arial"/>
          <w:sz w:val="22"/>
          <w:szCs w:val="22"/>
        </w:rPr>
        <w:noBreakHyphen/>
        <w:t>side and exported to the study analytics environment at regular intervals. We used only the variables enumerated above, with their units, sampling cadence, and validity criteria specified a priori. The clinical team performed independent quality checks on completeness and internal consistency before modeling. The monitoring layer was not used to prompt clinical evaluation or alter visit schedules in this observational report.</w:t>
      </w:r>
    </w:p>
    <w:p w14:paraId="70B8261E" w14:textId="77777777" w:rsidR="006A6B9E" w:rsidRDefault="006A6B9E" w:rsidP="006A6B9E">
      <w:pPr>
        <w:spacing w:line="480" w:lineRule="auto"/>
        <w:jc w:val="both"/>
        <w:rPr>
          <w:rFonts w:ascii="Arial" w:hAnsi="Arial" w:cs="Arial"/>
          <w:sz w:val="22"/>
          <w:szCs w:val="22"/>
        </w:rPr>
      </w:pPr>
    </w:p>
    <w:p w14:paraId="6E2CC467" w14:textId="77777777" w:rsidR="00B83544" w:rsidRPr="00BD688E" w:rsidRDefault="00B83544" w:rsidP="00B83544">
      <w:pPr>
        <w:spacing w:line="480" w:lineRule="auto"/>
        <w:jc w:val="both"/>
        <w:rPr>
          <w:rFonts w:ascii="Arial" w:hAnsi="Arial" w:cs="Arial"/>
          <w:b/>
          <w:bCs/>
          <w:sz w:val="22"/>
          <w:szCs w:val="22"/>
        </w:rPr>
      </w:pPr>
      <w:r w:rsidRPr="00C01F0F">
        <w:rPr>
          <w:rFonts w:ascii="Arial" w:hAnsi="Arial" w:cs="Arial"/>
          <w:b/>
          <w:bCs/>
          <w:sz w:val="22"/>
          <w:szCs w:val="22"/>
        </w:rPr>
        <w:t xml:space="preserve">Framework for Discovering Disease Control Associated Behavioral Patterns (DCABPs). </w:t>
      </w:r>
    </w:p>
    <w:p w14:paraId="4677A15F" w14:textId="77777777" w:rsidR="00B83544" w:rsidRPr="00C01F0F" w:rsidRDefault="00B83544" w:rsidP="00B83544">
      <w:pPr>
        <w:spacing w:line="480" w:lineRule="auto"/>
        <w:jc w:val="both"/>
        <w:rPr>
          <w:rFonts w:ascii="Arial" w:hAnsi="Arial" w:cs="Arial"/>
          <w:sz w:val="22"/>
          <w:szCs w:val="22"/>
        </w:rPr>
      </w:pPr>
      <w:r w:rsidRPr="00C01F0F">
        <w:rPr>
          <w:rFonts w:ascii="Arial" w:hAnsi="Arial" w:cs="Arial"/>
          <w:sz w:val="22"/>
          <w:szCs w:val="22"/>
        </w:rPr>
        <w:t xml:space="preserve">This three-stage pipeline integrates deep learning and probabilistic modeling to extract interpretable behavioral and physiological patterns from patient data. The process begins with Multichannel Input &amp; Pre-processing, where daily physiological and behavioral data are acquired and summarized. Subsequently, a pre-trained VQ-VAE learns Latent Representations by encoding integrated daily information into discrete, </w:t>
      </w:r>
      <w:r w:rsidRPr="00C01F0F">
        <w:rPr>
          <w:rFonts w:ascii="Arial" w:hAnsi="Arial" w:cs="Arial"/>
          <w:sz w:val="22"/>
          <w:szCs w:val="22"/>
        </w:rPr>
        <w:lastRenderedPageBreak/>
        <w:t>quantized embeddings, each representing a 'type of day'. Finally, Latent Dirichlet Allocation (LDA) processes the sequence of these VQ-VAE embeddings to identify recurring clusters, termed Disease Control Associated Behavioral Patterns (DCABPs), which can then be decoded back to their original time-series dynamics for clinical interpretation.</w:t>
      </w:r>
    </w:p>
    <w:p w14:paraId="7676A063" w14:textId="77777777" w:rsidR="00B83544" w:rsidRPr="00C01F0F" w:rsidRDefault="00B83544" w:rsidP="00B83544">
      <w:pPr>
        <w:spacing w:line="480" w:lineRule="auto"/>
        <w:jc w:val="both"/>
        <w:rPr>
          <w:rFonts w:ascii="Arial" w:hAnsi="Arial" w:cs="Arial"/>
          <w:sz w:val="22"/>
          <w:szCs w:val="22"/>
        </w:rPr>
      </w:pPr>
    </w:p>
    <w:p w14:paraId="3FF3DEDD" w14:textId="77777777" w:rsidR="00B83544" w:rsidRPr="00C01F0F" w:rsidRDefault="00B83544" w:rsidP="00B83544">
      <w:pPr>
        <w:spacing w:line="480" w:lineRule="auto"/>
        <w:jc w:val="both"/>
        <w:rPr>
          <w:rFonts w:ascii="Arial" w:hAnsi="Arial" w:cs="Arial"/>
          <w:sz w:val="22"/>
          <w:szCs w:val="22"/>
          <w:lang w:val="es-ES"/>
        </w:rPr>
      </w:pPr>
      <w:r w:rsidRPr="00BD688E">
        <w:rPr>
          <w:rFonts w:ascii="Arial" w:hAnsi="Arial" w:cs="Arial"/>
          <w:noProof/>
          <w:sz w:val="22"/>
          <w:szCs w:val="22"/>
          <w:lang w:val="es-ES"/>
        </w:rPr>
        <w:drawing>
          <wp:inline distT="0" distB="0" distL="0" distR="0" wp14:anchorId="44CA9269" wp14:editId="2A5F90DA">
            <wp:extent cx="5396230" cy="897255"/>
            <wp:effectExtent l="0" t="0" r="1270" b="4445"/>
            <wp:docPr id="2145887485"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7485" name="Imagen 4" descr="Diagrama&#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6230" cy="897255"/>
                    </a:xfrm>
                    <a:prstGeom prst="rect">
                      <a:avLst/>
                    </a:prstGeom>
                    <a:noFill/>
                    <a:ln>
                      <a:noFill/>
                    </a:ln>
                  </pic:spPr>
                </pic:pic>
              </a:graphicData>
            </a:graphic>
          </wp:inline>
        </w:drawing>
      </w:r>
    </w:p>
    <w:p w14:paraId="09B9A984" w14:textId="77777777" w:rsidR="00B83544" w:rsidRDefault="00B83544" w:rsidP="00B83544">
      <w:pPr>
        <w:spacing w:line="480" w:lineRule="auto"/>
        <w:jc w:val="both"/>
        <w:rPr>
          <w:rFonts w:ascii="Arial" w:hAnsi="Arial" w:cs="Arial"/>
          <w:sz w:val="22"/>
          <w:szCs w:val="22"/>
          <w:lang w:val="es-ES"/>
        </w:rPr>
      </w:pPr>
    </w:p>
    <w:p w14:paraId="32A8EFA4" w14:textId="77777777" w:rsidR="00B83544" w:rsidRDefault="00B83544" w:rsidP="00B83544">
      <w:pPr>
        <w:spacing w:line="480" w:lineRule="auto"/>
        <w:jc w:val="both"/>
        <w:rPr>
          <w:rFonts w:ascii="Arial" w:hAnsi="Arial" w:cs="Arial"/>
          <w:sz w:val="22"/>
          <w:szCs w:val="22"/>
        </w:rPr>
      </w:pPr>
      <w:r w:rsidRPr="00BD688E">
        <w:rPr>
          <w:rFonts w:ascii="Arial" w:hAnsi="Arial" w:cs="Arial"/>
          <w:b/>
          <w:bCs/>
          <w:sz w:val="22"/>
          <w:szCs w:val="22"/>
        </w:rPr>
        <w:t xml:space="preserve">Figure </w:t>
      </w:r>
      <w:r>
        <w:rPr>
          <w:rFonts w:ascii="Arial" w:hAnsi="Arial" w:cs="Arial"/>
          <w:b/>
          <w:bCs/>
          <w:sz w:val="22"/>
          <w:szCs w:val="22"/>
        </w:rPr>
        <w:t>1:</w:t>
      </w:r>
      <w:r w:rsidRPr="00BD688E">
        <w:rPr>
          <w:rFonts w:ascii="Arial" w:hAnsi="Arial" w:cs="Arial"/>
          <w:b/>
          <w:bCs/>
          <w:sz w:val="22"/>
          <w:szCs w:val="22"/>
        </w:rPr>
        <w:t xml:space="preserve"> VQ-VAE ar</w:t>
      </w:r>
      <w:r>
        <w:rPr>
          <w:rFonts w:ascii="Arial" w:hAnsi="Arial" w:cs="Arial"/>
          <w:b/>
          <w:bCs/>
          <w:sz w:val="22"/>
          <w:szCs w:val="22"/>
        </w:rPr>
        <w:t xml:space="preserve">chitecture for day-type learning: </w:t>
      </w:r>
      <w:r>
        <w:rPr>
          <w:rFonts w:ascii="Arial" w:hAnsi="Arial" w:cs="Arial"/>
          <w:sz w:val="22"/>
          <w:szCs w:val="22"/>
        </w:rPr>
        <w:t>Multichannel time-stamped in</w:t>
      </w:r>
      <w:r w:rsidRPr="00BD688E">
        <w:rPr>
          <w:rFonts w:ascii="Arial" w:hAnsi="Arial" w:cs="Arial"/>
          <w:sz w:val="22"/>
          <w:szCs w:val="22"/>
        </w:rPr>
        <w:t>puts and their missingness masks are encoded; latent vectors are quantized via a learned codebook (nearest-neighbor lookup), then decoded to reconstruct/impute signals. Concatenation steps integrate channels subject to mask availability. The codebook defines 256 discrete day-type embeddings used subsequently by LDA for DCABP inference.</w:t>
      </w:r>
    </w:p>
    <w:p w14:paraId="15FE3362" w14:textId="77777777" w:rsidR="00B83544" w:rsidRDefault="00B83544" w:rsidP="00B83544">
      <w:pPr>
        <w:spacing w:line="480" w:lineRule="auto"/>
        <w:jc w:val="both"/>
        <w:rPr>
          <w:rFonts w:ascii="Arial" w:hAnsi="Arial" w:cs="Arial"/>
          <w:sz w:val="22"/>
          <w:szCs w:val="22"/>
        </w:rPr>
      </w:pPr>
    </w:p>
    <w:p w14:paraId="5405F10B" w14:textId="77777777" w:rsidR="00B83544" w:rsidRPr="00C01F0F" w:rsidRDefault="00B83544" w:rsidP="00B83544">
      <w:pPr>
        <w:spacing w:line="480" w:lineRule="auto"/>
        <w:jc w:val="both"/>
        <w:rPr>
          <w:rFonts w:ascii="Arial" w:hAnsi="Arial" w:cs="Arial"/>
          <w:sz w:val="22"/>
          <w:szCs w:val="22"/>
        </w:rPr>
      </w:pPr>
      <w:r w:rsidRPr="00C01F0F">
        <w:rPr>
          <w:rFonts w:ascii="Arial" w:hAnsi="Arial" w:cs="Arial"/>
          <w:sz w:val="22"/>
          <w:szCs w:val="22"/>
        </w:rPr>
        <w:t>Overview of the VQ-TSFM profiling pipeline</w:t>
      </w:r>
      <w:r>
        <w:rPr>
          <w:rFonts w:ascii="Arial" w:hAnsi="Arial" w:cs="Arial"/>
          <w:sz w:val="22"/>
          <w:szCs w:val="22"/>
        </w:rPr>
        <w:t xml:space="preserve">: </w:t>
      </w:r>
      <w:r w:rsidRPr="00C01F0F">
        <w:rPr>
          <w:rFonts w:ascii="Arial" w:hAnsi="Arial" w:cs="Arial"/>
          <w:sz w:val="22"/>
          <w:szCs w:val="22"/>
        </w:rPr>
        <w:t>Daily physiological and behavioral data (</w:t>
      </w:r>
      <w:r>
        <w:rPr>
          <w:rFonts w:ascii="Arial" w:hAnsi="Arial" w:cs="Arial"/>
          <w:sz w:val="22"/>
          <w:szCs w:val="22"/>
        </w:rPr>
        <w:t>9</w:t>
      </w:r>
      <w:r w:rsidRPr="00C01F0F">
        <w:rPr>
          <w:rFonts w:ascii="Arial" w:hAnsi="Arial" w:cs="Arial"/>
          <w:sz w:val="22"/>
          <w:szCs w:val="22"/>
        </w:rPr>
        <w:t xml:space="preserve"> variables per day) are collected for each patient. These raw signals are pre-processed and summarized into a fixed-length daily feature vector, so that each day in the time series is represented as a single multivariate snapshot.</w:t>
      </w:r>
    </w:p>
    <w:p w14:paraId="02FD26EA" w14:textId="77777777" w:rsidR="00B83544" w:rsidRPr="00C01F0F" w:rsidRDefault="00B83544" w:rsidP="00B83544">
      <w:pPr>
        <w:spacing w:line="480" w:lineRule="auto"/>
        <w:jc w:val="both"/>
        <w:rPr>
          <w:rFonts w:ascii="Arial" w:hAnsi="Arial" w:cs="Arial"/>
          <w:sz w:val="22"/>
          <w:szCs w:val="22"/>
        </w:rPr>
      </w:pPr>
      <w:r w:rsidRPr="00C01F0F">
        <w:rPr>
          <w:rFonts w:ascii="Arial" w:hAnsi="Arial" w:cs="Arial"/>
          <w:sz w:val="22"/>
          <w:szCs w:val="22"/>
        </w:rPr>
        <w:t xml:space="preserve">Each daily snapshot is passed through the encoder of a pre-trained Vector Quantized Variational Autoencoder (VQ-VAE). The encoder maps the </w:t>
      </w:r>
      <w:r>
        <w:rPr>
          <w:rFonts w:ascii="Arial" w:hAnsi="Arial" w:cs="Arial"/>
          <w:sz w:val="22"/>
          <w:szCs w:val="22"/>
        </w:rPr>
        <w:t>multi</w:t>
      </w:r>
      <w:r w:rsidRPr="00C01F0F">
        <w:rPr>
          <w:rFonts w:ascii="Arial" w:hAnsi="Arial" w:cs="Arial"/>
          <w:sz w:val="22"/>
          <w:szCs w:val="22"/>
        </w:rPr>
        <w:t xml:space="preserve">-dimensional input into a latent representation that captures the joint pattern across all variables for that day. This continuous vector representation is then quantized, that is, it is matched to the nearest entry in a learned codebook of latent prototypes. Each codebook entry corresponds to a characteristic “type of day”, so the quantized code can be interpreted </w:t>
      </w:r>
      <w:r w:rsidRPr="00C01F0F">
        <w:rPr>
          <w:rFonts w:ascii="Arial" w:hAnsi="Arial" w:cs="Arial"/>
          <w:sz w:val="22"/>
          <w:szCs w:val="22"/>
        </w:rPr>
        <w:lastRenderedPageBreak/>
        <w:t>as a discrete daily profile integrating the patient’s physiological and behavioral state. Such profiles can then be employed in downstream tasks, such as topic modeling with LDA.</w:t>
      </w:r>
      <w:r>
        <w:rPr>
          <w:rFonts w:ascii="Arial" w:hAnsi="Arial" w:cs="Arial"/>
          <w:sz w:val="22"/>
          <w:szCs w:val="22"/>
        </w:rPr>
        <w:t xml:space="preserve"> </w:t>
      </w:r>
      <w:r w:rsidRPr="00C01F0F">
        <w:rPr>
          <w:rFonts w:ascii="Arial" w:hAnsi="Arial" w:cs="Arial"/>
          <w:sz w:val="22"/>
          <w:szCs w:val="22"/>
        </w:rPr>
        <w:t xml:space="preserve">In parallel, the selected latent code is passed through the VQ-VAE decoder, which reconstructs the original </w:t>
      </w:r>
      <w:r>
        <w:rPr>
          <w:rFonts w:ascii="Arial" w:hAnsi="Arial" w:cs="Arial"/>
          <w:sz w:val="22"/>
          <w:szCs w:val="22"/>
        </w:rPr>
        <w:t>9</w:t>
      </w:r>
      <w:r w:rsidRPr="00C01F0F">
        <w:rPr>
          <w:rFonts w:ascii="Arial" w:hAnsi="Arial" w:cs="Arial"/>
          <w:sz w:val="22"/>
          <w:szCs w:val="22"/>
        </w:rPr>
        <w:t xml:space="preserve"> variables for that day. During training, the model is optimized so that these reconstructions are accurate and clinically plausible, ensuring that the learned discrete profiles are sufficiently expressive. The same decoding mechanism is used to impute missing values, leveraging the structure encoded in the latent profiles to generate coherent, physiologically reasonable daily measurements.</w:t>
      </w:r>
    </w:p>
    <w:p w14:paraId="216D0385" w14:textId="77777777" w:rsidR="00B83544" w:rsidRPr="0090008F" w:rsidRDefault="00B83544" w:rsidP="006A6B9E">
      <w:pPr>
        <w:spacing w:line="480" w:lineRule="auto"/>
        <w:jc w:val="both"/>
        <w:rPr>
          <w:rFonts w:ascii="Arial" w:hAnsi="Arial" w:cs="Arial"/>
          <w:sz w:val="22"/>
          <w:szCs w:val="22"/>
        </w:rPr>
      </w:pPr>
    </w:p>
    <w:p w14:paraId="639B538B" w14:textId="77777777" w:rsidR="006A6B9E" w:rsidRPr="006A6B9E" w:rsidRDefault="006A6B9E" w:rsidP="006A6B9E">
      <w:pPr>
        <w:spacing w:line="480" w:lineRule="auto"/>
        <w:jc w:val="both"/>
        <w:rPr>
          <w:rFonts w:ascii="Arial" w:hAnsi="Arial" w:cs="Arial"/>
          <w:b/>
          <w:bCs/>
          <w:sz w:val="22"/>
          <w:szCs w:val="22"/>
        </w:rPr>
      </w:pPr>
      <w:r w:rsidRPr="006A6B9E">
        <w:rPr>
          <w:rFonts w:ascii="Arial" w:hAnsi="Arial" w:cs="Arial"/>
          <w:b/>
          <w:bCs/>
          <w:sz w:val="22"/>
          <w:szCs w:val="22"/>
        </w:rPr>
        <w:t>Statistical analysis</w:t>
      </w:r>
    </w:p>
    <w:p w14:paraId="58E0E512" w14:textId="77777777" w:rsidR="006A6B9E" w:rsidRPr="006A6B9E" w:rsidRDefault="006A6B9E" w:rsidP="006A6B9E">
      <w:pPr>
        <w:spacing w:line="480" w:lineRule="auto"/>
        <w:jc w:val="both"/>
        <w:rPr>
          <w:rFonts w:ascii="Arial" w:hAnsi="Arial" w:cs="Arial"/>
          <w:b/>
          <w:bCs/>
          <w:sz w:val="22"/>
          <w:szCs w:val="22"/>
        </w:rPr>
      </w:pPr>
    </w:p>
    <w:p w14:paraId="46C0BAC1" w14:textId="71712517" w:rsidR="006A6B9E" w:rsidRDefault="00B83544" w:rsidP="006A6B9E">
      <w:pPr>
        <w:spacing w:line="480" w:lineRule="auto"/>
        <w:jc w:val="both"/>
        <w:rPr>
          <w:rFonts w:ascii="Arial" w:hAnsi="Arial" w:cs="Arial"/>
          <w:sz w:val="22"/>
          <w:szCs w:val="22"/>
        </w:rPr>
      </w:pPr>
      <w:r>
        <w:rPr>
          <w:rFonts w:ascii="Arial" w:hAnsi="Arial" w:cs="Arial"/>
          <w:sz w:val="22"/>
          <w:szCs w:val="22"/>
        </w:rPr>
        <w:t>The c</w:t>
      </w:r>
      <w:r w:rsidR="006A6B9E">
        <w:rPr>
          <w:rFonts w:ascii="Arial" w:hAnsi="Arial" w:cs="Arial"/>
          <w:sz w:val="22"/>
          <w:szCs w:val="22"/>
        </w:rPr>
        <w:t>ase-control matching for window-anchored analys</w:t>
      </w:r>
      <w:r>
        <w:rPr>
          <w:rFonts w:ascii="Arial" w:hAnsi="Arial" w:cs="Arial"/>
          <w:sz w:val="22"/>
          <w:szCs w:val="22"/>
        </w:rPr>
        <w:t>is was conducted as follows:</w:t>
      </w:r>
      <w:r w:rsidR="006A6B9E">
        <w:rPr>
          <w:rFonts w:ascii="Arial" w:hAnsi="Arial" w:cs="Arial"/>
          <w:sz w:val="22"/>
          <w:szCs w:val="22"/>
        </w:rPr>
        <w:t xml:space="preserve"> </w:t>
      </w:r>
      <w:r>
        <w:rPr>
          <w:rFonts w:ascii="Arial" w:hAnsi="Arial" w:cs="Arial"/>
          <w:sz w:val="22"/>
          <w:szCs w:val="22"/>
        </w:rPr>
        <w:t>e</w:t>
      </w:r>
      <w:r w:rsidR="006A6B9E" w:rsidRPr="00377F1F">
        <w:rPr>
          <w:rFonts w:ascii="Arial" w:hAnsi="Arial" w:cs="Arial"/>
          <w:sz w:val="22"/>
          <w:szCs w:val="22"/>
        </w:rPr>
        <w:t>arly progression (early PD) was defined as radiographic or clinical disease progression occurring within 180 days from study entry. For the analyses that compared short-term behavioral and physiological dynamics around the time of progression, we constructed a matched case–control dataset.</w:t>
      </w:r>
      <w:r w:rsidR="006A6B9E">
        <w:rPr>
          <w:rFonts w:ascii="Arial" w:hAnsi="Arial" w:cs="Arial"/>
          <w:sz w:val="22"/>
          <w:szCs w:val="22"/>
        </w:rPr>
        <w:t xml:space="preserve"> </w:t>
      </w:r>
      <w:r w:rsidR="006A6B9E" w:rsidRPr="00377F1F">
        <w:rPr>
          <w:rFonts w:ascii="Arial" w:hAnsi="Arial" w:cs="Arial"/>
          <w:sz w:val="22"/>
          <w:szCs w:val="22"/>
        </w:rPr>
        <w:t>First, we identified all patients with early PD (n=26). The remaining patients (n=152) were considered potential non-early controls (progression after 180 days or censored without progression). Matching was performed separately within each tumor type (breast, colorectal and lung) to preserve the cohort composition.</w:t>
      </w:r>
      <w:r w:rsidR="006A6B9E">
        <w:rPr>
          <w:rFonts w:ascii="Arial" w:hAnsi="Arial" w:cs="Arial"/>
          <w:sz w:val="22"/>
          <w:szCs w:val="22"/>
        </w:rPr>
        <w:t xml:space="preserve"> </w:t>
      </w:r>
      <w:r w:rsidR="006A6B9E" w:rsidRPr="00377F1F">
        <w:rPr>
          <w:rFonts w:ascii="Arial" w:hAnsi="Arial" w:cs="Arial"/>
          <w:sz w:val="22"/>
          <w:szCs w:val="22"/>
        </w:rPr>
        <w:t xml:space="preserve">For each early-progressor </w:t>
      </w:r>
      <w:r w:rsidR="006A6B9E">
        <w:rPr>
          <w:rFonts w:ascii="Arial" w:hAnsi="Arial" w:cs="Arial"/>
          <w:sz w:val="22"/>
          <w:szCs w:val="22"/>
        </w:rPr>
        <w:t>“</w:t>
      </w:r>
      <w:proofErr w:type="spellStart"/>
      <w:r w:rsidR="006A6B9E">
        <w:rPr>
          <w:rFonts w:ascii="Arial" w:hAnsi="Arial" w:cs="Arial"/>
          <w:sz w:val="22"/>
          <w:szCs w:val="22"/>
        </w:rPr>
        <w:t>i</w:t>
      </w:r>
      <w:proofErr w:type="spellEnd"/>
      <w:r w:rsidR="006A6B9E">
        <w:rPr>
          <w:rFonts w:ascii="Arial" w:hAnsi="Arial" w:cs="Arial"/>
          <w:sz w:val="22"/>
          <w:szCs w:val="22"/>
        </w:rPr>
        <w:t>”</w:t>
      </w:r>
      <w:r w:rsidR="006A6B9E" w:rsidRPr="00377F1F">
        <w:rPr>
          <w:rFonts w:ascii="Arial" w:hAnsi="Arial" w:cs="Arial"/>
          <w:sz w:val="22"/>
          <w:szCs w:val="22"/>
        </w:rPr>
        <w:t xml:space="preserve">, we computed </w:t>
      </w:r>
      <w:proofErr w:type="spellStart"/>
      <w:r w:rsidR="006A6B9E" w:rsidRPr="00377F1F">
        <w:rPr>
          <w:rFonts w:ascii="Arial" w:hAnsi="Arial" w:cs="Arial"/>
          <w:sz w:val="22"/>
          <w:szCs w:val="22"/>
        </w:rPr>
        <w:t>its</w:t>
      </w:r>
      <w:proofErr w:type="spellEnd"/>
      <w:r w:rsidR="006A6B9E" w:rsidRPr="00377F1F">
        <w:rPr>
          <w:rFonts w:ascii="Arial" w:hAnsi="Arial" w:cs="Arial"/>
          <w:sz w:val="22"/>
          <w:szCs w:val="22"/>
        </w:rPr>
        <w:t xml:space="preserve"> time to early progression Tᵢ (in days from registration). Eligible controls for </w:t>
      </w:r>
      <w:proofErr w:type="gramStart"/>
      <w:r w:rsidR="006A6B9E" w:rsidRPr="00377F1F">
        <w:rPr>
          <w:rFonts w:ascii="Arial" w:hAnsi="Arial" w:cs="Arial"/>
          <w:sz w:val="22"/>
          <w:szCs w:val="22"/>
        </w:rPr>
        <w:t xml:space="preserve">case </w:t>
      </w:r>
      <w:r w:rsidR="006A6B9E">
        <w:rPr>
          <w:rFonts w:ascii="Arial" w:hAnsi="Arial" w:cs="Arial"/>
          <w:sz w:val="22"/>
          <w:szCs w:val="22"/>
        </w:rPr>
        <w:t>”</w:t>
      </w:r>
      <w:proofErr w:type="spellStart"/>
      <w:r w:rsidR="006A6B9E">
        <w:rPr>
          <w:rFonts w:ascii="Arial" w:hAnsi="Arial" w:cs="Arial"/>
          <w:sz w:val="22"/>
          <w:szCs w:val="22"/>
        </w:rPr>
        <w:t>i</w:t>
      </w:r>
      <w:proofErr w:type="spellEnd"/>
      <w:proofErr w:type="gramEnd"/>
      <w:r w:rsidR="006A6B9E">
        <w:rPr>
          <w:rFonts w:ascii="Arial" w:hAnsi="Arial" w:cs="Arial"/>
          <w:sz w:val="22"/>
          <w:szCs w:val="22"/>
        </w:rPr>
        <w:t xml:space="preserve">” </w:t>
      </w:r>
      <w:r w:rsidR="006A6B9E" w:rsidRPr="00377F1F">
        <w:rPr>
          <w:rFonts w:ascii="Arial" w:hAnsi="Arial" w:cs="Arial"/>
          <w:sz w:val="22"/>
          <w:szCs w:val="22"/>
        </w:rPr>
        <w:t xml:space="preserve">had to fulfil two criteria: </w:t>
      </w:r>
      <w:r w:rsidR="006A6B9E">
        <w:rPr>
          <w:rFonts w:ascii="Arial" w:hAnsi="Arial" w:cs="Arial"/>
          <w:sz w:val="22"/>
          <w:szCs w:val="22"/>
        </w:rPr>
        <w:t>1</w:t>
      </w:r>
      <w:r w:rsidR="006A6B9E" w:rsidRPr="00377F1F">
        <w:rPr>
          <w:rFonts w:ascii="Arial" w:hAnsi="Arial" w:cs="Arial"/>
          <w:sz w:val="22"/>
          <w:szCs w:val="22"/>
        </w:rPr>
        <w:t xml:space="preserve">) same tumor type as the case, and </w:t>
      </w:r>
      <w:r w:rsidR="006A6B9E">
        <w:rPr>
          <w:rFonts w:ascii="Arial" w:hAnsi="Arial" w:cs="Arial"/>
          <w:sz w:val="22"/>
          <w:szCs w:val="22"/>
        </w:rPr>
        <w:t>2)</w:t>
      </w:r>
      <w:r w:rsidR="006A6B9E" w:rsidRPr="00377F1F">
        <w:rPr>
          <w:rFonts w:ascii="Arial" w:hAnsi="Arial" w:cs="Arial"/>
          <w:sz w:val="22"/>
          <w:szCs w:val="22"/>
        </w:rPr>
        <w:t xml:space="preserve"> observed follow-up time ≥ Tᵢ, ensuring that they were truly at risk of early progression during the comparison window and minimi</w:t>
      </w:r>
      <w:r>
        <w:rPr>
          <w:rFonts w:ascii="Arial" w:hAnsi="Arial" w:cs="Arial"/>
          <w:sz w:val="22"/>
          <w:szCs w:val="22"/>
        </w:rPr>
        <w:t>z</w:t>
      </w:r>
      <w:r w:rsidR="006A6B9E" w:rsidRPr="00377F1F">
        <w:rPr>
          <w:rFonts w:ascii="Arial" w:hAnsi="Arial" w:cs="Arial"/>
          <w:sz w:val="22"/>
          <w:szCs w:val="22"/>
        </w:rPr>
        <w:t>ing immortal-time bias. From this eligible pool, we randomly selected five distinct controls per case (1:5 matching). Because the lung-cancer stratum contained relatively few non-early patients, some lung controls were allowed to be reused across different cases; however, each case always had five unique controls. Overall, the matched dataset comprised 26 early-progressor cases and 10</w:t>
      </w:r>
      <w:r w:rsidR="006A6B9E">
        <w:rPr>
          <w:rFonts w:ascii="Arial" w:hAnsi="Arial" w:cs="Arial"/>
          <w:sz w:val="22"/>
          <w:szCs w:val="22"/>
        </w:rPr>
        <w:t>7</w:t>
      </w:r>
      <w:r w:rsidR="006A6B9E" w:rsidRPr="00377F1F">
        <w:rPr>
          <w:rFonts w:ascii="Arial" w:hAnsi="Arial" w:cs="Arial"/>
          <w:sz w:val="22"/>
          <w:szCs w:val="22"/>
        </w:rPr>
        <w:t xml:space="preserve"> unique non-early controls, resulting in 156 patient-records.</w:t>
      </w:r>
      <w:r w:rsidR="006A6B9E">
        <w:rPr>
          <w:rFonts w:ascii="Arial" w:hAnsi="Arial" w:cs="Arial"/>
          <w:sz w:val="22"/>
          <w:szCs w:val="22"/>
        </w:rPr>
        <w:t xml:space="preserve"> </w:t>
      </w:r>
      <w:r w:rsidR="006A6B9E" w:rsidRPr="00377F1F">
        <w:rPr>
          <w:rFonts w:ascii="Arial" w:hAnsi="Arial" w:cs="Arial"/>
          <w:sz w:val="22"/>
          <w:szCs w:val="22"/>
        </w:rPr>
        <w:lastRenderedPageBreak/>
        <w:t>Matching was implemented in Python (pandas) using tumor-type stratification, a fixed random seed for reproducibility and simple random sampling within the eligible control pool for each case. The full script is provided in the project repository.</w:t>
      </w:r>
    </w:p>
    <w:p w14:paraId="6AC9686F" w14:textId="77777777" w:rsidR="006A6B9E" w:rsidRDefault="006A6B9E" w:rsidP="006A6B9E">
      <w:pPr>
        <w:spacing w:line="480" w:lineRule="auto"/>
        <w:jc w:val="both"/>
        <w:rPr>
          <w:rFonts w:ascii="Arial" w:hAnsi="Arial" w:cs="Arial"/>
          <w:sz w:val="22"/>
          <w:szCs w:val="22"/>
        </w:rPr>
      </w:pPr>
      <w:r w:rsidRPr="0090008F">
        <w:rPr>
          <w:rFonts w:ascii="Arial" w:hAnsi="Arial" w:cs="Arial"/>
          <w:sz w:val="22"/>
          <w:szCs w:val="22"/>
        </w:rPr>
        <w:t xml:space="preserve">Continuous variables (hemoglobin, albumin, NLR or SII ratios) were summarized as median [interquartile range]. Group contrasts between early progressors (≤180 days) and non-early were assessed using two-sided Mann–Whitney U (Wilcoxon rank–sum) tests with tie-adjusted normal approximation; exact p-values were used when group sizes were small. The baseline visit laboratory values for these parameters were used for the former comparisons. Regarding self-reported pain comparisons between progressors and non-progressors, the semiquantitative Visual Analogue Scale (VAS) was used. Since patients could report “at will” (with a maximum of once per day), in order to compare the baseline pain </w:t>
      </w:r>
      <w:proofErr w:type="gramStart"/>
      <w:r w:rsidRPr="0090008F">
        <w:rPr>
          <w:rFonts w:ascii="Arial" w:hAnsi="Arial" w:cs="Arial"/>
          <w:sz w:val="22"/>
          <w:szCs w:val="22"/>
        </w:rPr>
        <w:t>data</w:t>
      </w:r>
      <w:proofErr w:type="gramEnd"/>
      <w:r w:rsidRPr="0090008F">
        <w:rPr>
          <w:rFonts w:ascii="Arial" w:hAnsi="Arial" w:cs="Arial"/>
          <w:sz w:val="22"/>
          <w:szCs w:val="22"/>
        </w:rPr>
        <w:t xml:space="preserve"> we calculated the median VAS pain score reported from days +1 to +15, regardless of the number of entries during that period; group medians were compared with the Mann-Whitney U and Wilcoxon test. </w:t>
      </w:r>
      <w:r>
        <w:rPr>
          <w:rFonts w:ascii="Arial" w:hAnsi="Arial" w:cs="Arial"/>
          <w:sz w:val="22"/>
          <w:szCs w:val="22"/>
        </w:rPr>
        <w:t>In the former variables, e</w:t>
      </w:r>
      <w:r w:rsidRPr="004872E4">
        <w:rPr>
          <w:rFonts w:ascii="Arial" w:hAnsi="Arial" w:cs="Arial"/>
          <w:sz w:val="22"/>
          <w:szCs w:val="22"/>
        </w:rPr>
        <w:t>ffect sizes comparing early versus non-early progressors were quantified using Cliff’s delta (δ), a non-parametric measure of stochastic superiority. Cliff’s δ was computed as δ = (N_{&gt;}-N_{&lt;})/(n_1·n_2), where N_{&gt;} and N_{&lt;} are the numbers of pairwise comparisons in which a value from group 1 is greater than or less than a value from group 2, respectively (ties contribute 0), and n_1 and n_2 are group sizes. δ ranges from −1 to +1, with positive values indicating higher values in early progressors. For interpretability, the probability of superiority can be approximated as P(X&gt;Y) ≈ (δ+1)/2 when ties are infrequent.</w:t>
      </w:r>
    </w:p>
    <w:p w14:paraId="4BB860DC" w14:textId="77777777" w:rsidR="006A6B9E" w:rsidRDefault="006A6B9E" w:rsidP="006A6B9E">
      <w:pPr>
        <w:spacing w:line="480" w:lineRule="auto"/>
        <w:jc w:val="both"/>
        <w:rPr>
          <w:rFonts w:ascii="Arial" w:hAnsi="Arial" w:cs="Arial"/>
          <w:sz w:val="22"/>
          <w:szCs w:val="22"/>
        </w:rPr>
      </w:pPr>
      <w:r w:rsidRPr="00BB7D49">
        <w:rPr>
          <w:rFonts w:ascii="Arial" w:hAnsi="Arial" w:cs="Arial"/>
          <w:sz w:val="22"/>
          <w:szCs w:val="22"/>
        </w:rPr>
        <w:t>Associations between binary variables (e.g., early progression status and baseline medication exposure) were assessed using a two-sided Fisher’s exact test on 2×2 contingency tables, given the potential for small cell counts. P-values were two-sided</w:t>
      </w:r>
      <w:r>
        <w:rPr>
          <w:rFonts w:ascii="Arial" w:hAnsi="Arial" w:cs="Arial"/>
          <w:sz w:val="22"/>
          <w:szCs w:val="22"/>
        </w:rPr>
        <w:t xml:space="preserve">. </w:t>
      </w:r>
      <w:r w:rsidRPr="00BB7D49">
        <w:rPr>
          <w:rFonts w:ascii="Arial" w:hAnsi="Arial" w:cs="Arial"/>
          <w:sz w:val="22"/>
          <w:szCs w:val="22"/>
        </w:rPr>
        <w:t>Effect sizes for binary associations were summarized as odds ratios (ORs) with 95% confidence intervals. ORs were computed from 2×2 contingency tables (OR = ad/</w:t>
      </w:r>
      <w:proofErr w:type="spellStart"/>
      <w:r w:rsidRPr="00BB7D49">
        <w:rPr>
          <w:rFonts w:ascii="Arial" w:hAnsi="Arial" w:cs="Arial"/>
          <w:sz w:val="22"/>
          <w:szCs w:val="22"/>
        </w:rPr>
        <w:t>bc</w:t>
      </w:r>
      <w:proofErr w:type="spellEnd"/>
      <w:r w:rsidRPr="00BB7D49">
        <w:rPr>
          <w:rFonts w:ascii="Arial" w:hAnsi="Arial" w:cs="Arial"/>
          <w:sz w:val="22"/>
          <w:szCs w:val="22"/>
        </w:rPr>
        <w:t xml:space="preserve">). </w:t>
      </w:r>
      <w:r w:rsidRPr="008E1608">
        <w:rPr>
          <w:rFonts w:ascii="Arial" w:hAnsi="Arial" w:cs="Arial"/>
          <w:sz w:val="22"/>
          <w:szCs w:val="22"/>
        </w:rPr>
        <w:t xml:space="preserve">Odds ratios and their 95% confidence intervals for each medication were also displayed </w:t>
      </w:r>
      <w:r w:rsidRPr="008E1608">
        <w:rPr>
          <w:rFonts w:ascii="Arial" w:hAnsi="Arial" w:cs="Arial"/>
          <w:sz w:val="22"/>
          <w:szCs w:val="22"/>
        </w:rPr>
        <w:lastRenderedPageBreak/>
        <w:t>as forest plots, where point estimates represent ORs and horizontal whiskers denote 95% confidence intervals on a logarithmic x-axis, with OR=1 indicating no association</w:t>
      </w:r>
      <w:r>
        <w:rPr>
          <w:rFonts w:ascii="Arial" w:hAnsi="Arial" w:cs="Arial"/>
          <w:sz w:val="22"/>
          <w:szCs w:val="22"/>
        </w:rPr>
        <w:t>.</w:t>
      </w:r>
    </w:p>
    <w:p w14:paraId="12604277" w14:textId="77777777" w:rsidR="00B83544" w:rsidRDefault="006A6B9E" w:rsidP="006A6B9E">
      <w:pPr>
        <w:spacing w:line="480" w:lineRule="auto"/>
        <w:jc w:val="both"/>
        <w:rPr>
          <w:rFonts w:ascii="Arial" w:hAnsi="Arial" w:cs="Arial"/>
          <w:sz w:val="22"/>
          <w:szCs w:val="22"/>
        </w:rPr>
      </w:pPr>
      <w:r w:rsidRPr="0090008F">
        <w:rPr>
          <w:rFonts w:ascii="Arial" w:hAnsi="Arial" w:cs="Arial"/>
          <w:sz w:val="22"/>
          <w:szCs w:val="22"/>
        </w:rPr>
        <w:t xml:space="preserve">For studying the association between DCABPs and tumor type or age, we tested whether the distribution of dominant DCABPs differed across tumor types or age groups using Pearson’s chi-square test on contingency tables of counts. For age, patients were split into tertiles using sample quantiles (T1/T2/T3). Alongside the omnibus χ² p-value, we computed standardized Pearson (Haberman) residuals for each cell, </w:t>
      </w:r>
      <w:proofErr w:type="spellStart"/>
      <w:r w:rsidRPr="0090008F">
        <w:rPr>
          <w:rFonts w:ascii="Arial" w:hAnsi="Arial" w:cs="Arial"/>
          <w:sz w:val="22"/>
          <w:szCs w:val="22"/>
        </w:rPr>
        <w:t>R</w:t>
      </w:r>
      <w:r w:rsidRPr="0090008F">
        <w:rPr>
          <w:rFonts w:ascii="Arial" w:hAnsi="Arial" w:cs="Arial"/>
          <w:sz w:val="22"/>
          <w:szCs w:val="22"/>
          <w:vertAlign w:val="subscript"/>
        </w:rPr>
        <w:t>ij</w:t>
      </w:r>
      <w:proofErr w:type="spellEnd"/>
      <w:r w:rsidRPr="0090008F">
        <w:rPr>
          <w:rFonts w:ascii="Arial" w:hAnsi="Arial" w:cs="Arial"/>
          <w:sz w:val="22"/>
          <w:szCs w:val="22"/>
        </w:rPr>
        <w:t xml:space="preserve"> = (</w:t>
      </w:r>
      <w:proofErr w:type="spellStart"/>
      <w:r w:rsidRPr="0090008F">
        <w:rPr>
          <w:rFonts w:ascii="Arial" w:hAnsi="Arial" w:cs="Arial"/>
          <w:sz w:val="22"/>
          <w:szCs w:val="22"/>
        </w:rPr>
        <w:t>O</w:t>
      </w:r>
      <w:r w:rsidRPr="0090008F">
        <w:rPr>
          <w:rFonts w:ascii="Arial" w:hAnsi="Arial" w:cs="Arial"/>
          <w:sz w:val="22"/>
          <w:szCs w:val="22"/>
          <w:vertAlign w:val="subscript"/>
        </w:rPr>
        <w:t>ij</w:t>
      </w:r>
      <w:proofErr w:type="spellEnd"/>
      <w:r w:rsidRPr="0090008F">
        <w:rPr>
          <w:rFonts w:ascii="Arial" w:hAnsi="Arial" w:cs="Arial"/>
          <w:sz w:val="22"/>
          <w:szCs w:val="22"/>
          <w:vertAlign w:val="subscript"/>
        </w:rPr>
        <w:t xml:space="preserve"> </w:t>
      </w:r>
      <w:r w:rsidRPr="0090008F">
        <w:rPr>
          <w:rFonts w:ascii="Arial" w:hAnsi="Arial" w:cs="Arial"/>
          <w:sz w:val="22"/>
          <w:szCs w:val="22"/>
        </w:rPr>
        <w:t xml:space="preserve">– </w:t>
      </w:r>
      <w:proofErr w:type="spellStart"/>
      <w:r w:rsidRPr="0090008F">
        <w:rPr>
          <w:rFonts w:ascii="Arial" w:hAnsi="Arial" w:cs="Arial"/>
          <w:sz w:val="22"/>
          <w:szCs w:val="22"/>
        </w:rPr>
        <w:t>E</w:t>
      </w:r>
      <w:r w:rsidRPr="0090008F">
        <w:rPr>
          <w:rFonts w:ascii="Arial" w:hAnsi="Arial" w:cs="Arial"/>
          <w:sz w:val="22"/>
          <w:szCs w:val="22"/>
          <w:vertAlign w:val="subscript"/>
        </w:rPr>
        <w:t>ij</w:t>
      </w:r>
      <w:proofErr w:type="spellEnd"/>
      <w:r w:rsidRPr="0090008F">
        <w:rPr>
          <w:rFonts w:ascii="Arial" w:hAnsi="Arial" w:cs="Arial"/>
          <w:sz w:val="22"/>
          <w:szCs w:val="22"/>
        </w:rPr>
        <w:t>) / [</w:t>
      </w:r>
      <w:proofErr w:type="spellStart"/>
      <w:r w:rsidRPr="0090008F">
        <w:rPr>
          <w:rFonts w:ascii="Arial" w:hAnsi="Arial" w:cs="Arial"/>
          <w:sz w:val="22"/>
          <w:szCs w:val="22"/>
        </w:rPr>
        <w:t>E</w:t>
      </w:r>
      <w:r w:rsidRPr="0090008F">
        <w:rPr>
          <w:rFonts w:ascii="Arial" w:hAnsi="Arial" w:cs="Arial"/>
          <w:sz w:val="22"/>
          <w:szCs w:val="22"/>
          <w:vertAlign w:val="subscript"/>
        </w:rPr>
        <w:t>ij</w:t>
      </w:r>
      <w:proofErr w:type="spellEnd"/>
      <w:r w:rsidRPr="0090008F">
        <w:rPr>
          <w:rFonts w:ascii="Arial" w:hAnsi="Arial" w:cs="Arial"/>
          <w:sz w:val="22"/>
          <w:szCs w:val="22"/>
        </w:rPr>
        <w:t>*(1-</w:t>
      </w:r>
      <w:proofErr w:type="gramStart"/>
      <w:r w:rsidRPr="0090008F">
        <w:rPr>
          <w:rFonts w:ascii="Arial" w:hAnsi="Arial" w:cs="Arial"/>
          <w:sz w:val="22"/>
          <w:szCs w:val="22"/>
        </w:rPr>
        <w:t>r</w:t>
      </w:r>
      <w:r w:rsidRPr="0090008F">
        <w:rPr>
          <w:rFonts w:ascii="Arial" w:hAnsi="Arial" w:cs="Arial"/>
          <w:sz w:val="22"/>
          <w:szCs w:val="22"/>
          <w:vertAlign w:val="subscript"/>
        </w:rPr>
        <w:t>i</w:t>
      </w:r>
      <w:r w:rsidRPr="0090008F">
        <w:rPr>
          <w:rFonts w:ascii="Arial" w:hAnsi="Arial" w:cs="Arial"/>
          <w:sz w:val="22"/>
          <w:szCs w:val="22"/>
        </w:rPr>
        <w:t>)*</w:t>
      </w:r>
      <w:proofErr w:type="gramEnd"/>
      <w:r w:rsidRPr="0090008F">
        <w:rPr>
          <w:rFonts w:ascii="Arial" w:hAnsi="Arial" w:cs="Arial"/>
          <w:sz w:val="22"/>
          <w:szCs w:val="22"/>
        </w:rPr>
        <w:t>(1-c</w:t>
      </w:r>
      <w:r w:rsidRPr="0090008F">
        <w:rPr>
          <w:rFonts w:ascii="Arial" w:hAnsi="Arial" w:cs="Arial"/>
          <w:sz w:val="22"/>
          <w:szCs w:val="22"/>
          <w:vertAlign w:val="subscript"/>
        </w:rPr>
        <w:t>j</w:t>
      </w:r>
      <w:r w:rsidRPr="0090008F">
        <w:rPr>
          <w:rFonts w:ascii="Arial" w:hAnsi="Arial" w:cs="Arial"/>
          <w:sz w:val="22"/>
          <w:szCs w:val="22"/>
        </w:rPr>
        <w:t>)]</w:t>
      </w:r>
      <w:r w:rsidRPr="0090008F">
        <w:rPr>
          <w:rFonts w:ascii="Arial" w:hAnsi="Arial" w:cs="Arial"/>
          <w:sz w:val="22"/>
          <w:szCs w:val="22"/>
          <w:vertAlign w:val="superscript"/>
        </w:rPr>
        <w:t>0.5</w:t>
      </w:r>
      <w:r w:rsidRPr="0090008F">
        <w:rPr>
          <w:rFonts w:ascii="Arial" w:hAnsi="Arial" w:cs="Arial"/>
          <w:sz w:val="22"/>
          <w:szCs w:val="22"/>
        </w:rPr>
        <w:t xml:space="preserve">, where </w:t>
      </w:r>
      <w:proofErr w:type="spellStart"/>
      <w:r w:rsidRPr="0090008F">
        <w:rPr>
          <w:rFonts w:ascii="Arial" w:hAnsi="Arial" w:cs="Arial"/>
          <w:sz w:val="22"/>
          <w:szCs w:val="22"/>
        </w:rPr>
        <w:t>I</w:t>
      </w:r>
      <w:r w:rsidRPr="0090008F">
        <w:rPr>
          <w:rFonts w:ascii="Arial" w:hAnsi="Arial" w:cs="Arial"/>
          <w:sz w:val="22"/>
          <w:szCs w:val="22"/>
          <w:vertAlign w:val="subscript"/>
        </w:rPr>
        <w:t>ij</w:t>
      </w:r>
      <w:proofErr w:type="spellEnd"/>
      <w:r w:rsidRPr="0090008F">
        <w:rPr>
          <w:rFonts w:ascii="Arial" w:hAnsi="Arial" w:cs="Arial"/>
          <w:sz w:val="22"/>
          <w:szCs w:val="22"/>
          <w:vertAlign w:val="subscript"/>
        </w:rPr>
        <w:t xml:space="preserve"> </w:t>
      </w:r>
      <w:r w:rsidRPr="0090008F">
        <w:rPr>
          <w:rFonts w:ascii="Arial" w:hAnsi="Arial" w:cs="Arial"/>
          <w:sz w:val="22"/>
          <w:szCs w:val="22"/>
        </w:rPr>
        <w:t xml:space="preserve">and </w:t>
      </w:r>
      <w:proofErr w:type="spellStart"/>
      <w:r w:rsidRPr="0090008F">
        <w:rPr>
          <w:rFonts w:ascii="Arial" w:hAnsi="Arial" w:cs="Arial"/>
          <w:sz w:val="22"/>
          <w:szCs w:val="22"/>
        </w:rPr>
        <w:t>E</w:t>
      </w:r>
      <w:r w:rsidRPr="0090008F">
        <w:rPr>
          <w:rFonts w:ascii="Arial" w:hAnsi="Arial" w:cs="Arial"/>
          <w:sz w:val="22"/>
          <w:szCs w:val="22"/>
          <w:vertAlign w:val="subscript"/>
        </w:rPr>
        <w:t>ij</w:t>
      </w:r>
      <w:proofErr w:type="spellEnd"/>
      <w:r w:rsidRPr="0090008F">
        <w:rPr>
          <w:rFonts w:ascii="Arial" w:hAnsi="Arial" w:cs="Arial"/>
          <w:sz w:val="22"/>
          <w:szCs w:val="22"/>
          <w:vertAlign w:val="subscript"/>
        </w:rPr>
        <w:t xml:space="preserve"> </w:t>
      </w:r>
      <w:r w:rsidRPr="0090008F">
        <w:rPr>
          <w:rFonts w:ascii="Arial" w:hAnsi="Arial" w:cs="Arial"/>
          <w:sz w:val="22"/>
          <w:szCs w:val="22"/>
        </w:rPr>
        <w:t xml:space="preserve">are the observed and expected counts, and </w:t>
      </w:r>
      <w:proofErr w:type="spellStart"/>
      <w:r w:rsidRPr="0090008F">
        <w:rPr>
          <w:rFonts w:ascii="Arial" w:hAnsi="Arial" w:cs="Arial"/>
          <w:sz w:val="22"/>
          <w:szCs w:val="22"/>
        </w:rPr>
        <w:t>r</w:t>
      </w:r>
      <w:r w:rsidRPr="0090008F">
        <w:rPr>
          <w:rFonts w:ascii="Arial" w:hAnsi="Arial" w:cs="Arial"/>
          <w:sz w:val="22"/>
          <w:szCs w:val="22"/>
          <w:vertAlign w:val="subscript"/>
        </w:rPr>
        <w:t>i</w:t>
      </w:r>
      <w:proofErr w:type="spellEnd"/>
      <w:r w:rsidRPr="0090008F">
        <w:rPr>
          <w:rFonts w:ascii="Arial" w:hAnsi="Arial" w:cs="Arial"/>
          <w:sz w:val="22"/>
          <w:szCs w:val="22"/>
        </w:rPr>
        <w:t xml:space="preserve">, </w:t>
      </w:r>
      <w:proofErr w:type="spellStart"/>
      <w:r w:rsidRPr="0090008F">
        <w:rPr>
          <w:rFonts w:ascii="Arial" w:hAnsi="Arial" w:cs="Arial"/>
          <w:sz w:val="22"/>
          <w:szCs w:val="22"/>
        </w:rPr>
        <w:t>c</w:t>
      </w:r>
      <w:r w:rsidRPr="0090008F">
        <w:rPr>
          <w:rFonts w:ascii="Arial" w:hAnsi="Arial" w:cs="Arial"/>
          <w:sz w:val="22"/>
          <w:szCs w:val="22"/>
          <w:vertAlign w:val="subscript"/>
        </w:rPr>
        <w:t>j</w:t>
      </w:r>
      <w:proofErr w:type="spellEnd"/>
      <w:r w:rsidRPr="0090008F">
        <w:rPr>
          <w:rFonts w:ascii="Arial" w:hAnsi="Arial" w:cs="Arial"/>
          <w:sz w:val="22"/>
          <w:szCs w:val="22"/>
        </w:rPr>
        <w:t xml:space="preserve"> the row/column proportions. Residual heatmaps (blue = under-representation; red = over-representation) highlight cellwise deviations; values (absolute) of residuals of ≈ 2 correspond roughly to P ≈0.05 (two-sided) at the cell level. We also visualize within-row proportions with stacked bar charts. </w:t>
      </w:r>
    </w:p>
    <w:p w14:paraId="7B68BF65" w14:textId="1CA8CA29" w:rsidR="006A6B9E" w:rsidRPr="0090008F" w:rsidRDefault="006A6B9E" w:rsidP="006A6B9E">
      <w:pPr>
        <w:spacing w:line="480" w:lineRule="auto"/>
        <w:jc w:val="both"/>
        <w:rPr>
          <w:rFonts w:ascii="Arial" w:hAnsi="Arial" w:cs="Arial"/>
          <w:sz w:val="22"/>
          <w:szCs w:val="22"/>
        </w:rPr>
      </w:pPr>
      <w:r w:rsidRPr="00E2208D">
        <w:rPr>
          <w:rFonts w:ascii="Arial" w:hAnsi="Arial" w:cs="Arial"/>
          <w:sz w:val="22"/>
          <w:szCs w:val="22"/>
        </w:rPr>
        <w:t>Transitions between month-1 and year-1 DCABPs were summarized in contingency tables and assessed using chi-square tests of independence. We first compared the distribution of “good” versus “bad” hyper-patterns (2×2 table), and then the full set of six DCABPs (6×6 table), reporting χ² statistics, degrees of freedom and P-values.</w:t>
      </w:r>
    </w:p>
    <w:p w14:paraId="7C837FF9" w14:textId="77777777" w:rsidR="006A6B9E" w:rsidRPr="0090008F" w:rsidRDefault="006A6B9E" w:rsidP="006A6B9E">
      <w:pPr>
        <w:spacing w:line="480" w:lineRule="auto"/>
        <w:jc w:val="both"/>
        <w:rPr>
          <w:rFonts w:ascii="Arial" w:hAnsi="Arial" w:cs="Arial"/>
          <w:sz w:val="22"/>
          <w:szCs w:val="22"/>
        </w:rPr>
      </w:pPr>
    </w:p>
    <w:p w14:paraId="0A131164" w14:textId="77777777" w:rsidR="006A6B9E" w:rsidRPr="00737404" w:rsidRDefault="006A6B9E" w:rsidP="006A6B9E">
      <w:pPr>
        <w:spacing w:line="480" w:lineRule="auto"/>
        <w:jc w:val="both"/>
        <w:rPr>
          <w:rFonts w:ascii="Arial" w:hAnsi="Arial" w:cs="Arial"/>
          <w:sz w:val="22"/>
          <w:szCs w:val="22"/>
        </w:rPr>
      </w:pPr>
      <w:r w:rsidRPr="00737404">
        <w:rPr>
          <w:rFonts w:ascii="Arial" w:hAnsi="Arial" w:cs="Arial"/>
          <w:sz w:val="22"/>
          <w:szCs w:val="22"/>
        </w:rPr>
        <w:t xml:space="preserve">Regarding the calculation of the rolling-AUC alarm definition, monthly topic membership probabilities were obtained for each patient and month on study. We defined the monthly probability of occupying an </w:t>
      </w:r>
      <w:proofErr w:type="spellStart"/>
      <w:r w:rsidRPr="00737404">
        <w:rPr>
          <w:rFonts w:ascii="Arial" w:hAnsi="Arial" w:cs="Arial"/>
          <w:sz w:val="22"/>
          <w:szCs w:val="22"/>
        </w:rPr>
        <w:t>unfavourable</w:t>
      </w:r>
      <w:proofErr w:type="spellEnd"/>
      <w:r w:rsidRPr="00737404">
        <w:rPr>
          <w:rFonts w:ascii="Arial" w:hAnsi="Arial" w:cs="Arial"/>
          <w:sz w:val="22"/>
          <w:szCs w:val="22"/>
        </w:rPr>
        <w:t xml:space="preserve"> digital </w:t>
      </w:r>
      <w:proofErr w:type="spellStart"/>
      <w:r w:rsidRPr="00737404">
        <w:rPr>
          <w:rFonts w:ascii="Arial" w:hAnsi="Arial" w:cs="Arial"/>
          <w:sz w:val="22"/>
          <w:szCs w:val="22"/>
        </w:rPr>
        <w:t>behaviour</w:t>
      </w:r>
      <w:proofErr w:type="spellEnd"/>
      <w:r w:rsidRPr="00737404">
        <w:rPr>
          <w:rFonts w:ascii="Arial" w:hAnsi="Arial" w:cs="Arial"/>
          <w:sz w:val="22"/>
          <w:szCs w:val="22"/>
        </w:rPr>
        <w:t xml:space="preserve"> pattern as </w:t>
      </w:r>
      <w:proofErr w:type="spellStart"/>
      <w:r w:rsidRPr="00737404">
        <w:rPr>
          <w:rStyle w:val="katex-mathml"/>
          <w:rFonts w:ascii="Arial" w:hAnsi="Arial" w:cs="Arial"/>
          <w:sz w:val="22"/>
          <w:szCs w:val="22"/>
        </w:rPr>
        <w:t>pUF</w:t>
      </w:r>
      <w:proofErr w:type="spellEnd"/>
      <w:r w:rsidRPr="00737404">
        <w:rPr>
          <w:rStyle w:val="katex-mathml"/>
          <w:rFonts w:ascii="Arial" w:hAnsi="Arial" w:cs="Arial"/>
          <w:sz w:val="22"/>
          <w:szCs w:val="22"/>
        </w:rPr>
        <w:t>(m)</w:t>
      </w:r>
      <w:r w:rsidRPr="00737404">
        <w:rPr>
          <w:rFonts w:ascii="Arial" w:hAnsi="Arial" w:cs="Arial"/>
          <w:sz w:val="22"/>
          <w:szCs w:val="22"/>
        </w:rPr>
        <w:t xml:space="preserve">, computed as the sum of the LDA-derived topic probabilities belonging to the </w:t>
      </w:r>
      <w:proofErr w:type="spellStart"/>
      <w:r w:rsidRPr="00737404">
        <w:rPr>
          <w:rFonts w:ascii="Arial" w:hAnsi="Arial" w:cs="Arial"/>
          <w:sz w:val="22"/>
          <w:szCs w:val="22"/>
        </w:rPr>
        <w:t>unfavourable</w:t>
      </w:r>
      <w:proofErr w:type="spellEnd"/>
      <w:r w:rsidRPr="00737404">
        <w:rPr>
          <w:rFonts w:ascii="Arial" w:hAnsi="Arial" w:cs="Arial"/>
          <w:sz w:val="22"/>
          <w:szCs w:val="22"/>
        </w:rPr>
        <w:t xml:space="preserve"> hyper-DCABP set (e.g., topics 3+4+5). To quantify sustained </w:t>
      </w:r>
      <w:proofErr w:type="spellStart"/>
      <w:r w:rsidRPr="00737404">
        <w:rPr>
          <w:rFonts w:ascii="Arial" w:hAnsi="Arial" w:cs="Arial"/>
          <w:sz w:val="22"/>
          <w:szCs w:val="22"/>
        </w:rPr>
        <w:t>unfavourable</w:t>
      </w:r>
      <w:proofErr w:type="spellEnd"/>
      <w:r w:rsidRPr="00737404">
        <w:rPr>
          <w:rFonts w:ascii="Arial" w:hAnsi="Arial" w:cs="Arial"/>
          <w:sz w:val="22"/>
          <w:szCs w:val="22"/>
        </w:rPr>
        <w:t xml:space="preserve"> burden, we computed a rolling area-under-the-curve (AUC) over a window of W months: </w:t>
      </w:r>
      <w:r w:rsidRPr="00737404">
        <w:rPr>
          <w:rStyle w:val="katex-mathml"/>
          <w:rFonts w:ascii="Arial" w:hAnsi="Arial" w:cs="Arial"/>
          <w:sz w:val="22"/>
          <w:szCs w:val="22"/>
        </w:rPr>
        <w:t>AUC</w:t>
      </w:r>
      <w:r w:rsidRPr="00737404">
        <w:rPr>
          <w:rStyle w:val="katex-mathml"/>
          <w:rFonts w:ascii="Arial" w:hAnsi="Arial" w:cs="Arial"/>
          <w:sz w:val="22"/>
          <w:szCs w:val="22"/>
          <w:vertAlign w:val="subscript"/>
        </w:rPr>
        <w:t>W</w:t>
      </w:r>
      <w:r w:rsidRPr="00737404">
        <w:rPr>
          <w:rStyle w:val="katex-mathml"/>
          <w:rFonts w:ascii="Arial" w:hAnsi="Arial" w:cs="Arial"/>
          <w:sz w:val="22"/>
          <w:szCs w:val="22"/>
        </w:rPr>
        <w:t>(m)=∑</w:t>
      </w:r>
      <w:r w:rsidRPr="00737404">
        <w:rPr>
          <w:rStyle w:val="katex-mathml"/>
          <w:rFonts w:ascii="Arial" w:hAnsi="Arial" w:cs="Arial"/>
          <w:sz w:val="22"/>
          <w:szCs w:val="22"/>
          <w:vertAlign w:val="subscript"/>
        </w:rPr>
        <w:t>k=m-W+1</w:t>
      </w:r>
      <w:proofErr w:type="gramStart"/>
      <w:r w:rsidRPr="00737404">
        <w:rPr>
          <w:rStyle w:val="katex-mathml"/>
          <w:rFonts w:ascii="Arial" w:hAnsi="Arial" w:cs="Arial"/>
          <w:sz w:val="22"/>
          <w:szCs w:val="22"/>
          <w:vertAlign w:val="superscript"/>
        </w:rPr>
        <w:t xml:space="preserve">m </w:t>
      </w:r>
      <w:r w:rsidRPr="00737404">
        <w:rPr>
          <w:rStyle w:val="katex-mathml"/>
          <w:rFonts w:ascii="Arial" w:hAnsi="Arial" w:cs="Arial"/>
          <w:sz w:val="22"/>
          <w:szCs w:val="22"/>
        </w:rPr>
        <w:t xml:space="preserve"> </w:t>
      </w:r>
      <w:proofErr w:type="spellStart"/>
      <w:r w:rsidRPr="00737404">
        <w:rPr>
          <w:rStyle w:val="katex-mathml"/>
          <w:rFonts w:ascii="Arial" w:hAnsi="Arial" w:cs="Arial"/>
          <w:sz w:val="22"/>
          <w:szCs w:val="22"/>
        </w:rPr>
        <w:t>mpUF</w:t>
      </w:r>
      <w:proofErr w:type="spellEnd"/>
      <w:proofErr w:type="gramEnd"/>
      <w:r w:rsidRPr="00737404">
        <w:rPr>
          <w:rStyle w:val="katex-mathml"/>
          <w:rFonts w:ascii="Arial" w:hAnsi="Arial" w:cs="Arial"/>
          <w:sz w:val="22"/>
          <w:szCs w:val="22"/>
        </w:rPr>
        <w:t xml:space="preserve">(k) </w:t>
      </w:r>
      <w:r w:rsidRPr="00737404">
        <w:rPr>
          <w:rFonts w:ascii="Arial" w:hAnsi="Arial" w:cs="Arial"/>
          <w:sz w:val="22"/>
          <w:szCs w:val="22"/>
        </w:rPr>
        <w:t xml:space="preserve"> for months </w:t>
      </w:r>
      <w:proofErr w:type="spellStart"/>
      <w:r w:rsidRPr="00737404">
        <w:rPr>
          <w:rStyle w:val="katex-mathml"/>
          <w:rFonts w:ascii="Arial" w:hAnsi="Arial" w:cs="Arial"/>
          <w:sz w:val="22"/>
          <w:szCs w:val="22"/>
        </w:rPr>
        <w:t>m≥W</w:t>
      </w:r>
      <w:proofErr w:type="spellEnd"/>
      <w:r w:rsidRPr="00737404">
        <w:rPr>
          <w:rFonts w:ascii="Arial" w:hAnsi="Arial" w:cs="Arial"/>
          <w:sz w:val="22"/>
          <w:szCs w:val="22"/>
        </w:rPr>
        <w:t xml:space="preserve">. An alarm was triggered at month </w:t>
      </w:r>
      <w:r w:rsidRPr="00737404">
        <w:rPr>
          <w:rStyle w:val="katex-mathml"/>
          <w:rFonts w:ascii="Arial" w:hAnsi="Arial" w:cs="Arial"/>
          <w:sz w:val="22"/>
          <w:szCs w:val="22"/>
        </w:rPr>
        <w:t>m</w:t>
      </w:r>
      <w:r w:rsidRPr="00737404">
        <w:rPr>
          <w:rFonts w:ascii="Arial" w:hAnsi="Arial" w:cs="Arial"/>
          <w:sz w:val="22"/>
          <w:szCs w:val="22"/>
        </w:rPr>
        <w:t xml:space="preserve"> when </w:t>
      </w:r>
      <w:r w:rsidRPr="00737404">
        <w:rPr>
          <w:rStyle w:val="katex-mathml"/>
          <w:rFonts w:ascii="Arial" w:hAnsi="Arial" w:cs="Arial"/>
          <w:sz w:val="22"/>
          <w:szCs w:val="22"/>
        </w:rPr>
        <w:t>AUC</w:t>
      </w:r>
      <w:r w:rsidRPr="00737404">
        <w:rPr>
          <w:rStyle w:val="katex-mathml"/>
          <w:rFonts w:ascii="Arial" w:hAnsi="Arial" w:cs="Arial"/>
          <w:sz w:val="22"/>
          <w:szCs w:val="22"/>
          <w:vertAlign w:val="subscript"/>
        </w:rPr>
        <w:t>W</w:t>
      </w:r>
      <w:r w:rsidRPr="00737404">
        <w:rPr>
          <w:rStyle w:val="katex-mathml"/>
          <w:rFonts w:ascii="Arial" w:hAnsi="Arial" w:cs="Arial"/>
          <w:sz w:val="22"/>
          <w:szCs w:val="22"/>
        </w:rPr>
        <w:t>(m)≥0</w:t>
      </w:r>
      <w:r w:rsidRPr="00737404">
        <w:rPr>
          <w:rFonts w:ascii="Arial" w:hAnsi="Arial" w:cs="Arial"/>
          <w:sz w:val="22"/>
          <w:szCs w:val="22"/>
        </w:rPr>
        <w:t xml:space="preserve">. For a </w:t>
      </w:r>
      <w:proofErr w:type="gramStart"/>
      <w:r w:rsidRPr="00737404">
        <w:rPr>
          <w:rFonts w:ascii="Arial" w:hAnsi="Arial" w:cs="Arial"/>
          <w:sz w:val="22"/>
          <w:szCs w:val="22"/>
        </w:rPr>
        <w:t xml:space="preserve">given prediction horizon </w:t>
      </w:r>
      <w:r w:rsidRPr="00737404">
        <w:rPr>
          <w:rStyle w:val="mord"/>
          <w:rFonts w:ascii="Arial" w:hAnsi="Arial" w:cs="Arial"/>
          <w:sz w:val="22"/>
          <w:szCs w:val="22"/>
        </w:rPr>
        <w:t>H</w:t>
      </w:r>
      <w:r w:rsidRPr="00737404">
        <w:rPr>
          <w:rFonts w:ascii="Arial" w:hAnsi="Arial" w:cs="Arial"/>
          <w:sz w:val="22"/>
          <w:szCs w:val="22"/>
        </w:rPr>
        <w:t xml:space="preserve"> months</w:t>
      </w:r>
      <w:proofErr w:type="gramEnd"/>
      <w:r w:rsidRPr="00737404">
        <w:rPr>
          <w:rFonts w:ascii="Arial" w:hAnsi="Arial" w:cs="Arial"/>
          <w:sz w:val="22"/>
          <w:szCs w:val="22"/>
        </w:rPr>
        <w:t xml:space="preserve">, alarms were labelled as positive if radiographic progression occurred within the subsequent </w:t>
      </w:r>
      <w:r w:rsidRPr="00737404">
        <w:rPr>
          <w:rStyle w:val="katex-mathml"/>
          <w:rFonts w:ascii="Arial" w:hAnsi="Arial" w:cs="Arial"/>
          <w:sz w:val="22"/>
          <w:szCs w:val="22"/>
        </w:rPr>
        <w:t>H</w:t>
      </w:r>
      <w:r w:rsidRPr="00737404">
        <w:rPr>
          <w:rFonts w:ascii="Arial" w:hAnsi="Arial" w:cs="Arial"/>
          <w:sz w:val="22"/>
          <w:szCs w:val="22"/>
        </w:rPr>
        <w:t xml:space="preserve"> months. To avoid right-censoring ambiguity, decision points without at least </w:t>
      </w:r>
      <w:r w:rsidRPr="00737404">
        <w:rPr>
          <w:rStyle w:val="katex-mathml"/>
          <w:rFonts w:ascii="Arial" w:hAnsi="Arial" w:cs="Arial"/>
          <w:sz w:val="22"/>
          <w:szCs w:val="22"/>
        </w:rPr>
        <w:t xml:space="preserve">H </w:t>
      </w:r>
      <w:r w:rsidRPr="00737404">
        <w:rPr>
          <w:rFonts w:ascii="Arial" w:hAnsi="Arial" w:cs="Arial"/>
          <w:sz w:val="22"/>
          <w:szCs w:val="22"/>
        </w:rPr>
        <w:t xml:space="preserve">months of remaining follow-up were excluded from performance calculations. For each </w:t>
      </w:r>
      <w:r w:rsidRPr="00737404">
        <w:rPr>
          <w:rStyle w:val="katex-mathml"/>
          <w:rFonts w:ascii="Arial" w:hAnsi="Arial" w:cs="Arial"/>
          <w:sz w:val="22"/>
          <w:szCs w:val="22"/>
        </w:rPr>
        <w:t>(</w:t>
      </w:r>
      <w:proofErr w:type="gramStart"/>
      <w:r w:rsidRPr="00737404">
        <w:rPr>
          <w:rStyle w:val="katex-mathml"/>
          <w:rFonts w:ascii="Arial" w:hAnsi="Arial" w:cs="Arial"/>
          <w:sz w:val="22"/>
          <w:szCs w:val="22"/>
        </w:rPr>
        <w:t>W,H</w:t>
      </w:r>
      <w:proofErr w:type="gramEnd"/>
      <w:r w:rsidRPr="00737404">
        <w:rPr>
          <w:rStyle w:val="katex-mathml"/>
          <w:rFonts w:ascii="Arial" w:hAnsi="Arial" w:cs="Arial"/>
          <w:sz w:val="22"/>
          <w:szCs w:val="22"/>
        </w:rPr>
        <w:t>)</w:t>
      </w:r>
      <w:r w:rsidRPr="00737404">
        <w:rPr>
          <w:rFonts w:ascii="Arial" w:hAnsi="Arial" w:cs="Arial"/>
          <w:sz w:val="22"/>
          <w:szCs w:val="22"/>
        </w:rPr>
        <w:t xml:space="preserve"> configuration, the </w:t>
      </w:r>
      <w:r w:rsidRPr="00737404">
        <w:rPr>
          <w:rFonts w:ascii="Arial" w:hAnsi="Arial" w:cs="Arial"/>
          <w:sz w:val="22"/>
          <w:szCs w:val="22"/>
        </w:rPr>
        <w:lastRenderedPageBreak/>
        <w:t xml:space="preserve">threshold </w:t>
      </w:r>
      <w:proofErr w:type="spellStart"/>
      <w:r w:rsidRPr="00737404">
        <w:rPr>
          <w:rStyle w:val="katex-mathml"/>
          <w:rFonts w:ascii="Arial" w:hAnsi="Arial" w:cs="Arial"/>
          <w:sz w:val="22"/>
          <w:szCs w:val="22"/>
        </w:rPr>
        <w:t>θ</w:t>
      </w:r>
      <w:r w:rsidRPr="00737404">
        <w:rPr>
          <w:rFonts w:ascii="Arial" w:hAnsi="Arial" w:cs="Arial"/>
          <w:sz w:val="22"/>
          <w:szCs w:val="22"/>
        </w:rPr>
        <w:t>was</w:t>
      </w:r>
      <w:proofErr w:type="spellEnd"/>
      <w:r w:rsidRPr="00737404">
        <w:rPr>
          <w:rFonts w:ascii="Arial" w:hAnsi="Arial" w:cs="Arial"/>
          <w:sz w:val="22"/>
          <w:szCs w:val="22"/>
        </w:rPr>
        <w:t xml:space="preserve"> selected by </w:t>
      </w:r>
      <w:proofErr w:type="spellStart"/>
      <w:r w:rsidRPr="00737404">
        <w:rPr>
          <w:rFonts w:ascii="Arial" w:hAnsi="Arial" w:cs="Arial"/>
          <w:sz w:val="22"/>
          <w:szCs w:val="22"/>
        </w:rPr>
        <w:t>maximising</w:t>
      </w:r>
      <w:proofErr w:type="spellEnd"/>
      <w:r w:rsidRPr="00737404">
        <w:rPr>
          <w:rFonts w:ascii="Arial" w:hAnsi="Arial" w:cs="Arial"/>
          <w:sz w:val="22"/>
          <w:szCs w:val="22"/>
        </w:rPr>
        <w:t xml:space="preserve"> Youden’s index </w:t>
      </w:r>
      <w:r w:rsidRPr="00737404">
        <w:rPr>
          <w:rStyle w:val="katex-mathml"/>
          <w:rFonts w:ascii="Arial" w:hAnsi="Arial" w:cs="Arial"/>
          <w:sz w:val="22"/>
          <w:szCs w:val="22"/>
        </w:rPr>
        <w:t xml:space="preserve">J=sensitivity+specificity−1 </w:t>
      </w:r>
      <w:r w:rsidRPr="00737404">
        <w:rPr>
          <w:rFonts w:ascii="Arial" w:hAnsi="Arial" w:cs="Arial"/>
          <w:sz w:val="22"/>
          <w:szCs w:val="22"/>
        </w:rPr>
        <w:t xml:space="preserve">and performance was </w:t>
      </w:r>
      <w:proofErr w:type="spellStart"/>
      <w:r w:rsidRPr="00737404">
        <w:rPr>
          <w:rFonts w:ascii="Arial" w:hAnsi="Arial" w:cs="Arial"/>
          <w:sz w:val="22"/>
          <w:szCs w:val="22"/>
        </w:rPr>
        <w:t>summarised</w:t>
      </w:r>
      <w:proofErr w:type="spellEnd"/>
      <w:r w:rsidRPr="00737404">
        <w:rPr>
          <w:rFonts w:ascii="Arial" w:hAnsi="Arial" w:cs="Arial"/>
          <w:sz w:val="22"/>
          <w:szCs w:val="22"/>
        </w:rPr>
        <w:t xml:space="preserve"> by sensitivity, specificity, PPV and NPV.</w:t>
      </w:r>
    </w:p>
    <w:p w14:paraId="3C57B565" w14:textId="77777777" w:rsidR="006A6B9E" w:rsidRDefault="006A6B9E" w:rsidP="006A6B9E">
      <w:pPr>
        <w:spacing w:line="480" w:lineRule="auto"/>
        <w:jc w:val="both"/>
        <w:rPr>
          <w:rFonts w:ascii="Arial" w:hAnsi="Arial" w:cs="Arial"/>
          <w:color w:val="000000" w:themeColor="text1"/>
          <w:sz w:val="22"/>
          <w:szCs w:val="22"/>
        </w:rPr>
      </w:pPr>
      <w:r w:rsidRPr="00737404">
        <w:rPr>
          <w:rFonts w:ascii="Arial" w:hAnsi="Arial" w:cs="Arial"/>
          <w:color w:val="000000" w:themeColor="text1"/>
          <w:sz w:val="22"/>
          <w:szCs w:val="22"/>
        </w:rPr>
        <w:t xml:space="preserve">To explore whether specific tumor DNA alterations were enriched in patients with F-DCABP versus U-DCABP, we compared per-gene alteration frequencies between groups using two-sided Fisher’s exact tests on 2×2 contingency tables (altered vs unaltered by phenotype group). Odds ratios (ORs) and 95% confidence intervals were computed from the same tables. To account for multiple hypothesis testing across the set of genes evaluated, p-values were adjusted using the </w:t>
      </w:r>
      <w:proofErr w:type="spellStart"/>
      <w:r w:rsidRPr="00737404">
        <w:rPr>
          <w:rFonts w:ascii="Arial" w:hAnsi="Arial" w:cs="Arial"/>
          <w:color w:val="000000" w:themeColor="text1"/>
          <w:sz w:val="22"/>
          <w:szCs w:val="22"/>
        </w:rPr>
        <w:t>Benjamini</w:t>
      </w:r>
      <w:proofErr w:type="spellEnd"/>
      <w:r w:rsidRPr="00737404">
        <w:rPr>
          <w:rFonts w:ascii="Arial" w:hAnsi="Arial" w:cs="Arial"/>
          <w:color w:val="000000" w:themeColor="text1"/>
          <w:sz w:val="22"/>
          <w:szCs w:val="22"/>
        </w:rPr>
        <w:t>–Hochberg procedure to control the false discovery rate (FDR). Unless otherwise specified, results are reported as nominal p-values together with FDR-adjusted q-</w:t>
      </w:r>
      <w:proofErr w:type="gramStart"/>
      <w:r w:rsidRPr="00737404">
        <w:rPr>
          <w:rFonts w:ascii="Arial" w:hAnsi="Arial" w:cs="Arial"/>
          <w:color w:val="000000" w:themeColor="text1"/>
          <w:sz w:val="22"/>
          <w:szCs w:val="22"/>
        </w:rPr>
        <w:t>values, and</w:t>
      </w:r>
      <w:proofErr w:type="gramEnd"/>
      <w:r w:rsidRPr="00737404">
        <w:rPr>
          <w:rFonts w:ascii="Arial" w:hAnsi="Arial" w:cs="Arial"/>
          <w:color w:val="000000" w:themeColor="text1"/>
          <w:sz w:val="22"/>
          <w:szCs w:val="22"/>
        </w:rPr>
        <w:t xml:space="preserve"> are interpreted as exploratory given the limited sample size.</w:t>
      </w:r>
    </w:p>
    <w:p w14:paraId="0BD6C09B" w14:textId="01B0C64C" w:rsidR="006A6B9E" w:rsidRPr="00737404" w:rsidRDefault="00B83544" w:rsidP="006A6B9E">
      <w:pPr>
        <w:spacing w:line="480" w:lineRule="auto"/>
        <w:jc w:val="both"/>
        <w:rPr>
          <w:rFonts w:ascii="Arial" w:hAnsi="Arial" w:cs="Arial"/>
          <w:sz w:val="22"/>
          <w:szCs w:val="22"/>
        </w:rPr>
      </w:pPr>
      <w:r>
        <w:rPr>
          <w:rFonts w:ascii="Arial" w:hAnsi="Arial" w:cs="Arial"/>
          <w:color w:val="000000" w:themeColor="text1"/>
          <w:sz w:val="22"/>
          <w:szCs w:val="22"/>
        </w:rPr>
        <w:t xml:space="preserve">Progression-Free survival data were compared among groups of interest with the Kaplan-Meier method and the Log-Rank P test. </w:t>
      </w:r>
    </w:p>
    <w:p w14:paraId="48A7B6C7" w14:textId="77777777" w:rsidR="006A6B9E" w:rsidRPr="00737404" w:rsidRDefault="006A6B9E" w:rsidP="006A6B9E">
      <w:pPr>
        <w:spacing w:line="480" w:lineRule="auto"/>
        <w:jc w:val="both"/>
        <w:rPr>
          <w:rFonts w:ascii="Arial" w:hAnsi="Arial" w:cs="Arial"/>
          <w:sz w:val="22"/>
          <w:szCs w:val="22"/>
        </w:rPr>
      </w:pPr>
      <w:r w:rsidRPr="00737404">
        <w:rPr>
          <w:rFonts w:ascii="Arial" w:hAnsi="Arial" w:cs="Arial"/>
          <w:sz w:val="22"/>
          <w:szCs w:val="22"/>
        </w:rPr>
        <w:t>All analyses were conducted in Python. Python scripts are provided in the project repository.</w:t>
      </w:r>
    </w:p>
    <w:p w14:paraId="651BBA2C" w14:textId="77777777" w:rsidR="006A6B9E" w:rsidRDefault="006A6B9E" w:rsidP="006A6B9E">
      <w:pPr>
        <w:spacing w:line="480" w:lineRule="auto"/>
        <w:jc w:val="both"/>
        <w:rPr>
          <w:rFonts w:ascii="Arial" w:hAnsi="Arial" w:cs="Arial"/>
          <w:sz w:val="22"/>
          <w:szCs w:val="22"/>
        </w:rPr>
      </w:pPr>
    </w:p>
    <w:p w14:paraId="73C20791" w14:textId="77777777" w:rsidR="006A6B9E" w:rsidRPr="00737404" w:rsidRDefault="006A6B9E" w:rsidP="006A6B9E">
      <w:pPr>
        <w:spacing w:line="480" w:lineRule="auto"/>
        <w:jc w:val="both"/>
        <w:rPr>
          <w:rFonts w:ascii="Arial" w:hAnsi="Arial" w:cs="Arial"/>
          <w:b/>
          <w:bCs/>
          <w:color w:val="000000" w:themeColor="text1"/>
          <w:sz w:val="22"/>
          <w:szCs w:val="22"/>
        </w:rPr>
      </w:pPr>
      <w:r w:rsidRPr="00737404">
        <w:rPr>
          <w:rFonts w:ascii="Arial" w:hAnsi="Arial" w:cs="Arial"/>
          <w:b/>
          <w:bCs/>
          <w:color w:val="000000" w:themeColor="text1"/>
          <w:sz w:val="22"/>
          <w:szCs w:val="22"/>
        </w:rPr>
        <w:t>DNA and RNA sequencing</w:t>
      </w:r>
    </w:p>
    <w:p w14:paraId="75A940DB" w14:textId="0F3352BF" w:rsidR="006A6B9E" w:rsidRDefault="006A6B9E" w:rsidP="006A6B9E">
      <w:pPr>
        <w:spacing w:line="480" w:lineRule="auto"/>
        <w:jc w:val="both"/>
        <w:rPr>
          <w:rFonts w:ascii="Arial" w:hAnsi="Arial" w:cs="Arial"/>
          <w:sz w:val="22"/>
          <w:szCs w:val="22"/>
        </w:rPr>
      </w:pPr>
      <w:r>
        <w:rPr>
          <w:rFonts w:ascii="Arial" w:hAnsi="Arial" w:cs="Arial"/>
          <w:sz w:val="22"/>
          <w:szCs w:val="22"/>
        </w:rPr>
        <w:t>For tumor samples, w</w:t>
      </w:r>
      <w:r w:rsidRPr="00737404">
        <w:rPr>
          <w:rFonts w:ascii="Arial" w:hAnsi="Arial" w:cs="Arial"/>
          <w:sz w:val="22"/>
          <w:szCs w:val="22"/>
        </w:rPr>
        <w:t xml:space="preserve">hole exome sequencing of tumor FFPE samples was performed as </w:t>
      </w:r>
      <w:r w:rsidR="00B83544">
        <w:rPr>
          <w:rFonts w:ascii="Arial" w:hAnsi="Arial" w:cs="Arial"/>
          <w:sz w:val="22"/>
          <w:szCs w:val="22"/>
        </w:rPr>
        <w:t>follows:</w:t>
      </w:r>
      <w:r w:rsidRPr="00737404">
        <w:rPr>
          <w:rFonts w:ascii="Arial" w:hAnsi="Arial" w:cs="Arial"/>
          <w:sz w:val="22"/>
          <w:szCs w:val="22"/>
        </w:rPr>
        <w:t xml:space="preserve"> sequencing libraries were prepared using KAPA </w:t>
      </w:r>
      <w:proofErr w:type="spellStart"/>
      <w:r w:rsidRPr="00737404">
        <w:rPr>
          <w:rFonts w:ascii="Arial" w:hAnsi="Arial" w:cs="Arial"/>
          <w:sz w:val="22"/>
          <w:szCs w:val="22"/>
        </w:rPr>
        <w:t>HyperPlus</w:t>
      </w:r>
      <w:proofErr w:type="spellEnd"/>
      <w:r w:rsidRPr="00737404">
        <w:rPr>
          <w:rFonts w:ascii="Arial" w:hAnsi="Arial" w:cs="Arial"/>
          <w:sz w:val="22"/>
          <w:szCs w:val="22"/>
        </w:rPr>
        <w:t xml:space="preserve"> Kit and sequenced on </w:t>
      </w:r>
      <w:r>
        <w:rPr>
          <w:rFonts w:ascii="Arial" w:hAnsi="Arial" w:cs="Arial"/>
          <w:sz w:val="22"/>
          <w:szCs w:val="22"/>
        </w:rPr>
        <w:t xml:space="preserve">a </w:t>
      </w:r>
      <w:proofErr w:type="spellStart"/>
      <w:r w:rsidRPr="00737404">
        <w:rPr>
          <w:rFonts w:ascii="Arial" w:hAnsi="Arial" w:cs="Arial"/>
          <w:sz w:val="22"/>
          <w:szCs w:val="22"/>
        </w:rPr>
        <w:t>NovaSeq</w:t>
      </w:r>
      <w:proofErr w:type="spellEnd"/>
      <w:r>
        <w:rPr>
          <w:rFonts w:ascii="Arial" w:hAnsi="Arial" w:cs="Arial"/>
          <w:sz w:val="22"/>
          <w:szCs w:val="22"/>
        </w:rPr>
        <w:t xml:space="preserve"> 6000</w:t>
      </w:r>
      <w:r w:rsidRPr="00737404">
        <w:rPr>
          <w:rFonts w:ascii="Arial" w:hAnsi="Arial" w:cs="Arial"/>
          <w:sz w:val="22"/>
          <w:szCs w:val="22"/>
        </w:rPr>
        <w:t xml:space="preserve"> X Plus (2×150bp). </w:t>
      </w:r>
      <w:r w:rsidRPr="00737404">
        <w:rPr>
          <w:rFonts w:ascii="Arial" w:hAnsi="Arial" w:cs="Arial"/>
          <w:sz w:val="22"/>
          <w:szCs w:val="22"/>
        </w:rPr>
        <w:br/>
        <w:t xml:space="preserve">Variants were called using the </w:t>
      </w:r>
      <w:proofErr w:type="spellStart"/>
      <w:r w:rsidRPr="00737404">
        <w:rPr>
          <w:rFonts w:ascii="Arial" w:hAnsi="Arial" w:cs="Arial"/>
          <w:sz w:val="22"/>
          <w:szCs w:val="22"/>
        </w:rPr>
        <w:t>Varca</w:t>
      </w:r>
      <w:proofErr w:type="spellEnd"/>
      <w:r w:rsidRPr="00737404">
        <w:rPr>
          <w:rFonts w:ascii="Arial" w:hAnsi="Arial" w:cs="Arial"/>
          <w:sz w:val="22"/>
          <w:szCs w:val="22"/>
        </w:rPr>
        <w:t xml:space="preserve"> pipeline and filtered for quality, population frequency &lt;1% (</w:t>
      </w:r>
      <w:proofErr w:type="spellStart"/>
      <w:r w:rsidRPr="00737404">
        <w:rPr>
          <w:rFonts w:ascii="Arial" w:hAnsi="Arial" w:cs="Arial"/>
          <w:sz w:val="22"/>
          <w:szCs w:val="22"/>
        </w:rPr>
        <w:t>gnomAD</w:t>
      </w:r>
      <w:proofErr w:type="spellEnd"/>
      <w:r w:rsidRPr="00737404">
        <w:rPr>
          <w:rFonts w:ascii="Arial" w:hAnsi="Arial" w:cs="Arial"/>
          <w:sz w:val="22"/>
          <w:szCs w:val="22"/>
        </w:rPr>
        <w:t xml:space="preserve">), and functional impact (VEP). The downstream analysis of the putative somatic mutations was performed using the </w:t>
      </w:r>
      <w:proofErr w:type="spellStart"/>
      <w:r w:rsidRPr="00737404">
        <w:rPr>
          <w:rFonts w:ascii="Arial" w:hAnsi="Arial" w:cs="Arial"/>
          <w:sz w:val="22"/>
          <w:szCs w:val="22"/>
        </w:rPr>
        <w:t>maftools</w:t>
      </w:r>
      <w:proofErr w:type="spellEnd"/>
      <w:r w:rsidRPr="00737404">
        <w:rPr>
          <w:rFonts w:ascii="Arial" w:hAnsi="Arial" w:cs="Arial"/>
          <w:sz w:val="22"/>
          <w:szCs w:val="22"/>
        </w:rPr>
        <w:t xml:space="preserve"> R package (2.26.0).</w:t>
      </w:r>
    </w:p>
    <w:p w14:paraId="792A0312" w14:textId="77777777" w:rsidR="006A6B9E" w:rsidRPr="00737404" w:rsidRDefault="006A6B9E" w:rsidP="006A6B9E">
      <w:pPr>
        <w:spacing w:line="480" w:lineRule="auto"/>
        <w:jc w:val="both"/>
        <w:rPr>
          <w:rFonts w:ascii="Arial" w:hAnsi="Arial" w:cs="Arial"/>
          <w:sz w:val="22"/>
          <w:szCs w:val="22"/>
        </w:rPr>
      </w:pPr>
      <w:r w:rsidRPr="00737404">
        <w:rPr>
          <w:rFonts w:ascii="Arial" w:hAnsi="Arial" w:cs="Arial"/>
          <w:sz w:val="22"/>
          <w:szCs w:val="22"/>
        </w:rPr>
        <w:t>Transcriptomic Analysis of Peripheral Blood Mononuclear Cells</w:t>
      </w:r>
      <w:r>
        <w:rPr>
          <w:rFonts w:ascii="Arial" w:hAnsi="Arial" w:cs="Arial"/>
          <w:b/>
          <w:bCs/>
          <w:sz w:val="22"/>
          <w:szCs w:val="22"/>
        </w:rPr>
        <w:t xml:space="preserve">: </w:t>
      </w:r>
      <w:r w:rsidRPr="00737404">
        <w:rPr>
          <w:rFonts w:ascii="Arial" w:hAnsi="Arial" w:cs="Arial"/>
          <w:sz w:val="22"/>
          <w:szCs w:val="22"/>
        </w:rPr>
        <w:t xml:space="preserve">Total RNA was extracted from PBMC samples using the RNeasy® Mini Kit (QIAGEN, 74104) according to the manufacturer's instructions. Sequencing libraries were prepared from 300 ng of total RNA using the </w:t>
      </w:r>
      <w:proofErr w:type="spellStart"/>
      <w:r w:rsidRPr="00737404">
        <w:rPr>
          <w:rFonts w:ascii="Arial" w:hAnsi="Arial" w:cs="Arial"/>
          <w:sz w:val="22"/>
          <w:szCs w:val="22"/>
        </w:rPr>
        <w:t>QuantSeq</w:t>
      </w:r>
      <w:proofErr w:type="spellEnd"/>
      <w:r w:rsidRPr="00737404">
        <w:rPr>
          <w:rFonts w:ascii="Arial" w:hAnsi="Arial" w:cs="Arial"/>
          <w:sz w:val="22"/>
          <w:szCs w:val="22"/>
        </w:rPr>
        <w:t xml:space="preserve"> 3' mRNA-Seq V2 Library Prep Kit (FWD) for Illumina (</w:t>
      </w:r>
      <w:proofErr w:type="spellStart"/>
      <w:r w:rsidRPr="00737404">
        <w:rPr>
          <w:rFonts w:ascii="Arial" w:hAnsi="Arial" w:cs="Arial"/>
          <w:sz w:val="22"/>
          <w:szCs w:val="22"/>
        </w:rPr>
        <w:t>Lexogen</w:t>
      </w:r>
      <w:proofErr w:type="spellEnd"/>
      <w:r w:rsidRPr="00737404">
        <w:rPr>
          <w:rFonts w:ascii="Arial" w:hAnsi="Arial" w:cs="Arial"/>
          <w:sz w:val="22"/>
          <w:szCs w:val="22"/>
        </w:rPr>
        <w:t xml:space="preserve">, </w:t>
      </w:r>
      <w:proofErr w:type="spellStart"/>
      <w:r w:rsidRPr="00737404">
        <w:rPr>
          <w:rFonts w:ascii="Arial" w:hAnsi="Arial" w:cs="Arial"/>
          <w:sz w:val="22"/>
          <w:szCs w:val="22"/>
        </w:rPr>
        <w:t>Cat.No</w:t>
      </w:r>
      <w:proofErr w:type="spellEnd"/>
      <w:r w:rsidRPr="00737404">
        <w:rPr>
          <w:rFonts w:ascii="Arial" w:hAnsi="Arial" w:cs="Arial"/>
          <w:sz w:val="22"/>
          <w:szCs w:val="22"/>
        </w:rPr>
        <w:t xml:space="preserve">. 191). Library preparation included reverse transcription with oligo-dT </w:t>
      </w:r>
      <w:r w:rsidRPr="00737404">
        <w:rPr>
          <w:rFonts w:ascii="Arial" w:hAnsi="Arial" w:cs="Arial"/>
          <w:sz w:val="22"/>
          <w:szCs w:val="22"/>
        </w:rPr>
        <w:lastRenderedPageBreak/>
        <w:t xml:space="preserve">priming, followed by random-primed second strand synthesis, which incorporates 6-nt unique molecular identifiers (UMIs) for PCR duplicate removal during downstream analysis. Directional cDNA libraries, stranded in the sense orientation, were completed by PCR amplification with Unique Dual Index primers and sequenced in single-read format on an Illumina </w:t>
      </w:r>
      <w:proofErr w:type="spellStart"/>
      <w:r w:rsidRPr="00737404">
        <w:rPr>
          <w:rFonts w:ascii="Arial" w:hAnsi="Arial" w:cs="Arial"/>
          <w:sz w:val="22"/>
          <w:szCs w:val="22"/>
        </w:rPr>
        <w:t>NovaSeq</w:t>
      </w:r>
      <w:proofErr w:type="spellEnd"/>
      <w:r w:rsidRPr="00737404">
        <w:rPr>
          <w:rFonts w:ascii="Arial" w:hAnsi="Arial" w:cs="Arial"/>
          <w:sz w:val="22"/>
          <w:szCs w:val="22"/>
        </w:rPr>
        <w:t xml:space="preserve"> X platform using </w:t>
      </w:r>
      <w:proofErr w:type="spellStart"/>
      <w:r w:rsidRPr="00737404">
        <w:rPr>
          <w:rFonts w:ascii="Arial" w:hAnsi="Arial" w:cs="Arial"/>
          <w:sz w:val="22"/>
          <w:szCs w:val="22"/>
        </w:rPr>
        <w:t>NovaSeq</w:t>
      </w:r>
      <w:proofErr w:type="spellEnd"/>
      <w:r w:rsidRPr="00737404">
        <w:rPr>
          <w:rFonts w:ascii="Arial" w:hAnsi="Arial" w:cs="Arial"/>
          <w:sz w:val="22"/>
          <w:szCs w:val="22"/>
        </w:rPr>
        <w:t xml:space="preserve"> X Series Reagent Kits. The first 6 bases of read 1 (R1) corresponded to the UMI sequence. </w:t>
      </w:r>
      <w:proofErr w:type="spellStart"/>
      <w:r w:rsidRPr="00737404">
        <w:rPr>
          <w:rFonts w:ascii="Arial" w:hAnsi="Arial" w:cs="Arial"/>
          <w:sz w:val="22"/>
          <w:szCs w:val="22"/>
        </w:rPr>
        <w:t>Basecalling</w:t>
      </w:r>
      <w:proofErr w:type="spellEnd"/>
      <w:r w:rsidRPr="00737404">
        <w:rPr>
          <w:rFonts w:ascii="Arial" w:hAnsi="Arial" w:cs="Arial"/>
          <w:sz w:val="22"/>
          <w:szCs w:val="22"/>
        </w:rPr>
        <w:t xml:space="preserve"> and quality score assignment </w:t>
      </w:r>
      <w:proofErr w:type="gramStart"/>
      <w:r w:rsidRPr="00737404">
        <w:rPr>
          <w:rFonts w:ascii="Arial" w:hAnsi="Arial" w:cs="Arial"/>
          <w:sz w:val="22"/>
          <w:szCs w:val="22"/>
        </w:rPr>
        <w:t>were</w:t>
      </w:r>
      <w:proofErr w:type="gramEnd"/>
      <w:r w:rsidRPr="00737404">
        <w:rPr>
          <w:rFonts w:ascii="Arial" w:hAnsi="Arial" w:cs="Arial"/>
          <w:sz w:val="22"/>
          <w:szCs w:val="22"/>
        </w:rPr>
        <w:t xml:space="preserve"> performed using Illumina's Real Time Analysis software (RTA v2), and BCL files were converted to FASTQ format using bcl2fastq2 (Illumina). The reads were then aligned to the GRCh38 genome assembly using STAR (2.7.10b</w:t>
      </w:r>
      <w:proofErr w:type="gramStart"/>
      <w:r w:rsidRPr="00737404">
        <w:rPr>
          <w:rFonts w:ascii="Arial" w:hAnsi="Arial" w:cs="Arial"/>
          <w:sz w:val="22"/>
          <w:szCs w:val="22"/>
        </w:rPr>
        <w:t>)  and</w:t>
      </w:r>
      <w:proofErr w:type="gramEnd"/>
      <w:r w:rsidRPr="00737404">
        <w:rPr>
          <w:rFonts w:ascii="Arial" w:hAnsi="Arial" w:cs="Arial"/>
          <w:sz w:val="22"/>
          <w:szCs w:val="22"/>
        </w:rPr>
        <w:t xml:space="preserve"> gene-level quantification was performed using </w:t>
      </w:r>
      <w:proofErr w:type="spellStart"/>
      <w:r w:rsidRPr="00737404">
        <w:rPr>
          <w:rFonts w:ascii="Arial" w:hAnsi="Arial" w:cs="Arial"/>
          <w:sz w:val="22"/>
          <w:szCs w:val="22"/>
        </w:rPr>
        <w:t>featureCounts</w:t>
      </w:r>
      <w:proofErr w:type="spellEnd"/>
      <w:r w:rsidRPr="00737404">
        <w:rPr>
          <w:rFonts w:ascii="Arial" w:hAnsi="Arial" w:cs="Arial"/>
          <w:sz w:val="22"/>
          <w:szCs w:val="22"/>
        </w:rPr>
        <w:t xml:space="preserve"> from the Subread package (v2.0.3). Differential gene expression analysis was conducted using pyDESeq2 (0.4.0). Genes were ranked by the Wald statistic produced by pyDESeq2 and used for pre-ranked gene set enrichment analysis with the </w:t>
      </w:r>
      <w:proofErr w:type="spellStart"/>
      <w:r w:rsidRPr="00737404">
        <w:rPr>
          <w:rFonts w:ascii="Arial" w:hAnsi="Arial" w:cs="Arial"/>
          <w:sz w:val="22"/>
          <w:szCs w:val="22"/>
        </w:rPr>
        <w:t>gseapy</w:t>
      </w:r>
      <w:proofErr w:type="spellEnd"/>
      <w:r w:rsidRPr="00737404">
        <w:rPr>
          <w:rFonts w:ascii="Arial" w:hAnsi="Arial" w:cs="Arial"/>
          <w:sz w:val="22"/>
          <w:szCs w:val="22"/>
        </w:rPr>
        <w:t xml:space="preserve"> Python library (1.1.4).</w:t>
      </w:r>
    </w:p>
    <w:p w14:paraId="5BC4D0EF" w14:textId="77777777" w:rsidR="006A6B9E" w:rsidRPr="00737404" w:rsidRDefault="006A6B9E" w:rsidP="006A6B9E">
      <w:pPr>
        <w:spacing w:line="480" w:lineRule="auto"/>
        <w:jc w:val="both"/>
        <w:rPr>
          <w:rFonts w:ascii="Arial" w:hAnsi="Arial" w:cs="Arial"/>
          <w:sz w:val="22"/>
          <w:szCs w:val="22"/>
        </w:rPr>
      </w:pPr>
    </w:p>
    <w:p w14:paraId="3DC690D5" w14:textId="77777777" w:rsidR="006A6B9E" w:rsidRPr="00BD688E" w:rsidRDefault="006A6B9E" w:rsidP="006A6B9E">
      <w:pPr>
        <w:spacing w:line="480" w:lineRule="auto"/>
        <w:jc w:val="both"/>
        <w:rPr>
          <w:rFonts w:ascii="Arial" w:hAnsi="Arial" w:cs="Arial"/>
          <w:sz w:val="22"/>
          <w:szCs w:val="22"/>
        </w:rPr>
      </w:pPr>
    </w:p>
    <w:p w14:paraId="7ABB3033" w14:textId="77777777" w:rsidR="006A6B9E" w:rsidRPr="0090008F" w:rsidRDefault="006A6B9E" w:rsidP="006A6B9E">
      <w:pPr>
        <w:spacing w:line="480" w:lineRule="auto"/>
        <w:rPr>
          <w:sz w:val="22"/>
          <w:szCs w:val="22"/>
          <w:lang w:val="es-ES"/>
        </w:rPr>
      </w:pPr>
    </w:p>
    <w:p w14:paraId="6309E914" w14:textId="77777777" w:rsidR="006A6B9E" w:rsidRDefault="006A6B9E" w:rsidP="00086A1D">
      <w:pPr>
        <w:spacing w:line="480" w:lineRule="auto"/>
        <w:jc w:val="both"/>
        <w:rPr>
          <w:rFonts w:ascii="Arial" w:hAnsi="Arial" w:cs="Arial"/>
          <w:sz w:val="22"/>
          <w:szCs w:val="22"/>
        </w:rPr>
      </w:pPr>
    </w:p>
    <w:p w14:paraId="1BD5D16D" w14:textId="77777777" w:rsidR="00086A1D" w:rsidRPr="00086A1D" w:rsidRDefault="00086A1D" w:rsidP="00086A1D">
      <w:pPr>
        <w:spacing w:line="480" w:lineRule="auto"/>
        <w:jc w:val="both"/>
        <w:rPr>
          <w:rFonts w:ascii="Arial" w:hAnsi="Arial" w:cs="Arial"/>
          <w:sz w:val="22"/>
          <w:szCs w:val="22"/>
        </w:rPr>
      </w:pPr>
    </w:p>
    <w:p w14:paraId="5AC8986D" w14:textId="3569413B" w:rsidR="00086A1D" w:rsidRPr="00086A1D" w:rsidRDefault="00086A1D" w:rsidP="00086A1D">
      <w:pPr>
        <w:spacing w:line="480" w:lineRule="auto"/>
        <w:jc w:val="both"/>
        <w:rPr>
          <w:rFonts w:ascii="Arial" w:hAnsi="Arial" w:cs="Arial"/>
          <w:sz w:val="22"/>
          <w:szCs w:val="22"/>
        </w:rPr>
      </w:pPr>
    </w:p>
    <w:p w14:paraId="2FDA8505" w14:textId="5C8C7260" w:rsidR="00086A1D" w:rsidRPr="00595D60" w:rsidRDefault="00086A1D" w:rsidP="00595D60">
      <w:pPr>
        <w:spacing w:line="480" w:lineRule="auto"/>
        <w:jc w:val="both"/>
        <w:rPr>
          <w:rFonts w:ascii="Arial" w:hAnsi="Arial" w:cs="Arial"/>
          <w:sz w:val="22"/>
          <w:szCs w:val="22"/>
        </w:rPr>
      </w:pPr>
    </w:p>
    <w:sectPr w:rsidR="00086A1D" w:rsidRPr="00595D60" w:rsidSect="00DC2366">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C0"/>
    <w:rsid w:val="00003D9F"/>
    <w:rsid w:val="00006B09"/>
    <w:rsid w:val="000151AF"/>
    <w:rsid w:val="00026359"/>
    <w:rsid w:val="0003138F"/>
    <w:rsid w:val="00036355"/>
    <w:rsid w:val="00061592"/>
    <w:rsid w:val="000708FF"/>
    <w:rsid w:val="00077BC6"/>
    <w:rsid w:val="00084101"/>
    <w:rsid w:val="00086A1D"/>
    <w:rsid w:val="00095259"/>
    <w:rsid w:val="000A7342"/>
    <w:rsid w:val="000B3536"/>
    <w:rsid w:val="000C1242"/>
    <w:rsid w:val="000F21D4"/>
    <w:rsid w:val="00100178"/>
    <w:rsid w:val="00107CC4"/>
    <w:rsid w:val="00122EA8"/>
    <w:rsid w:val="001550BA"/>
    <w:rsid w:val="0018336C"/>
    <w:rsid w:val="00196CC4"/>
    <w:rsid w:val="001B1DA7"/>
    <w:rsid w:val="001B4129"/>
    <w:rsid w:val="001C56B1"/>
    <w:rsid w:val="001E337C"/>
    <w:rsid w:val="001E4731"/>
    <w:rsid w:val="001E6F4D"/>
    <w:rsid w:val="001F21F4"/>
    <w:rsid w:val="001F7D57"/>
    <w:rsid w:val="002170E4"/>
    <w:rsid w:val="00221A69"/>
    <w:rsid w:val="002272EA"/>
    <w:rsid w:val="00242C66"/>
    <w:rsid w:val="00255671"/>
    <w:rsid w:val="00263C77"/>
    <w:rsid w:val="00263D98"/>
    <w:rsid w:val="00264A82"/>
    <w:rsid w:val="002834BF"/>
    <w:rsid w:val="00297F24"/>
    <w:rsid w:val="002B0DE6"/>
    <w:rsid w:val="002B4F35"/>
    <w:rsid w:val="002D0253"/>
    <w:rsid w:val="002E492A"/>
    <w:rsid w:val="002F40F6"/>
    <w:rsid w:val="00300F9A"/>
    <w:rsid w:val="00304C80"/>
    <w:rsid w:val="0032608B"/>
    <w:rsid w:val="0033286E"/>
    <w:rsid w:val="00352395"/>
    <w:rsid w:val="00355937"/>
    <w:rsid w:val="0036403D"/>
    <w:rsid w:val="00373C8A"/>
    <w:rsid w:val="003775A7"/>
    <w:rsid w:val="003A12BE"/>
    <w:rsid w:val="003B3FC1"/>
    <w:rsid w:val="003B592F"/>
    <w:rsid w:val="003E2FE2"/>
    <w:rsid w:val="003E427E"/>
    <w:rsid w:val="003F252F"/>
    <w:rsid w:val="00401BF3"/>
    <w:rsid w:val="00430548"/>
    <w:rsid w:val="00452702"/>
    <w:rsid w:val="00465DFE"/>
    <w:rsid w:val="00493BC5"/>
    <w:rsid w:val="004D0FA1"/>
    <w:rsid w:val="004D2DC1"/>
    <w:rsid w:val="004D3525"/>
    <w:rsid w:val="004E47A4"/>
    <w:rsid w:val="004F6E03"/>
    <w:rsid w:val="0053142C"/>
    <w:rsid w:val="005346BD"/>
    <w:rsid w:val="0054793B"/>
    <w:rsid w:val="005533DB"/>
    <w:rsid w:val="00553F19"/>
    <w:rsid w:val="00555F93"/>
    <w:rsid w:val="00562023"/>
    <w:rsid w:val="0056240A"/>
    <w:rsid w:val="00562832"/>
    <w:rsid w:val="00573214"/>
    <w:rsid w:val="0058298C"/>
    <w:rsid w:val="00595D60"/>
    <w:rsid w:val="005B075B"/>
    <w:rsid w:val="005B12BD"/>
    <w:rsid w:val="005E4269"/>
    <w:rsid w:val="00624081"/>
    <w:rsid w:val="00636DB5"/>
    <w:rsid w:val="006542C3"/>
    <w:rsid w:val="00691A1A"/>
    <w:rsid w:val="006A5CDA"/>
    <w:rsid w:val="006A6B9E"/>
    <w:rsid w:val="006C4359"/>
    <w:rsid w:val="006E14DF"/>
    <w:rsid w:val="006E34C6"/>
    <w:rsid w:val="006F3AC9"/>
    <w:rsid w:val="007056D5"/>
    <w:rsid w:val="00706526"/>
    <w:rsid w:val="007113F4"/>
    <w:rsid w:val="00715ACD"/>
    <w:rsid w:val="007221A3"/>
    <w:rsid w:val="00724057"/>
    <w:rsid w:val="007507DE"/>
    <w:rsid w:val="007518BA"/>
    <w:rsid w:val="00762117"/>
    <w:rsid w:val="00772AC3"/>
    <w:rsid w:val="00787776"/>
    <w:rsid w:val="00792357"/>
    <w:rsid w:val="0079272C"/>
    <w:rsid w:val="00793709"/>
    <w:rsid w:val="007A196D"/>
    <w:rsid w:val="007A3B07"/>
    <w:rsid w:val="007A3C01"/>
    <w:rsid w:val="007B3557"/>
    <w:rsid w:val="007C01B2"/>
    <w:rsid w:val="007C4051"/>
    <w:rsid w:val="007D4FF7"/>
    <w:rsid w:val="0080280E"/>
    <w:rsid w:val="00806B5C"/>
    <w:rsid w:val="00844736"/>
    <w:rsid w:val="00845EBE"/>
    <w:rsid w:val="008506DB"/>
    <w:rsid w:val="00857426"/>
    <w:rsid w:val="00862365"/>
    <w:rsid w:val="00867FE0"/>
    <w:rsid w:val="00870EE8"/>
    <w:rsid w:val="0087107E"/>
    <w:rsid w:val="00881D1E"/>
    <w:rsid w:val="00894355"/>
    <w:rsid w:val="008B16ED"/>
    <w:rsid w:val="008B6BBC"/>
    <w:rsid w:val="008E1DB6"/>
    <w:rsid w:val="0090261E"/>
    <w:rsid w:val="00910630"/>
    <w:rsid w:val="009409B2"/>
    <w:rsid w:val="009521FD"/>
    <w:rsid w:val="00952A53"/>
    <w:rsid w:val="009538A3"/>
    <w:rsid w:val="009802C2"/>
    <w:rsid w:val="009877A3"/>
    <w:rsid w:val="009A29DF"/>
    <w:rsid w:val="009B38C0"/>
    <w:rsid w:val="009C3AAE"/>
    <w:rsid w:val="009C3D41"/>
    <w:rsid w:val="009C4316"/>
    <w:rsid w:val="009C7376"/>
    <w:rsid w:val="009F4E61"/>
    <w:rsid w:val="009F69EC"/>
    <w:rsid w:val="00A046A6"/>
    <w:rsid w:val="00A07190"/>
    <w:rsid w:val="00A32677"/>
    <w:rsid w:val="00A57C12"/>
    <w:rsid w:val="00A607BE"/>
    <w:rsid w:val="00A66CB5"/>
    <w:rsid w:val="00A90979"/>
    <w:rsid w:val="00AB146B"/>
    <w:rsid w:val="00AB1F29"/>
    <w:rsid w:val="00AC6F9B"/>
    <w:rsid w:val="00AD4A42"/>
    <w:rsid w:val="00AE3BAC"/>
    <w:rsid w:val="00B0441F"/>
    <w:rsid w:val="00B15D94"/>
    <w:rsid w:val="00B50F16"/>
    <w:rsid w:val="00B5385D"/>
    <w:rsid w:val="00B53D28"/>
    <w:rsid w:val="00B63573"/>
    <w:rsid w:val="00B7739B"/>
    <w:rsid w:val="00B83544"/>
    <w:rsid w:val="00B86A51"/>
    <w:rsid w:val="00BA7808"/>
    <w:rsid w:val="00BC5600"/>
    <w:rsid w:val="00BC5F37"/>
    <w:rsid w:val="00BE3E8E"/>
    <w:rsid w:val="00BE5022"/>
    <w:rsid w:val="00BF52CF"/>
    <w:rsid w:val="00C60D98"/>
    <w:rsid w:val="00C61A7A"/>
    <w:rsid w:val="00C67781"/>
    <w:rsid w:val="00C919F7"/>
    <w:rsid w:val="00C92A97"/>
    <w:rsid w:val="00C92D76"/>
    <w:rsid w:val="00C978CD"/>
    <w:rsid w:val="00CA18F9"/>
    <w:rsid w:val="00CC154D"/>
    <w:rsid w:val="00CC2313"/>
    <w:rsid w:val="00CC2CBD"/>
    <w:rsid w:val="00CE2447"/>
    <w:rsid w:val="00CE7931"/>
    <w:rsid w:val="00CF63B4"/>
    <w:rsid w:val="00D022BF"/>
    <w:rsid w:val="00D06BD9"/>
    <w:rsid w:val="00D15B32"/>
    <w:rsid w:val="00D246AB"/>
    <w:rsid w:val="00D27CBA"/>
    <w:rsid w:val="00D3210C"/>
    <w:rsid w:val="00D52A8C"/>
    <w:rsid w:val="00D901C1"/>
    <w:rsid w:val="00D903F8"/>
    <w:rsid w:val="00DA287B"/>
    <w:rsid w:val="00DA45BE"/>
    <w:rsid w:val="00DB24C0"/>
    <w:rsid w:val="00DB3310"/>
    <w:rsid w:val="00DC2366"/>
    <w:rsid w:val="00DD40AF"/>
    <w:rsid w:val="00DE6D83"/>
    <w:rsid w:val="00DF30A3"/>
    <w:rsid w:val="00E17120"/>
    <w:rsid w:val="00E21F6F"/>
    <w:rsid w:val="00E22BA1"/>
    <w:rsid w:val="00E23735"/>
    <w:rsid w:val="00E42650"/>
    <w:rsid w:val="00E55D7A"/>
    <w:rsid w:val="00E80100"/>
    <w:rsid w:val="00E82D67"/>
    <w:rsid w:val="00E86059"/>
    <w:rsid w:val="00EB401F"/>
    <w:rsid w:val="00EB581E"/>
    <w:rsid w:val="00EE3D13"/>
    <w:rsid w:val="00EE4E35"/>
    <w:rsid w:val="00EF08D2"/>
    <w:rsid w:val="00EF0C21"/>
    <w:rsid w:val="00F107C3"/>
    <w:rsid w:val="00F156AE"/>
    <w:rsid w:val="00F45BE6"/>
    <w:rsid w:val="00F52DD9"/>
    <w:rsid w:val="00F61D8C"/>
    <w:rsid w:val="00F70680"/>
    <w:rsid w:val="00F746A1"/>
    <w:rsid w:val="00FE01AC"/>
    <w:rsid w:val="00FF1F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1CB1A15"/>
  <w15:chartTrackingRefBased/>
  <w15:docId w15:val="{7CCAC9F7-215F-CC4F-9CB8-D03D9229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DB2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2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24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24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24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24C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24C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24C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24C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24C0"/>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DB24C0"/>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DB24C0"/>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DB24C0"/>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DB24C0"/>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DB24C0"/>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DB24C0"/>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DB24C0"/>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DB24C0"/>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DB24C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24C0"/>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DB24C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24C0"/>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DB24C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B24C0"/>
    <w:rPr>
      <w:i/>
      <w:iCs/>
      <w:color w:val="404040" w:themeColor="text1" w:themeTint="BF"/>
      <w:lang w:val="en-US"/>
    </w:rPr>
  </w:style>
  <w:style w:type="paragraph" w:styleId="Prrafodelista">
    <w:name w:val="List Paragraph"/>
    <w:basedOn w:val="Normal"/>
    <w:uiPriority w:val="34"/>
    <w:qFormat/>
    <w:rsid w:val="00DB24C0"/>
    <w:pPr>
      <w:ind w:left="720"/>
      <w:contextualSpacing/>
    </w:pPr>
  </w:style>
  <w:style w:type="character" w:styleId="nfasisintenso">
    <w:name w:val="Intense Emphasis"/>
    <w:basedOn w:val="Fuentedeprrafopredeter"/>
    <w:uiPriority w:val="21"/>
    <w:qFormat/>
    <w:rsid w:val="00DB24C0"/>
    <w:rPr>
      <w:i/>
      <w:iCs/>
      <w:color w:val="0F4761" w:themeColor="accent1" w:themeShade="BF"/>
    </w:rPr>
  </w:style>
  <w:style w:type="paragraph" w:styleId="Citadestacada">
    <w:name w:val="Intense Quote"/>
    <w:basedOn w:val="Normal"/>
    <w:next w:val="Normal"/>
    <w:link w:val="CitadestacadaCar"/>
    <w:uiPriority w:val="30"/>
    <w:qFormat/>
    <w:rsid w:val="00DB2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24C0"/>
    <w:rPr>
      <w:i/>
      <w:iCs/>
      <w:color w:val="0F4761" w:themeColor="accent1" w:themeShade="BF"/>
      <w:lang w:val="en-US"/>
    </w:rPr>
  </w:style>
  <w:style w:type="character" w:styleId="Referenciaintensa">
    <w:name w:val="Intense Reference"/>
    <w:basedOn w:val="Fuentedeprrafopredeter"/>
    <w:uiPriority w:val="32"/>
    <w:qFormat/>
    <w:rsid w:val="00DB24C0"/>
    <w:rPr>
      <w:b/>
      <w:bCs/>
      <w:smallCaps/>
      <w:color w:val="0F4761" w:themeColor="accent1" w:themeShade="BF"/>
      <w:spacing w:val="5"/>
    </w:rPr>
  </w:style>
  <w:style w:type="paragraph" w:styleId="NormalWeb">
    <w:name w:val="Normal (Web)"/>
    <w:basedOn w:val="Normal"/>
    <w:uiPriority w:val="99"/>
    <w:semiHidden/>
    <w:unhideWhenUsed/>
    <w:rsid w:val="00086A1D"/>
    <w:rPr>
      <w:rFonts w:ascii="Times New Roman" w:hAnsi="Times New Roman" w:cs="Times New Roman"/>
    </w:rPr>
  </w:style>
  <w:style w:type="character" w:customStyle="1" w:styleId="katex-mathml">
    <w:name w:val="katex-mathml"/>
    <w:basedOn w:val="Fuentedeprrafopredeter"/>
    <w:rsid w:val="006A6B9E"/>
  </w:style>
  <w:style w:type="character" w:customStyle="1" w:styleId="mord">
    <w:name w:val="mord"/>
    <w:basedOn w:val="Fuentedeprrafopredeter"/>
    <w:rsid w:val="006A6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329296">
      <w:bodyDiv w:val="1"/>
      <w:marLeft w:val="0"/>
      <w:marRight w:val="0"/>
      <w:marTop w:val="0"/>
      <w:marBottom w:val="0"/>
      <w:divBdr>
        <w:top w:val="none" w:sz="0" w:space="0" w:color="auto"/>
        <w:left w:val="none" w:sz="0" w:space="0" w:color="auto"/>
        <w:bottom w:val="none" w:sz="0" w:space="0" w:color="auto"/>
        <w:right w:val="none" w:sz="0" w:space="0" w:color="auto"/>
      </w:divBdr>
    </w:div>
    <w:div w:id="1768235876">
      <w:bodyDiv w:val="1"/>
      <w:marLeft w:val="0"/>
      <w:marRight w:val="0"/>
      <w:marTop w:val="0"/>
      <w:marBottom w:val="0"/>
      <w:divBdr>
        <w:top w:val="none" w:sz="0" w:space="0" w:color="auto"/>
        <w:left w:val="none" w:sz="0" w:space="0" w:color="auto"/>
        <w:bottom w:val="none" w:sz="0" w:space="0" w:color="auto"/>
        <w:right w:val="none" w:sz="0" w:space="0" w:color="auto"/>
      </w:divBdr>
    </w:div>
    <w:div w:id="1782335950">
      <w:bodyDiv w:val="1"/>
      <w:marLeft w:val="0"/>
      <w:marRight w:val="0"/>
      <w:marTop w:val="0"/>
      <w:marBottom w:val="0"/>
      <w:divBdr>
        <w:top w:val="none" w:sz="0" w:space="0" w:color="auto"/>
        <w:left w:val="none" w:sz="0" w:space="0" w:color="auto"/>
        <w:bottom w:val="none" w:sz="0" w:space="0" w:color="auto"/>
        <w:right w:val="none" w:sz="0" w:space="0" w:color="auto"/>
      </w:divBdr>
    </w:div>
    <w:div w:id="180874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3823</Words>
  <Characters>21644</Characters>
  <Application>Microsoft Office Word</Application>
  <DocSecurity>0</DocSecurity>
  <Lines>408</Lines>
  <Paragraphs>454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Quintela.Miguel_Angel</dc:creator>
  <cp:keywords/>
  <dc:description/>
  <cp:lastModifiedBy>Quintela.Miguel_Angel</cp:lastModifiedBy>
  <cp:revision>3</cp:revision>
  <dcterms:created xsi:type="dcterms:W3CDTF">2026-02-26T16:18:00Z</dcterms:created>
  <dcterms:modified xsi:type="dcterms:W3CDTF">2026-02-26T16:24:00Z</dcterms:modified>
</cp:coreProperties>
</file>