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B5" w:rsidRDefault="00B812B5"/>
    <w:p w:rsidR="009D3313" w:rsidRDefault="009D3313" w:rsidP="00BA237F">
      <w:pPr>
        <w:pStyle w:val="1"/>
        <w:jc w:val="center"/>
      </w:pPr>
      <w:r>
        <w:rPr>
          <w:rFonts w:hint="eastAsia"/>
        </w:rPr>
        <w:t>Disney</w:t>
      </w:r>
      <w:r>
        <w:t xml:space="preserve"> </w:t>
      </w:r>
      <w:proofErr w:type="spellStart"/>
      <w:r>
        <w:rPr>
          <w:rFonts w:hint="eastAsia"/>
        </w:rPr>
        <w:t>pbr</w:t>
      </w:r>
      <w:proofErr w:type="spellEnd"/>
      <w:r>
        <w:t xml:space="preserve"> </w:t>
      </w:r>
      <w:r>
        <w:rPr>
          <w:rFonts w:hint="eastAsia"/>
        </w:rPr>
        <w:t>简介</w:t>
      </w:r>
    </w:p>
    <w:p w:rsidR="00DD7F38" w:rsidRDefault="00DD7F38"/>
    <w:p w:rsidR="00DD7F38" w:rsidRDefault="006D34D4">
      <w:pPr>
        <w:rPr>
          <w:rStyle w:val="a3"/>
        </w:rPr>
      </w:pPr>
      <w:hyperlink r:id="rId4" w:history="1">
        <w:r w:rsidR="00DD7F38" w:rsidRPr="005525E0">
          <w:rPr>
            <w:rStyle w:val="a3"/>
          </w:rPr>
          <w:t>https://blog.uwa4d.com/archives/Study_Shading-Disney.html</w:t>
        </w:r>
      </w:hyperlink>
    </w:p>
    <w:p w:rsidR="00B23D4E" w:rsidRDefault="00B23D4E">
      <w:pPr>
        <w:rPr>
          <w:rStyle w:val="a3"/>
        </w:rPr>
      </w:pPr>
    </w:p>
    <w:p w:rsidR="00B23D4E" w:rsidRDefault="006D34D4">
      <w:hyperlink r:id="rId5" w:history="1">
        <w:r w:rsidR="00B23D4E" w:rsidRPr="008C3B42">
          <w:rPr>
            <w:rStyle w:val="a3"/>
          </w:rPr>
          <w:t>http://blog.csdn.net/jxw167/article/details/63710248</w:t>
        </w:r>
      </w:hyperlink>
    </w:p>
    <w:p w:rsidR="00B23D4E" w:rsidRDefault="00B23D4E"/>
    <w:p w:rsidR="00B829D9" w:rsidRDefault="00B829D9">
      <w:r>
        <w:rPr>
          <w:rFonts w:hint="eastAsia"/>
        </w:rPr>
        <w:t>算法模型</w:t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>文章作者基于上述的5个原则以及对真实测量数据的观察结果，对传统的微表面材质模型中的各项函数进行修改。接下来我们首先介绍传统的微表面模型的通用表达式，然后对其中的每一项函数进行说明，并介绍在文章中采用的各项函数的表达式。</w:t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>文章中的模型采用了微表面模型的通用形式，该通用形式最早出现在Cook-Torrance模型中：</w:t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/>
          <w:noProof/>
          <w:color w:val="626773"/>
        </w:rPr>
        <w:drawing>
          <wp:inline distT="0" distB="0" distL="0" distR="0">
            <wp:extent cx="5373190" cy="1046073"/>
            <wp:effectExtent l="0" t="0" r="0" b="1905"/>
            <wp:docPr id="5" name="图片 5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请输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87" cy="10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>其中，向量 l 和 v 分别表示入射光和视线方向，向量 h 表示 l 和 v 之间的中间向量，它们与法线方向的夹角分别用对应下标的 θ 表示， θd 表示 l 和 v 之间夹角的一半。diffuse 表示漫反射函数，D 表示微表面分布函数，F 表示菲涅尔系数， G 表示阴影系数。文章中模型的 diffuse 函数是：</w:t>
      </w:r>
      <w:r>
        <w:rPr>
          <w:rFonts w:ascii="微软雅黑" w:eastAsia="微软雅黑" w:hAnsi="微软雅黑" w:hint="eastAsia"/>
          <w:color w:val="626773"/>
        </w:rPr>
        <w:br/>
      </w:r>
      <w:r>
        <w:rPr>
          <w:rFonts w:ascii="微软雅黑" w:eastAsia="微软雅黑" w:hAnsi="微软雅黑"/>
          <w:noProof/>
          <w:color w:val="626773"/>
        </w:rPr>
        <w:lastRenderedPageBreak/>
        <w:drawing>
          <wp:inline distT="0" distB="0" distL="0" distR="0">
            <wp:extent cx="6115228" cy="760730"/>
            <wp:effectExtent l="0" t="0" r="0" b="1270"/>
            <wp:docPr id="4" name="图片 4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请输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02" cy="7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626773"/>
        </w:rPr>
        <w:br/>
      </w:r>
      <w:r>
        <w:rPr>
          <w:rFonts w:ascii="微软雅黑" w:eastAsia="微软雅黑" w:hAnsi="微软雅黑"/>
          <w:noProof/>
          <w:color w:val="626773"/>
        </w:rPr>
        <w:drawing>
          <wp:inline distT="0" distB="0" distL="0" distR="0">
            <wp:extent cx="5617438" cy="482575"/>
            <wp:effectExtent l="0" t="0" r="2540" b="0"/>
            <wp:docPr id="3" name="图片 3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请输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76" cy="51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>其中，roughness 表示粗糙度。对于微表面分布函数 D，目前最好的分布函数是著名的 GGX 函数。但是，文章作者采用了比 GGX 更为通用的形式 GTR （Generalized-Trowbridge-Reitz）：</w:t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/>
          <w:noProof/>
          <w:color w:val="626773"/>
        </w:rPr>
        <w:drawing>
          <wp:inline distT="0" distB="0" distL="0" distR="0">
            <wp:extent cx="5720207" cy="534035"/>
            <wp:effectExtent l="0" t="0" r="0" b="0"/>
            <wp:docPr id="2" name="图片 2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请输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03" cy="53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 xml:space="preserve">它与 GGX 的区别在于， GGX 为上式中 γ= 2 时的结果。文章作者采用了两个不同的 GTR 函数来拟合高光项，分别采用 γ= 1 和 γ= 2 。α 的取值为 roughness 的平方，c 为一个常数用于调节整体缩放。对于菲涅尔项 F，文章采用了 </w:t>
      </w:r>
      <w:proofErr w:type="spellStart"/>
      <w:r>
        <w:rPr>
          <w:rFonts w:ascii="微软雅黑" w:eastAsia="微软雅黑" w:hAnsi="微软雅黑" w:hint="eastAsia"/>
          <w:color w:val="626773"/>
        </w:rPr>
        <w:t>Schlick</w:t>
      </w:r>
      <w:proofErr w:type="spellEnd"/>
      <w:r>
        <w:rPr>
          <w:rFonts w:ascii="微软雅黑" w:eastAsia="微软雅黑" w:hAnsi="微软雅黑" w:hint="eastAsia"/>
          <w:color w:val="626773"/>
        </w:rPr>
        <w:t xml:space="preserve"> 的公式：</w:t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/>
          <w:noProof/>
          <w:color w:val="626773"/>
        </w:rPr>
        <w:drawing>
          <wp:inline distT="0" distB="0" distL="0" distR="0">
            <wp:extent cx="5771413" cy="438785"/>
            <wp:effectExtent l="0" t="0" r="1270" b="0"/>
            <wp:docPr id="1" name="图片 1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请输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59" cy="44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>其中， F0 为一个常量，其值取决于材质的透射系数。对于阴影系数 G ，文章作者采用了 Walter 在其论文中根据 GGX 推导的 G 公式，并将公式中的 roughness 从 [0, 1] 缩放到[0.5, 1] 范围。做这个缩放的原因是，根据与实际测量的数据对比以及美术设计者的反馈，高光在 roughness 值较小时显得过于亮。虽然这个缩放的过程使得模型不再物理准确，但是它符合了美术设计者的需求，这也正是这篇文章最主要的设计原则。</w:t>
      </w:r>
    </w:p>
    <w:p w:rsidR="00B829D9" w:rsidRDefault="00B829D9"/>
    <w:p w:rsidR="006D34D4" w:rsidRPr="006D34D4" w:rsidRDefault="006D34D4">
      <w:pPr>
        <w:rPr>
          <w:rFonts w:hint="eastAsia"/>
        </w:rPr>
      </w:pPr>
      <w:bookmarkStart w:id="0" w:name="_GoBack"/>
      <w:bookmarkEnd w:id="0"/>
    </w:p>
    <w:sectPr w:rsidR="006D34D4" w:rsidRPr="006D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B8"/>
    <w:rsid w:val="006D34D4"/>
    <w:rsid w:val="008374B8"/>
    <w:rsid w:val="009D3313"/>
    <w:rsid w:val="00B23D4E"/>
    <w:rsid w:val="00B812B5"/>
    <w:rsid w:val="00B829D9"/>
    <w:rsid w:val="00BA237F"/>
    <w:rsid w:val="00D5671C"/>
    <w:rsid w:val="00D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F3DF"/>
  <w15:chartTrackingRefBased/>
  <w15:docId w15:val="{784FAF0B-A10E-485E-9AD4-C7AEB6EB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F3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56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A23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log.csdn.net/jxw167/article/details/63710248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blog.uwa4d.com/archives/Study_Shading-Disney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铁树开花</dc:creator>
  <cp:keywords/>
  <dc:description/>
  <cp:lastModifiedBy>铁树开花</cp:lastModifiedBy>
  <cp:revision>8</cp:revision>
  <dcterms:created xsi:type="dcterms:W3CDTF">2017-07-08T01:35:00Z</dcterms:created>
  <dcterms:modified xsi:type="dcterms:W3CDTF">2017-07-10T14:04:00Z</dcterms:modified>
</cp:coreProperties>
</file>