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085D0"/>
          <w:sz w:val="48"/>
        </w:rPr>
        <w:t>中国移动运维智能助手</w:t>
        <w:br/>
        <w:t>产品介绍文档</w:t>
      </w:r>
    </w:p>
    <w:p>
      <w:pPr>
        <w:jc w:val="center"/>
      </w:pPr>
      <w:r>
        <w:rPr>
          <w:rFonts w:ascii="微软雅黑" w:hAnsi="微软雅黑" w:eastAsia="微软雅黑"/>
          <w:sz w:val="24"/>
        </w:rPr>
        <w:t>版本：V1.0</w:t>
        <w:br/>
        <w:t>面向对象：一线运维人员、二线支撑专家、运维管理者</w:t>
        <w:br/>
        <w:t>编制日期：2026-03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【图片占位】封面视觉图（建议类型：场景图）</w:t>
        <w:br/>
        <w:t>建议内容：建议使用“运维值班+智能助手界面”合成图，突出中国移动品牌蓝色视觉。</w:t>
      </w:r>
    </w:p>
    <w:p>
      <w:r>
        <w:br w:type="page"/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1. 智能助手的功能定位与价值主张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中国移动运维智能助手是一款面向内网场景的“知识型智能问答工具”。它通过整合运维制度、故障手册、操作规程和历史问答，帮助一线人员在高压场景下快速找到标准答案，减少“翻文档、问同事、等专家”的时间成本。</w:t>
      </w:r>
    </w:p>
    <w:p>
      <w:pPr>
        <w:spacing w:lineRule="auto" w:line="360" w:after="160"/>
      </w:pPr>
      <w:r>
        <w:rPr>
          <w:rFonts w:ascii="微软雅黑" w:hAnsi="微软雅黑" w:eastAsia="微软雅黑"/>
          <w:b/>
          <w:sz w:val="22"/>
        </w:rPr>
        <w:t>价值主张可以概括为“快、准、可追溯、可管控”：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快：秒级返回处置建议，缩短故障定位与响应时间。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准：基于知识库检索与上下文理解，降低经验依赖。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可追溯：回答附带来源文档，便于核验与审计。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可管控：按角色分权与审批机制，确保知识质量和使用边界。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【图片占位】价值主张总览（建议类型：流程图）</w:t>
        <w:br/>
        <w:t>建议内容：建议使用“问题输入→检索→生成→溯源→闭环学习”的一页流程图。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2. 核心功能模块介绍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2.1 智能问答中心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支持文本提问与图片提问（如告警截图、系统报错截图）。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支持图片裁剪后上传，聚焦关键信息区域，减少无关干扰。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回答附带文档来源，便于快速核查与复盘。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【图片占位】智能问答主界面（建议类型：界面截图）</w:t>
        <w:br/>
        <w:t>建议内容：建议包含“输入区、回答区、来源引用区、图片上传区”。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2.2 知识文档中心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支持 PDF、Word、Excel、TXT、Markdown 等多格式文档接入。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支持文档在线预览与检索，提升知识复用效率。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支持热度统计，识别高频使用知识并优化运营重点。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【图片占位】知识文档中心（建议类型：界面截图）</w:t>
        <w:br/>
        <w:t>建议内容：建议展示“文档列表、筛选、预览、下载排行”。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2.3 知识共建与审批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自动沉淀“未知问题”，支持人工补全答案。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支持 AI 润色，提升知识表述规范性和可读性。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普通用户提交内容进入审批流，管理员审核后入库。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【图片占位】审批中心与知识补全（建议类型：界面截图）</w:t>
        <w:br/>
        <w:t>建议内容：建议展示“待审批列表、审批动作、入库结果”。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2.4 数据看板与运营管理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按角色展示提问量、待处理问题、学习沉淀等核心指标。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支持全局日志查看，便于运营优化和安全审计。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【图片占位】运营看板（建议类型：图表截图）</w:t>
        <w:br/>
        <w:t>建议内容：建议展示“日/月提问趋势、未知问题分布、知识贡献排行”。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3. 技术特色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内网可落地：支持离线部署与单文件交付，适配移动内网环境。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检索增强生成：先检索后生成，减少无依据回答。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多模态能力：文本+图片联合理解，适用于故障截图场景。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可演进架构：问题、答案、反馈和审批可持续沉淀，形成知识闭环。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工程化可运维：支持日志、角色权限、审批流程和数据统计。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【图片占位】技术架构图（建议类型：架构图）</w:t>
        <w:br/>
        <w:t>建议内容：建议采用“接入层-应用层-检索层-模型层-数据层-安全层”分层图。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4. 场景化案例（典型用户故事）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故事1：一线值班员快速处置高频告警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场景：凌晨告警集中触发，一线值班员通过截图上传报错页面，助手自动提取关键信息并返回标准处置步骤与参考文档。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价值：结果：平均定位时间从20分钟缩短到5分钟，交接班压力明显下降。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【图片占位】故事1：一线值班员快速处置高频告警（建议类型：场景图/流程图）</w:t>
        <w:br/>
        <w:t>建议内容：建议使用“人物+系统界面+处理流程箭头”的组合图。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故事2：新员工独立完成标准操作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场景：新入职员工面对复杂系统变更流程，通过助手查询“前置检查—执行步骤—回滚策略”。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价值：结果：降低对“口口相传”的依赖，规范执行一致性提升。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【图片占位】故事2：新员工独立完成标准操作（建议类型：场景图/流程图）</w:t>
        <w:br/>
        <w:t>建议内容：建议使用“人物+系统界面+处理流程箭头”的组合图。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故事3：二线专家沉淀经验，团队共享复用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场景：二线专家将一次复杂故障的处置经验补充到系统，并通过审批入库。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价值：结果：同类问题再次出现时，一线可直接复用，减少重复沟通。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【图片占位】故事3：二线专家沉淀经验，团队共享复用（建议类型：场景图/流程图）</w:t>
        <w:br/>
        <w:t>建议内容：建议使用“人物+系统界面+处理流程箭头”的组合图。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故事4：运维主管做周度运营复盘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场景：运维主管在看板查看本周高频问题、未知问题和知识贡献情况。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价值：结果：快速识别薄弱环节，制定“文档补齐+培训”行动计划。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【图片占位】故事4：运维主管做周度运营复盘（建议类型：场景图/流程图）</w:t>
        <w:br/>
        <w:t>建议内容：建议使用“人物+系统界面+处理流程箭头”的组合图。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故事5：跨团队协同时的统一口径输出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场景：网络、主机、应用团队口径不一致时，助手按统一知识库给出标准表述和依据。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价值：结果：减少沟通分歧，提升跨团队协同效率。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【图片占位】故事5：跨团队协同时的统一口径输出（建议类型：场景图/流程图）</w:t>
        <w:br/>
        <w:t>建议内容：建议使用“人物+系统界面+处理流程箭头”的组合图。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5. 安全与隐私保护说明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本智能助手面向企业内网环境设计，遵循“最小权限、全程留痕、数据可控”的原则。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传输安全：接口建议使用 HTTPS/TLS 加密传输，防止链路窃听。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身份认证：支持账号密码与内部门户单点身份识别能力（可对接现网认证体系）。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权限控制：基于角色（管理员/普通用户/访客）进行功能与数据访问控制。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数据隔离：敏感知识可按部门、系统、密级进行分级管理。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日志审计：记录关键操作与问答行为，支持追溯、核查与审计。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密码保护：本地口令采用哈希存储，不以明文形式落盘。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【图片占位】安全机制说明（建议类型：安全架构图）</w:t>
        <w:br/>
        <w:t>建议内容：建议展示“认证、授权、审计、加密、隔离”五层防护。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6. 未来发展规划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6.1 即将上线功能（近期）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工单联动：与现有工单系统打通，实现“问答—派单—跟踪”闭环。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移动端轻量接入：支持运维人员在移动办公场景下快速查询。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知识质量评分：引入知识条目质量评级与过期提醒机制。</w:t>
      </w:r>
    </w:p>
    <w:p>
      <w:pPr>
        <w:pStyle w:val="Heading2"/>
        <w:spacing w:lineRule="auto" w:line="288" w:after="120"/>
      </w:pPr>
      <w:r>
        <w:rPr>
          <w:rFonts w:ascii="微软雅黑" w:hAnsi="微软雅黑" w:eastAsia="微软雅黑"/>
          <w:color w:val="0085D0"/>
        </w:rPr>
        <w:t>6.2 持续优化计划（中长期）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多轮上下文理解优化，提升复杂问题连续追问体验。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知识运营体系升级，建立“问题热点—知识补全—效果评估”闭环看板。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智能推荐能力增强，根据角色和场景主动推荐处置卡片。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与更多生产系统集成，形成统一的运维智能入口。</w:t>
      </w:r>
    </w:p>
    <w:p>
      <w:pPr>
        <w:spacing w:after="200" w:line="312" w:lineRule="auto"/>
        <w:ind w:left="288"/>
      </w:pPr>
      <w:r>
        <w:rPr>
          <w:rFonts w:ascii="微软雅黑" w:hAnsi="微软雅黑" w:eastAsia="微软雅黑"/>
          <w:color w:val="2E75B6"/>
          <w:sz w:val="21"/>
        </w:rPr>
        <w:t>【图片占位】发展路线图（建议类型：路线图）</w:t>
        <w:br/>
        <w:t>建议内容：建议采用“季度里程碑”时间轴形式，突出阶段目标。</w:t>
      </w:r>
    </w:p>
    <w:p>
      <w:pPr>
        <w:pStyle w:val="Heading1"/>
        <w:spacing w:lineRule="auto" w:line="288" w:after="120"/>
      </w:pPr>
      <w:r>
        <w:rPr>
          <w:rFonts w:ascii="微软雅黑" w:hAnsi="微软雅黑" w:eastAsia="微软雅黑"/>
          <w:color w:val="0085D0"/>
        </w:rPr>
        <w:t>7. 附录：文档排版规范（品牌一致性）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主字体：微软雅黑；正文字号：11pt；标题字号：16/14/12pt（按层级递减）。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行距：1.5倍；段后间距：8pt；页边距建议：上下2.54cm、左右3.18cm。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品牌主色：移动蓝 #0085D0；辅助色：深蓝 #1F4E78、浅蓝 #E6F2FA。</w:t>
      </w:r>
    </w:p>
    <w:p>
      <w:pPr>
        <w:pStyle w:val="ListBullet"/>
        <w:spacing w:lineRule="auto" w:line="360" w:after="160"/>
      </w:pPr>
      <w:r>
        <w:rPr>
          <w:rFonts w:ascii="微软雅黑" w:hAnsi="微软雅黑" w:eastAsia="微软雅黑"/>
          <w:sz w:val="22"/>
        </w:rPr>
        <w:t>图片建议统一16:9比例，标题与说明放置在图片下方，便于替换与维护。</w:t>
      </w:r>
    </w:p>
    <w:p>
      <w:pPr>
        <w:spacing w:lineRule="auto" w:line="360" w:after="160"/>
      </w:pPr>
      <w:r>
        <w:rPr>
          <w:rFonts w:ascii="微软雅黑" w:hAnsi="微软雅黑" w:eastAsia="微软雅黑"/>
          <w:b w:val="0"/>
          <w:sz w:val="22"/>
        </w:rPr>
        <w:t>—— 文档完 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