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3C269">
      <w:pPr>
        <w:pStyle w:val="31"/>
        <w:spacing w:after="120"/>
      </w:pPr>
      <w:r>
        <w:rPr>
          <w:rFonts w:ascii="微软雅黑" w:hAnsi="微软雅黑" w:eastAsia="微软雅黑"/>
          <w:b/>
          <w:color w:val="000000"/>
          <w:sz w:val="40"/>
        </w:rPr>
        <w:t>安德鲁牙科连锁店诊疗管理系统</w:t>
      </w:r>
      <w:r>
        <w:rPr>
          <w:rFonts w:ascii="微软雅黑" w:hAnsi="微软雅黑" w:eastAsia="微软雅黑"/>
          <w:b/>
          <w:color w:val="000000"/>
          <w:sz w:val="40"/>
        </w:rPr>
        <w:br w:type="textWrapping"/>
      </w:r>
      <w:r>
        <w:rPr>
          <w:rFonts w:ascii="微软雅黑" w:hAnsi="微软雅黑" w:eastAsia="微软雅黑"/>
          <w:b/>
          <w:color w:val="000000"/>
          <w:sz w:val="40"/>
        </w:rPr>
        <w:t>业务建模与需求说明</w:t>
      </w:r>
    </w:p>
    <w:p w14:paraId="40D18B80">
      <w:pPr>
        <w:spacing w:after="280"/>
      </w:pPr>
      <w:r>
        <w:rPr>
          <w:rFonts w:ascii="Times New Roman" w:hAnsi="Times New Roman" w:eastAsia="宋体"/>
          <w:b w:val="0"/>
          <w:color w:val="464646"/>
          <w:sz w:val="23"/>
        </w:rPr>
        <w:t>案例：安德鲁牙科连锁店（Andrew's Dental Chain）</w:t>
      </w:r>
    </w:p>
    <w:p w14:paraId="45140C9C">
      <w:pPr>
        <w:spacing w:before="0" w:after="0" w:line="360" w:lineRule="exact"/>
      </w:pPr>
    </w:p>
    <w:p w14:paraId="35BA2018">
      <w:pPr>
        <w:pStyle w:val="3"/>
      </w:pPr>
      <w:r>
        <w:t>一、交付范围与案例背景</w:t>
      </w:r>
    </w:p>
    <w:p w14:paraId="67C5EA34">
      <w:pPr>
        <w:spacing w:after="120" w:line="324" w:lineRule="auto"/>
        <w:ind w:firstLine="420"/>
      </w:pPr>
      <w:r>
        <w:rPr>
          <w:rFonts w:ascii="Times New Roman" w:hAnsi="Times New Roman" w:eastAsia="宋体"/>
          <w:b w:val="0"/>
          <w:color w:val="000000"/>
          <w:sz w:val="21"/>
        </w:rPr>
        <w:t>本文档按课程要求交付拟开发系统的前两段建模成果，共六项。愿景、业务用例图、现状业务序列图与改进业务序列图回答“老板要改进什么、公司现在怎么干活、上系统以后怎么干活”；系统用例图与用例规约回答“系统本身要提供哪些服务”。</w:t>
      </w:r>
    </w:p>
    <w:p w14:paraId="5CB41EC8">
      <w:pPr>
        <w:spacing w:after="120" w:line="324" w:lineRule="auto"/>
        <w:ind w:firstLine="420"/>
      </w:pPr>
      <w:r>
        <w:rPr>
          <w:rFonts w:ascii="Times New Roman" w:hAnsi="Times New Roman" w:eastAsia="宋体"/>
          <w:b w:val="0"/>
          <w:color w:val="000000"/>
          <w:sz w:val="21"/>
        </w:rPr>
        <w:t>安德鲁牙科连锁店（ADC）在广东省拥有 15 家牙科诊所，计划在三年内把诊所数量翻一番。首席执行官兼首席牙医 Andrew Chen 持有 60% 股权，其余 40% 由五位合伙人平均持有，决策权集中在 Chen 手上。目前各诊所以独立诊所的集合模式运行，依赖总部人工监督管理，由此留下几个悬而未决的问题：各地的患者治疗标准是否统一，各诊所的患者取消率是否存在差异，聘用的牙医是否具备符合业务需求的技能组合。Chen 还希望推行一项激励制度，把净利润（定义为收入扣除医疗用品成本和每位牙医的运营费用）的 10% 作为激励基金分配，这要求按季度跟踪每位牙医创造的价值。</w:t>
      </w:r>
    </w:p>
    <w:p w14:paraId="6B086DA8">
      <w:pPr>
        <w:spacing w:after="120" w:line="324" w:lineRule="auto"/>
        <w:ind w:firstLine="420"/>
      </w:pPr>
      <w:r>
        <w:rPr>
          <w:rFonts w:ascii="Times New Roman" w:hAnsi="Times New Roman" w:eastAsia="宋体"/>
          <w:b w:val="0"/>
          <w:color w:val="000000"/>
          <w:sz w:val="21"/>
        </w:rPr>
        <w:t>案例描述的现状问题集中在四个方面：</w:t>
      </w:r>
    </w:p>
    <w:p w14:paraId="370FF3E3">
      <w:pPr>
        <w:pStyle w:val="16"/>
        <w:spacing w:after="80" w:line="312" w:lineRule="auto"/>
        <w:ind w:left="567"/>
      </w:pPr>
      <w:r>
        <w:rPr>
          <w:rFonts w:ascii="Times New Roman" w:hAnsi="Times New Roman" w:eastAsia="宋体"/>
          <w:b w:val="0"/>
          <w:color w:val="000000"/>
          <w:sz w:val="21"/>
        </w:rPr>
        <w:t>预约登记与病历分别留在各诊所自己的系统或本地表格中，数据互不联通：患者在另一家 ADC 诊所就诊时，既往治疗与过敏史无从查证。</w:t>
      </w:r>
    </w:p>
    <w:p w14:paraId="7AA3C2B1">
      <w:pPr>
        <w:pStyle w:val="16"/>
        <w:spacing w:after="80" w:line="312" w:lineRule="auto"/>
        <w:ind w:left="567"/>
      </w:pPr>
      <w:r>
        <w:rPr>
          <w:rFonts w:ascii="Times New Roman" w:hAnsi="Times New Roman" w:eastAsia="宋体"/>
          <w:b w:val="0"/>
          <w:color w:val="000000"/>
          <w:sz w:val="21"/>
        </w:rPr>
        <w:t>治疗记录没有落到牙位，也没有记录所用耗材，既无法支撑复诊与医患沟通，也无法在出现争议时提供依据。</w:t>
      </w:r>
    </w:p>
    <w:p w14:paraId="0419E1E2">
      <w:pPr>
        <w:pStyle w:val="16"/>
        <w:spacing w:after="80" w:line="312" w:lineRule="auto"/>
        <w:ind w:left="567"/>
      </w:pPr>
      <w:r>
        <w:rPr>
          <w:rFonts w:ascii="Times New Roman" w:hAnsi="Times New Roman" w:eastAsia="宋体"/>
          <w:b w:val="0"/>
          <w:color w:val="000000"/>
          <w:sz w:val="21"/>
        </w:rPr>
        <w:t>收费由接待员在本门店系统里手工调整，各诊所开票口径不一致；耗材成本没有按治疗项目归集，激励基金只能估算。</w:t>
      </w:r>
    </w:p>
    <w:p w14:paraId="5852D31A">
      <w:pPr>
        <w:pStyle w:val="16"/>
        <w:spacing w:after="80" w:line="312" w:lineRule="auto"/>
        <w:ind w:left="567"/>
      </w:pPr>
      <w:r>
        <w:rPr>
          <w:rFonts w:ascii="Times New Roman" w:hAnsi="Times New Roman" w:eastAsia="宋体"/>
          <w:b w:val="0"/>
          <w:color w:val="000000"/>
          <w:sz w:val="21"/>
        </w:rPr>
        <w:t>患者取消、诊所改约与医生停诊混在一起记录，取消率既无法按诊所统计，也无法按牙医统计。</w:t>
      </w:r>
    </w:p>
    <w:p w14:paraId="79F59EEE">
      <w:pPr>
        <w:pStyle w:val="3"/>
      </w:pPr>
      <w:r>
        <w:t>二、愿景</w:t>
      </w:r>
    </w:p>
    <w:p w14:paraId="54218232">
      <w:pPr>
        <w:spacing w:after="120" w:line="324" w:lineRule="auto"/>
        <w:ind w:firstLine="420"/>
      </w:pPr>
      <w:r>
        <w:rPr>
          <w:rFonts w:ascii="Times New Roman" w:hAnsi="Times New Roman" w:eastAsia="宋体"/>
          <w:b w:val="0"/>
          <w:color w:val="000000"/>
          <w:sz w:val="21"/>
        </w:rPr>
        <w:t>愿景描述目标组织引入系统后能够获得的改进，衡量对象是组织及其业务指标，而不是系统具备什么功能。ADC 的愿景按以下字段确定。</w:t>
      </w: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1701"/>
        <w:gridCol w:w="7710"/>
      </w:tblGrid>
      <w:tr w14:paraId="525087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1701" w:type="dxa"/>
            <w:shd w:val="clear" w:color="auto" w:fill="4A4A4A"/>
            <w:vAlign w:val="center"/>
          </w:tcPr>
          <w:p w14:paraId="573A5FB8">
            <w:pPr>
              <w:spacing w:before="20" w:after="40" w:line="276" w:lineRule="auto"/>
              <w:jc w:val="left"/>
            </w:pPr>
            <w:r>
              <w:rPr>
                <w:rFonts w:ascii="Times New Roman" w:hAnsi="Times New Roman" w:eastAsia="宋体"/>
                <w:b/>
                <w:color w:val="FFFFFF"/>
                <w:sz w:val="19"/>
              </w:rPr>
              <w:t>字段</w:t>
            </w:r>
          </w:p>
        </w:tc>
        <w:tc>
          <w:tcPr>
            <w:tcW w:w="7710" w:type="dxa"/>
            <w:shd w:val="clear" w:color="auto" w:fill="4A4A4A"/>
            <w:vAlign w:val="center"/>
          </w:tcPr>
          <w:p w14:paraId="79339D0E">
            <w:pPr>
              <w:spacing w:before="20" w:after="40" w:line="276" w:lineRule="auto"/>
              <w:jc w:val="left"/>
            </w:pPr>
            <w:r>
              <w:rPr>
                <w:rFonts w:ascii="Times New Roman" w:hAnsi="Times New Roman" w:eastAsia="宋体"/>
                <w:b/>
                <w:color w:val="FFFFFF"/>
                <w:sz w:val="19"/>
              </w:rPr>
              <w:t>内容</w:t>
            </w:r>
          </w:p>
        </w:tc>
      </w:tr>
      <w:tr w14:paraId="4AE96B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701" w:type="dxa"/>
            <w:vAlign w:val="center"/>
          </w:tcPr>
          <w:p w14:paraId="5FC5954C">
            <w:pPr>
              <w:spacing w:before="20" w:after="40" w:line="276" w:lineRule="auto"/>
              <w:jc w:val="left"/>
            </w:pPr>
            <w:r>
              <w:rPr>
                <w:rFonts w:ascii="Times New Roman" w:hAnsi="Times New Roman" w:eastAsia="宋体"/>
                <w:b w:val="0"/>
                <w:color w:val="000000"/>
                <w:sz w:val="19"/>
              </w:rPr>
              <w:t>系统</w:t>
            </w:r>
          </w:p>
        </w:tc>
        <w:tc>
          <w:tcPr>
            <w:tcW w:w="7710" w:type="dxa"/>
            <w:vAlign w:val="center"/>
          </w:tcPr>
          <w:p w14:paraId="33E856DC">
            <w:pPr>
              <w:spacing w:before="20" w:after="40" w:line="276" w:lineRule="auto"/>
              <w:jc w:val="left"/>
            </w:pPr>
            <w:r>
              <w:rPr>
                <w:rFonts w:ascii="Times New Roman" w:hAnsi="Times New Roman" w:eastAsia="宋体"/>
                <w:b w:val="0"/>
                <w:color w:val="000000"/>
                <w:sz w:val="19"/>
              </w:rPr>
              <w:t>ADC 诊疗管理系统</w:t>
            </w:r>
          </w:p>
        </w:tc>
      </w:tr>
      <w:tr w14:paraId="526130B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701" w:type="dxa"/>
            <w:shd w:val="clear" w:color="auto" w:fill="F4F4F4"/>
            <w:vAlign w:val="center"/>
          </w:tcPr>
          <w:p w14:paraId="00FA842D">
            <w:pPr>
              <w:spacing w:before="20" w:after="40" w:line="276" w:lineRule="auto"/>
              <w:jc w:val="left"/>
            </w:pPr>
            <w:r>
              <w:rPr>
                <w:rFonts w:ascii="Times New Roman" w:hAnsi="Times New Roman" w:eastAsia="宋体"/>
                <w:b w:val="0"/>
                <w:color w:val="000000"/>
                <w:sz w:val="19"/>
              </w:rPr>
              <w:t>目标组织</w:t>
            </w:r>
          </w:p>
        </w:tc>
        <w:tc>
          <w:tcPr>
            <w:tcW w:w="7710" w:type="dxa"/>
            <w:shd w:val="clear" w:color="auto" w:fill="F4F4F4"/>
            <w:vAlign w:val="center"/>
          </w:tcPr>
          <w:p w14:paraId="5E4B7765">
            <w:pPr>
              <w:spacing w:before="20" w:after="40" w:line="276" w:lineRule="auto"/>
              <w:jc w:val="left"/>
            </w:pPr>
            <w:r>
              <w:rPr>
                <w:rFonts w:ascii="Times New Roman" w:hAnsi="Times New Roman" w:eastAsia="宋体"/>
                <w:b w:val="0"/>
                <w:color w:val="000000"/>
                <w:sz w:val="19"/>
              </w:rPr>
              <w:t>安德鲁牙科连锁店（总部及下属 15 家诊所）</w:t>
            </w:r>
          </w:p>
        </w:tc>
      </w:tr>
      <w:tr w14:paraId="0BAF09D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701" w:type="dxa"/>
            <w:vAlign w:val="center"/>
          </w:tcPr>
          <w:p w14:paraId="7A9CB6F2">
            <w:pPr>
              <w:spacing w:before="20" w:after="40" w:line="276" w:lineRule="auto"/>
              <w:jc w:val="left"/>
            </w:pPr>
            <w:r>
              <w:rPr>
                <w:rFonts w:ascii="Times New Roman" w:hAnsi="Times New Roman" w:eastAsia="宋体"/>
                <w:b w:val="0"/>
                <w:color w:val="000000"/>
                <w:sz w:val="19"/>
              </w:rPr>
              <w:t>老大</w:t>
            </w:r>
          </w:p>
        </w:tc>
        <w:tc>
          <w:tcPr>
            <w:tcW w:w="7710" w:type="dxa"/>
            <w:vAlign w:val="center"/>
          </w:tcPr>
          <w:p w14:paraId="31E4C748">
            <w:pPr>
              <w:spacing w:before="20" w:after="40" w:line="276" w:lineRule="auto"/>
              <w:jc w:val="left"/>
            </w:pPr>
            <w:r>
              <w:rPr>
                <w:rFonts w:ascii="Times New Roman" w:hAnsi="Times New Roman" w:eastAsia="宋体"/>
                <w:b w:val="0"/>
                <w:color w:val="000000"/>
                <w:sz w:val="19"/>
              </w:rPr>
              <w:t>Andrew Chen（首席执行官兼首席牙医）</w:t>
            </w:r>
          </w:p>
        </w:tc>
      </w:tr>
      <w:tr w14:paraId="4CA0267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701" w:type="dxa"/>
            <w:shd w:val="clear" w:color="auto" w:fill="F4F4F4"/>
            <w:vAlign w:val="center"/>
          </w:tcPr>
          <w:p w14:paraId="62BBB38F">
            <w:pPr>
              <w:spacing w:before="20" w:after="40" w:line="276" w:lineRule="auto"/>
              <w:jc w:val="left"/>
            </w:pPr>
            <w:r>
              <w:rPr>
                <w:rFonts w:ascii="Times New Roman" w:hAnsi="Times New Roman" w:eastAsia="宋体"/>
                <w:b w:val="0"/>
                <w:color w:val="000000"/>
                <w:sz w:val="19"/>
              </w:rPr>
              <w:t>目标</w:t>
            </w:r>
          </w:p>
        </w:tc>
        <w:tc>
          <w:tcPr>
            <w:tcW w:w="7710" w:type="dxa"/>
            <w:shd w:val="clear" w:color="auto" w:fill="F4F4F4"/>
            <w:vAlign w:val="center"/>
          </w:tcPr>
          <w:p w14:paraId="662E8B4B">
            <w:pPr>
              <w:spacing w:before="20" w:after="40" w:line="276" w:lineRule="auto"/>
              <w:jc w:val="left"/>
            </w:pPr>
            <w:r>
              <w:rPr>
                <w:rFonts w:ascii="Times New Roman" w:hAnsi="Times New Roman" w:eastAsia="宋体"/>
                <w:b w:val="0"/>
                <w:color w:val="000000"/>
                <w:sz w:val="19"/>
              </w:rPr>
              <w:t>缩短总部完成全公司经营与质量分析所需的时间，使每位牙医创造的价值可按季度核算</w:t>
            </w:r>
          </w:p>
        </w:tc>
      </w:tr>
      <w:tr w14:paraId="104C688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701" w:type="dxa"/>
            <w:vAlign w:val="center"/>
          </w:tcPr>
          <w:p w14:paraId="2E804170">
            <w:pPr>
              <w:spacing w:before="20" w:after="40" w:line="276" w:lineRule="auto"/>
              <w:jc w:val="left"/>
            </w:pPr>
            <w:r>
              <w:rPr>
                <w:rFonts w:ascii="Times New Roman" w:hAnsi="Times New Roman" w:eastAsia="宋体"/>
                <w:b w:val="0"/>
                <w:color w:val="000000"/>
                <w:sz w:val="19"/>
              </w:rPr>
              <w:t>度量指标</w:t>
            </w:r>
          </w:p>
        </w:tc>
        <w:tc>
          <w:tcPr>
            <w:tcW w:w="7710" w:type="dxa"/>
            <w:vAlign w:val="center"/>
          </w:tcPr>
          <w:p w14:paraId="3BC07FE4">
            <w:pPr>
              <w:spacing w:before="20" w:after="40" w:line="276" w:lineRule="auto"/>
              <w:jc w:val="left"/>
            </w:pPr>
            <w:r>
              <w:rPr>
                <w:rFonts w:ascii="Times New Roman" w:hAnsi="Times New Roman" w:eastAsia="宋体"/>
                <w:b w:val="0"/>
                <w:color w:val="000000"/>
                <w:sz w:val="19"/>
              </w:rPr>
              <w:t>季度结束后总部完成全公司经营与质量分析所需的平均工作日数</w:t>
            </w:r>
          </w:p>
        </w:tc>
      </w:tr>
      <w:tr w14:paraId="199DAC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701" w:type="dxa"/>
            <w:shd w:val="clear" w:color="auto" w:fill="F4F4F4"/>
            <w:vAlign w:val="center"/>
          </w:tcPr>
          <w:p w14:paraId="5CA9837B">
            <w:pPr>
              <w:spacing w:before="20" w:after="40" w:line="276" w:lineRule="auto"/>
              <w:jc w:val="left"/>
            </w:pPr>
            <w:r>
              <w:rPr>
                <w:rFonts w:ascii="Times New Roman" w:hAnsi="Times New Roman" w:eastAsia="宋体"/>
                <w:b w:val="0"/>
                <w:color w:val="000000"/>
                <w:sz w:val="19"/>
              </w:rPr>
              <w:t>对比时间</w:t>
            </w:r>
          </w:p>
        </w:tc>
        <w:tc>
          <w:tcPr>
            <w:tcW w:w="7710" w:type="dxa"/>
            <w:shd w:val="clear" w:color="auto" w:fill="F4F4F4"/>
            <w:vAlign w:val="center"/>
          </w:tcPr>
          <w:p w14:paraId="7A656A1B">
            <w:pPr>
              <w:spacing w:before="20" w:after="40" w:line="276" w:lineRule="auto"/>
              <w:jc w:val="left"/>
            </w:pPr>
            <w:r>
              <w:rPr>
                <w:rFonts w:ascii="Times New Roman" w:hAnsi="Times New Roman" w:eastAsia="宋体"/>
                <w:b w:val="0"/>
                <w:color w:val="000000"/>
                <w:sz w:val="19"/>
              </w:rPr>
              <w:t>现行由总部逐店索要报表再人工汇总的做法</w:t>
            </w:r>
          </w:p>
        </w:tc>
      </w:tr>
      <w:tr w14:paraId="5141FC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701" w:type="dxa"/>
            <w:vAlign w:val="center"/>
          </w:tcPr>
          <w:p w14:paraId="3E2E4FF7">
            <w:pPr>
              <w:spacing w:before="20" w:after="40" w:line="276" w:lineRule="auto"/>
              <w:jc w:val="left"/>
            </w:pPr>
            <w:r>
              <w:rPr>
                <w:rFonts w:ascii="Times New Roman" w:hAnsi="Times New Roman" w:eastAsia="宋体"/>
                <w:b w:val="0"/>
                <w:color w:val="000000"/>
                <w:sz w:val="19"/>
              </w:rPr>
              <w:t>改进值</w:t>
            </w:r>
          </w:p>
        </w:tc>
        <w:tc>
          <w:tcPr>
            <w:tcW w:w="7710" w:type="dxa"/>
            <w:vAlign w:val="center"/>
          </w:tcPr>
          <w:p w14:paraId="0A1093EB">
            <w:pPr>
              <w:spacing w:before="20" w:after="40" w:line="276" w:lineRule="auto"/>
              <w:jc w:val="left"/>
            </w:pPr>
            <w:r>
              <w:rPr>
                <w:rFonts w:ascii="Times New Roman" w:hAnsi="Times New Roman" w:eastAsia="宋体"/>
                <w:b w:val="0"/>
                <w:color w:val="000000"/>
                <w:sz w:val="19"/>
              </w:rPr>
              <w:t>从两周以上缩短到 3 个工作日以内</w:t>
            </w:r>
          </w:p>
        </w:tc>
      </w:tr>
    </w:tbl>
    <w:p w14:paraId="244CAB59">
      <w:pPr>
        <w:spacing w:before="0" w:after="0" w:line="200" w:lineRule="exact"/>
      </w:pPr>
    </w:p>
    <w:p w14:paraId="23057242">
      <w:pPr>
        <w:spacing w:after="120" w:line="324" w:lineRule="auto"/>
        <w:ind w:firstLine="420"/>
      </w:pPr>
      <w:r>
        <w:rPr>
          <w:rFonts w:ascii="Times New Roman" w:hAnsi="Times New Roman" w:eastAsia="宋体"/>
          <w:b w:val="0"/>
          <w:color w:val="000000"/>
          <w:sz w:val="21"/>
        </w:rPr>
        <w:t>次级目标是让患者取消得到控制。案例把高取消率明确列为需要迅速应对的危险信号，但现状连基线都拿不出来。因此这一项的口径先写清楚：患者责任取消率＝（患者取消次数＋患者爽约次数）÷ 预约总次数，不含诊所改约与医生停诊；目标是让它从“无法统计”变为可按诊所、按牙医、按季度统计，并通过就诊提醒与改约，把全公司平均患者责任取消率降低 20% 以上。</w:t>
      </w:r>
    </w:p>
    <w:p w14:paraId="5E495DA5">
      <w:pPr>
        <w:spacing w:after="120" w:line="324" w:lineRule="auto"/>
        <w:ind w:firstLine="420"/>
      </w:pPr>
      <w:r>
        <w:rPr>
          <w:rFonts w:ascii="Times New Roman" w:hAnsi="Times New Roman" w:eastAsia="宋体"/>
          <w:b w:val="0"/>
          <w:color w:val="000000"/>
          <w:sz w:val="21"/>
        </w:rPr>
        <w:t>激励制度还带来一项隐含要求：净利润要在收入之外扣掉医疗用品成本与每位牙医的运营费用，因此系统必须能按治疗项目归集耗材成本、按门店分摊运营费用，并保留成本口径的版本，否则每个季度算出来的激励金额都会引起争议。这一点在用例规约与对应关系中落实。</w:t>
      </w:r>
    </w:p>
    <w:p w14:paraId="71D44A9B">
      <w:pPr>
        <w:spacing w:after="120" w:line="324" w:lineRule="auto"/>
        <w:ind w:firstLine="420"/>
      </w:pPr>
      <w:r>
        <w:rPr>
          <w:rFonts w:ascii="Times New Roman" w:hAnsi="Times New Roman" w:eastAsia="宋体"/>
          <w:b w:val="0"/>
          <w:color w:val="000000"/>
          <w:sz w:val="21"/>
        </w:rPr>
        <w:t>愿景不写成系统功能。“建立一套集中式数据库”“实现标准化开票”描述的是手段，不是组织的改进。真正要衡量的是总部掌握并纠正各诊所运营偏差的速度，以及患者责任取消率、治疗量与单牙医产值这些组织指标。</w:t>
      </w:r>
    </w:p>
    <w:p w14:paraId="13F0CE6F">
      <w:pPr>
        <w:pStyle w:val="3"/>
      </w:pPr>
      <w:r>
        <w:t>三、业务建模</w:t>
      </w:r>
    </w:p>
    <w:p w14:paraId="2FE8D134">
      <w:pPr>
        <w:pStyle w:val="4"/>
      </w:pPr>
      <w:r>
        <w:t>3.1 业务用例图</w:t>
      </w:r>
    </w:p>
    <w:p w14:paraId="55F6BBEE">
      <w:pPr>
        <w:spacing w:after="120" w:line="324" w:lineRule="auto"/>
        <w:ind w:firstLine="420"/>
      </w:pPr>
      <w:r>
        <w:rPr>
          <w:rFonts w:ascii="Times New Roman" w:hAnsi="Times New Roman" w:eastAsia="宋体"/>
          <w:b w:val="0"/>
          <w:color w:val="000000"/>
          <w:sz w:val="21"/>
        </w:rPr>
        <w:t>业务用例图从组织外部观察 ADC 对公司之外提供了哪些价值。图中矩形代表 ADC，椭圆代表组织对外提供的价值，小人代表与公司交互的外部角色。牙医、诊所接待员和合伙人都是组织内部：牙医与接待员在公司里工作，合伙人是股东，因此他们都不作为业务执行者，其中牙医属于业务工人。本案例中与 ADC 交互的外部角色是前来就诊的患者。</w:t>
      </w:r>
    </w:p>
    <w:p w14:paraId="235AEF36">
      <w:pPr>
        <w:keepNext/>
        <w:spacing w:before="120" w:after="40"/>
        <w:jc w:val="center"/>
      </w:pPr>
      <w:r>
        <w:drawing>
          <wp:inline distT="0" distB="0" distL="114300" distR="114300">
            <wp:extent cx="4859655" cy="2127885"/>
            <wp:effectExtent l="0" t="0" r="1714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860000" cy="2128168"/>
                    </a:xfrm>
                    <a:prstGeom prst="rect">
                      <a:avLst/>
                    </a:prstGeom>
                  </pic:spPr>
                </pic:pic>
              </a:graphicData>
            </a:graphic>
          </wp:inline>
        </w:drawing>
      </w:r>
    </w:p>
    <w:p w14:paraId="0384834C">
      <w:pPr>
        <w:spacing w:before="40" w:after="120"/>
        <w:jc w:val="center"/>
      </w:pPr>
      <w:r>
        <w:rPr>
          <w:rFonts w:ascii="Times New Roman" w:hAnsi="Times New Roman" w:eastAsia="宋体"/>
          <w:b w:val="0"/>
          <w:color w:val="3C3C3C"/>
          <w:sz w:val="19"/>
        </w:rPr>
        <w:t>图 1　安德鲁牙科连锁店业务用例图</w:t>
      </w: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2041"/>
        <w:gridCol w:w="1020"/>
        <w:gridCol w:w="6350"/>
      </w:tblGrid>
      <w:tr w14:paraId="01FE64A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2041" w:type="dxa"/>
            <w:shd w:val="clear" w:color="auto" w:fill="4A4A4A"/>
            <w:vAlign w:val="center"/>
          </w:tcPr>
          <w:p w14:paraId="4250BB18">
            <w:pPr>
              <w:spacing w:before="20" w:after="40" w:line="276" w:lineRule="auto"/>
              <w:jc w:val="left"/>
            </w:pPr>
            <w:r>
              <w:rPr>
                <w:rFonts w:ascii="Times New Roman" w:hAnsi="Times New Roman" w:eastAsia="宋体"/>
                <w:b/>
                <w:color w:val="FFFFFF"/>
                <w:sz w:val="19"/>
              </w:rPr>
              <w:t>业务执行者</w:t>
            </w:r>
          </w:p>
        </w:tc>
        <w:tc>
          <w:tcPr>
            <w:tcW w:w="1020" w:type="dxa"/>
            <w:shd w:val="clear" w:color="auto" w:fill="4A4A4A"/>
            <w:vAlign w:val="center"/>
          </w:tcPr>
          <w:p w14:paraId="009BE090">
            <w:pPr>
              <w:spacing w:before="20" w:after="40" w:line="276" w:lineRule="auto"/>
              <w:jc w:val="left"/>
            </w:pPr>
            <w:r>
              <w:rPr>
                <w:rFonts w:ascii="Times New Roman" w:hAnsi="Times New Roman" w:eastAsia="宋体"/>
                <w:b/>
                <w:color w:val="FFFFFF"/>
                <w:sz w:val="19"/>
              </w:rPr>
              <w:t>性质</w:t>
            </w:r>
          </w:p>
        </w:tc>
        <w:tc>
          <w:tcPr>
            <w:tcW w:w="6350" w:type="dxa"/>
            <w:shd w:val="clear" w:color="auto" w:fill="4A4A4A"/>
            <w:vAlign w:val="center"/>
          </w:tcPr>
          <w:p w14:paraId="61C8827B">
            <w:pPr>
              <w:spacing w:before="20" w:after="40" w:line="276" w:lineRule="auto"/>
              <w:jc w:val="left"/>
            </w:pPr>
            <w:r>
              <w:rPr>
                <w:rFonts w:ascii="Times New Roman" w:hAnsi="Times New Roman" w:eastAsia="宋体"/>
                <w:b/>
                <w:color w:val="FFFFFF"/>
                <w:sz w:val="19"/>
              </w:rPr>
              <w:t>说明</w:t>
            </w:r>
          </w:p>
        </w:tc>
      </w:tr>
      <w:tr w14:paraId="001DDFB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14:paraId="00523D32">
            <w:pPr>
              <w:spacing w:before="20" w:after="40" w:line="276" w:lineRule="auto"/>
              <w:jc w:val="left"/>
            </w:pPr>
            <w:r>
              <w:rPr>
                <w:rFonts w:ascii="Times New Roman" w:hAnsi="Times New Roman" w:eastAsia="宋体"/>
                <w:b w:val="0"/>
                <w:color w:val="000000"/>
                <w:sz w:val="19"/>
              </w:rPr>
              <w:t>患者</w:t>
            </w:r>
          </w:p>
        </w:tc>
        <w:tc>
          <w:tcPr>
            <w:tcW w:w="1020" w:type="dxa"/>
            <w:vAlign w:val="center"/>
          </w:tcPr>
          <w:p w14:paraId="7CBDA6A1">
            <w:pPr>
              <w:spacing w:before="20" w:after="40" w:line="276" w:lineRule="auto"/>
              <w:jc w:val="left"/>
            </w:pPr>
            <w:r>
              <w:rPr>
                <w:rFonts w:ascii="Times New Roman" w:hAnsi="Times New Roman" w:eastAsia="宋体"/>
                <w:b w:val="0"/>
                <w:color w:val="000000"/>
                <w:sz w:val="19"/>
              </w:rPr>
              <w:t>人群</w:t>
            </w:r>
          </w:p>
        </w:tc>
        <w:tc>
          <w:tcPr>
            <w:tcW w:w="6350" w:type="dxa"/>
            <w:vAlign w:val="center"/>
          </w:tcPr>
          <w:p w14:paraId="62B9C51A">
            <w:pPr>
              <w:spacing w:before="20" w:after="40" w:line="276" w:lineRule="auto"/>
              <w:jc w:val="left"/>
            </w:pPr>
            <w:r>
              <w:rPr>
                <w:rFonts w:ascii="Times New Roman" w:hAnsi="Times New Roman" w:eastAsia="宋体"/>
                <w:b w:val="0"/>
                <w:color w:val="000000"/>
                <w:sz w:val="19"/>
              </w:rPr>
              <w:t>在不同 ADC 诊所就诊的顾客，可能由多位牙医接诊，也会跨诊所就诊</w:t>
            </w:r>
          </w:p>
        </w:tc>
      </w:tr>
    </w:tbl>
    <w:p w14:paraId="138EEFC1">
      <w:pPr>
        <w:spacing w:before="0" w:after="0" w:line="200" w:lineRule="exact"/>
      </w:pP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2041"/>
        <w:gridCol w:w="3628"/>
        <w:gridCol w:w="3742"/>
      </w:tblGrid>
      <w:tr w14:paraId="474706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2041" w:type="dxa"/>
            <w:shd w:val="clear" w:color="auto" w:fill="4A4A4A"/>
            <w:vAlign w:val="center"/>
          </w:tcPr>
          <w:p w14:paraId="6ACAFA00">
            <w:pPr>
              <w:spacing w:before="20" w:after="40" w:line="276" w:lineRule="auto"/>
              <w:jc w:val="left"/>
            </w:pPr>
            <w:r>
              <w:rPr>
                <w:rFonts w:ascii="Times New Roman" w:hAnsi="Times New Roman" w:eastAsia="宋体"/>
                <w:b/>
                <w:color w:val="FFFFFF"/>
                <w:sz w:val="19"/>
              </w:rPr>
              <w:t>业务用例</w:t>
            </w:r>
          </w:p>
        </w:tc>
        <w:tc>
          <w:tcPr>
            <w:tcW w:w="3628" w:type="dxa"/>
            <w:shd w:val="clear" w:color="auto" w:fill="4A4A4A"/>
            <w:vAlign w:val="center"/>
          </w:tcPr>
          <w:p w14:paraId="261078E6">
            <w:pPr>
              <w:spacing w:before="20" w:after="40" w:line="276" w:lineRule="auto"/>
              <w:jc w:val="left"/>
            </w:pPr>
            <w:r>
              <w:rPr>
                <w:rFonts w:ascii="Times New Roman" w:hAnsi="Times New Roman" w:eastAsia="宋体"/>
                <w:b/>
                <w:color w:val="FFFFFF"/>
                <w:sz w:val="19"/>
              </w:rPr>
              <w:t>为谁提供何种价值</w:t>
            </w:r>
          </w:p>
        </w:tc>
        <w:tc>
          <w:tcPr>
            <w:tcW w:w="3742" w:type="dxa"/>
            <w:shd w:val="clear" w:color="auto" w:fill="4A4A4A"/>
            <w:vAlign w:val="center"/>
          </w:tcPr>
          <w:p w14:paraId="2620998C">
            <w:pPr>
              <w:spacing w:before="20" w:after="40" w:line="276" w:lineRule="auto"/>
              <w:jc w:val="left"/>
            </w:pPr>
            <w:r>
              <w:rPr>
                <w:rFonts w:ascii="Times New Roman" w:hAnsi="Times New Roman" w:eastAsia="宋体"/>
                <w:b/>
                <w:color w:val="FFFFFF"/>
                <w:sz w:val="19"/>
              </w:rPr>
              <w:t>对应业务流程</w:t>
            </w:r>
          </w:p>
        </w:tc>
      </w:tr>
      <w:tr w14:paraId="3553C1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14:paraId="1413C0E9">
            <w:pPr>
              <w:spacing w:before="20" w:after="40" w:line="276" w:lineRule="auto"/>
              <w:jc w:val="left"/>
            </w:pPr>
            <w:r>
              <w:rPr>
                <w:rFonts w:ascii="Times New Roman" w:hAnsi="Times New Roman" w:eastAsia="宋体"/>
                <w:b w:val="0"/>
                <w:color w:val="000000"/>
                <w:sz w:val="19"/>
              </w:rPr>
              <w:t>受理预约就诊</w:t>
            </w:r>
          </w:p>
        </w:tc>
        <w:tc>
          <w:tcPr>
            <w:tcW w:w="3628" w:type="dxa"/>
            <w:vAlign w:val="center"/>
          </w:tcPr>
          <w:p w14:paraId="7CBA2D06">
            <w:pPr>
              <w:spacing w:before="20" w:after="40" w:line="276" w:lineRule="auto"/>
              <w:jc w:val="left"/>
            </w:pPr>
            <w:r>
              <w:rPr>
                <w:rFonts w:ascii="Times New Roman" w:hAnsi="Times New Roman" w:eastAsia="宋体"/>
                <w:b w:val="0"/>
                <w:color w:val="000000"/>
                <w:sz w:val="19"/>
              </w:rPr>
              <w:t>为患者安排就诊时间、就诊诊所与接诊牙医</w:t>
            </w:r>
          </w:p>
        </w:tc>
        <w:tc>
          <w:tcPr>
            <w:tcW w:w="3742" w:type="dxa"/>
            <w:vAlign w:val="center"/>
          </w:tcPr>
          <w:p w14:paraId="694CE006">
            <w:pPr>
              <w:spacing w:before="20" w:after="40" w:line="276" w:lineRule="auto"/>
              <w:jc w:val="left"/>
            </w:pPr>
            <w:r>
              <w:rPr>
                <w:rFonts w:ascii="Times New Roman" w:hAnsi="Times New Roman" w:eastAsia="宋体"/>
                <w:b w:val="0"/>
                <w:color w:val="000000"/>
                <w:sz w:val="19"/>
              </w:rPr>
              <w:t>电话预约、登记患者与过敏情况、确认接诊牙医</w:t>
            </w:r>
          </w:p>
        </w:tc>
      </w:tr>
      <w:tr w14:paraId="186CCEB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shd w:val="clear" w:color="auto" w:fill="F4F4F4"/>
            <w:vAlign w:val="center"/>
          </w:tcPr>
          <w:p w14:paraId="090A2083">
            <w:pPr>
              <w:spacing w:before="20" w:after="40" w:line="276" w:lineRule="auto"/>
              <w:jc w:val="left"/>
            </w:pPr>
            <w:r>
              <w:rPr>
                <w:rFonts w:ascii="Times New Roman" w:hAnsi="Times New Roman" w:eastAsia="宋体"/>
                <w:b w:val="0"/>
                <w:color w:val="000000"/>
                <w:sz w:val="19"/>
              </w:rPr>
              <w:t>提供牙科诊疗</w:t>
            </w:r>
          </w:p>
        </w:tc>
        <w:tc>
          <w:tcPr>
            <w:tcW w:w="3628" w:type="dxa"/>
            <w:shd w:val="clear" w:color="auto" w:fill="F4F4F4"/>
            <w:vAlign w:val="center"/>
          </w:tcPr>
          <w:p w14:paraId="64FA37F0">
            <w:pPr>
              <w:spacing w:before="20" w:after="40" w:line="276" w:lineRule="auto"/>
              <w:jc w:val="left"/>
            </w:pPr>
            <w:r>
              <w:rPr>
                <w:rFonts w:ascii="Times New Roman" w:hAnsi="Times New Roman" w:eastAsia="宋体"/>
                <w:b w:val="0"/>
                <w:color w:val="000000"/>
                <w:sz w:val="19"/>
              </w:rPr>
              <w:t>为患者完成检查与治疗，并保存可用于后续治疗与结算的记录</w:t>
            </w:r>
          </w:p>
        </w:tc>
        <w:tc>
          <w:tcPr>
            <w:tcW w:w="3742" w:type="dxa"/>
            <w:shd w:val="clear" w:color="auto" w:fill="F4F4F4"/>
            <w:vAlign w:val="center"/>
          </w:tcPr>
          <w:p w14:paraId="24EDF5E8">
            <w:pPr>
              <w:spacing w:before="20" w:after="40" w:line="276" w:lineRule="auto"/>
              <w:jc w:val="left"/>
            </w:pPr>
            <w:r>
              <w:rPr>
                <w:rFonts w:ascii="Times New Roman" w:hAnsi="Times New Roman" w:eastAsia="宋体"/>
                <w:b w:val="0"/>
                <w:color w:val="000000"/>
                <w:sz w:val="19"/>
              </w:rPr>
              <w:t>到诊、检查、治疗、记录治疗项目与牙位、就诊期间追加治疗</w:t>
            </w:r>
          </w:p>
        </w:tc>
      </w:tr>
      <w:tr w14:paraId="212273B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vAlign w:val="center"/>
          </w:tcPr>
          <w:p w14:paraId="0CE38193">
            <w:pPr>
              <w:spacing w:before="20" w:after="40" w:line="276" w:lineRule="auto"/>
              <w:jc w:val="left"/>
            </w:pPr>
            <w:r>
              <w:rPr>
                <w:rFonts w:ascii="Times New Roman" w:hAnsi="Times New Roman" w:eastAsia="宋体"/>
                <w:b w:val="0"/>
                <w:color w:val="000000"/>
                <w:sz w:val="19"/>
              </w:rPr>
              <w:t>出具诊疗结算单</w:t>
            </w:r>
          </w:p>
        </w:tc>
        <w:tc>
          <w:tcPr>
            <w:tcW w:w="3628" w:type="dxa"/>
            <w:vAlign w:val="center"/>
          </w:tcPr>
          <w:p w14:paraId="31871799">
            <w:pPr>
              <w:spacing w:before="20" w:after="40" w:line="276" w:lineRule="auto"/>
              <w:jc w:val="left"/>
            </w:pPr>
            <w:r>
              <w:rPr>
                <w:rFonts w:ascii="Times New Roman" w:hAnsi="Times New Roman" w:eastAsia="宋体"/>
                <w:b w:val="0"/>
                <w:color w:val="000000"/>
                <w:sz w:val="19"/>
              </w:rPr>
              <w:t>为患者提供逐行可核对的费用明细并完成收费</w:t>
            </w:r>
          </w:p>
        </w:tc>
        <w:tc>
          <w:tcPr>
            <w:tcW w:w="3742" w:type="dxa"/>
            <w:vAlign w:val="center"/>
          </w:tcPr>
          <w:p w14:paraId="58DE2220">
            <w:pPr>
              <w:spacing w:before="20" w:after="40" w:line="276" w:lineRule="auto"/>
              <w:jc w:val="left"/>
            </w:pPr>
            <w:r>
              <w:rPr>
                <w:rFonts w:ascii="Times New Roman" w:hAnsi="Times New Roman" w:eastAsia="宋体"/>
                <w:b w:val="0"/>
                <w:color w:val="000000"/>
                <w:sz w:val="19"/>
              </w:rPr>
              <w:t>按治疗明细计价、生成结算单、向患者收费</w:t>
            </w:r>
          </w:p>
        </w:tc>
      </w:tr>
      <w:tr w14:paraId="4E0CCFF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041" w:type="dxa"/>
            <w:shd w:val="clear" w:color="auto" w:fill="F4F4F4"/>
            <w:vAlign w:val="center"/>
          </w:tcPr>
          <w:p w14:paraId="661A8B89">
            <w:pPr>
              <w:spacing w:before="20" w:after="40" w:line="276" w:lineRule="auto"/>
              <w:jc w:val="left"/>
            </w:pPr>
            <w:r>
              <w:rPr>
                <w:rFonts w:ascii="Times New Roman" w:hAnsi="Times New Roman" w:eastAsia="宋体"/>
                <w:b w:val="0"/>
                <w:color w:val="000000"/>
                <w:sz w:val="19"/>
              </w:rPr>
              <w:t>提供跨诊所连续诊疗</w:t>
            </w:r>
          </w:p>
        </w:tc>
        <w:tc>
          <w:tcPr>
            <w:tcW w:w="3628" w:type="dxa"/>
            <w:shd w:val="clear" w:color="auto" w:fill="F4F4F4"/>
            <w:vAlign w:val="center"/>
          </w:tcPr>
          <w:p w14:paraId="1C3C6650">
            <w:pPr>
              <w:spacing w:before="20" w:after="40" w:line="276" w:lineRule="auto"/>
              <w:jc w:val="left"/>
            </w:pPr>
            <w:r>
              <w:rPr>
                <w:rFonts w:ascii="Times New Roman" w:hAnsi="Times New Roman" w:eastAsia="宋体"/>
                <w:b w:val="0"/>
                <w:color w:val="000000"/>
                <w:sz w:val="19"/>
              </w:rPr>
              <w:t>让患者在任一 ADC 诊所就诊时都能接续既往治疗</w:t>
            </w:r>
          </w:p>
        </w:tc>
        <w:tc>
          <w:tcPr>
            <w:tcW w:w="3742" w:type="dxa"/>
            <w:shd w:val="clear" w:color="auto" w:fill="F4F4F4"/>
            <w:vAlign w:val="center"/>
          </w:tcPr>
          <w:p w14:paraId="226F566D">
            <w:pPr>
              <w:spacing w:before="20" w:after="40" w:line="276" w:lineRule="auto"/>
              <w:jc w:val="left"/>
            </w:pPr>
            <w:r>
              <w:rPr>
                <w:rFonts w:ascii="Times New Roman" w:hAnsi="Times New Roman" w:eastAsia="宋体"/>
                <w:b w:val="0"/>
                <w:color w:val="000000"/>
                <w:sz w:val="19"/>
              </w:rPr>
              <w:t>调阅过敏史、既往治疗与未完成的治疗计划</w:t>
            </w:r>
          </w:p>
        </w:tc>
      </w:tr>
    </w:tbl>
    <w:p w14:paraId="3EDECA84">
      <w:pPr>
        <w:spacing w:before="0" w:after="0" w:line="240" w:lineRule="exact"/>
      </w:pPr>
    </w:p>
    <w:p w14:paraId="25AC3877">
      <w:pPr>
        <w:pStyle w:val="4"/>
      </w:pPr>
      <w:r>
        <w:t>3.2 现状业务序列图</w:t>
      </w:r>
    </w:p>
    <w:p w14:paraId="25D8A4B9">
      <w:pPr>
        <w:spacing w:after="120" w:line="324" w:lineRule="auto"/>
        <w:ind w:firstLine="420"/>
      </w:pPr>
      <w:r>
        <w:rPr>
          <w:rFonts w:ascii="Times New Roman" w:hAnsi="Times New Roman" w:eastAsia="宋体"/>
          <w:b w:val="0"/>
          <w:color w:val="000000"/>
          <w:sz w:val="21"/>
        </w:rPr>
        <w:t>现状业务序列图按案例描述还原当前的实际做法，图中的消息写成一方向另一方请求做某事，返回消息画成虚线。三张图对应与愿景最相关的三段流程：患者电话预约就诊、就诊与治疗记录、结算与总部汇总。需要说明的是，一家已有 15 家门店的连锁在当前阶段并不是完完全全的纸面作业：更真实的现状是各家门店各买一套口腔管理软件或用本地表格，数据互不联通、口径各不相同，总部只能靠人工汇总。因此下文统一用“诊所自有系统/表格”表示现状中的信息化对象。</w:t>
      </w:r>
    </w:p>
    <w:p w14:paraId="0F4AD475">
      <w:pPr>
        <w:keepNext/>
        <w:spacing w:before="120" w:after="40"/>
        <w:jc w:val="center"/>
      </w:pPr>
      <w:r>
        <w:drawing>
          <wp:inline distT="0" distB="0" distL="114300" distR="114300">
            <wp:extent cx="4859655" cy="2837815"/>
            <wp:effectExtent l="0" t="0" r="1714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860000" cy="2838196"/>
                    </a:xfrm>
                    <a:prstGeom prst="rect">
                      <a:avLst/>
                    </a:prstGeom>
                  </pic:spPr>
                </pic:pic>
              </a:graphicData>
            </a:graphic>
          </wp:inline>
        </w:drawing>
      </w:r>
    </w:p>
    <w:p w14:paraId="71C62FFD">
      <w:pPr>
        <w:spacing w:before="40" w:after="120"/>
        <w:jc w:val="center"/>
      </w:pPr>
      <w:r>
        <w:rPr>
          <w:rFonts w:ascii="Times New Roman" w:hAnsi="Times New Roman" w:eastAsia="宋体"/>
          <w:b w:val="0"/>
          <w:color w:val="3C3C3C"/>
          <w:sz w:val="19"/>
        </w:rPr>
        <w:t>图 2　现状业务序列图：患者电话预约就诊</w:t>
      </w:r>
    </w:p>
    <w:p w14:paraId="709A9B7D">
      <w:pPr>
        <w:spacing w:after="120" w:line="324" w:lineRule="auto"/>
        <w:ind w:firstLine="420"/>
      </w:pPr>
      <w:r>
        <w:rPr>
          <w:rFonts w:ascii="Times New Roman" w:hAnsi="Times New Roman" w:eastAsia="宋体"/>
          <w:b w:val="0"/>
          <w:color w:val="000000"/>
          <w:sz w:val="21"/>
        </w:rPr>
        <w:t>预约这一段的问题在信息分散：接待员只能看到本门店的空闲时段与医生安排，患者信息与过敏情况登记在本店，其他门店无法复用；一家店说没有号，另一家店可能空着椅位。</w:t>
      </w:r>
    </w:p>
    <w:p w14:paraId="42989136">
      <w:pPr>
        <w:keepNext/>
        <w:spacing w:before="120" w:after="40"/>
        <w:jc w:val="center"/>
      </w:pPr>
      <w:r>
        <w:drawing>
          <wp:inline distT="0" distB="0" distL="114300" distR="114300">
            <wp:extent cx="4859655" cy="3062605"/>
            <wp:effectExtent l="0" t="0" r="1714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860000" cy="3062841"/>
                    </a:xfrm>
                    <a:prstGeom prst="rect">
                      <a:avLst/>
                    </a:prstGeom>
                  </pic:spPr>
                </pic:pic>
              </a:graphicData>
            </a:graphic>
          </wp:inline>
        </w:drawing>
      </w:r>
    </w:p>
    <w:p w14:paraId="7BDB5B64">
      <w:pPr>
        <w:spacing w:before="40" w:after="120"/>
        <w:jc w:val="center"/>
      </w:pPr>
      <w:r>
        <w:rPr>
          <w:rFonts w:ascii="Times New Roman" w:hAnsi="Times New Roman" w:eastAsia="宋体"/>
          <w:b w:val="0"/>
          <w:color w:val="3C3C3C"/>
          <w:sz w:val="19"/>
        </w:rPr>
        <w:t>图 3　现状业务序列图：就诊与治疗记录</w:t>
      </w:r>
    </w:p>
    <w:p w14:paraId="0F7871AF">
      <w:pPr>
        <w:spacing w:after="120" w:line="324" w:lineRule="auto"/>
        <w:ind w:firstLine="420"/>
      </w:pPr>
      <w:r>
        <w:rPr>
          <w:rFonts w:ascii="Times New Roman" w:hAnsi="Times New Roman" w:eastAsia="宋体"/>
          <w:b w:val="0"/>
          <w:color w:val="000000"/>
          <w:sz w:val="21"/>
        </w:rPr>
        <w:t>就诊这一段的问题在记录颗粒度：治疗项目没有落到牙位，也没有记录所用耗材，追加治疗靠补记。患者换一家门店就诊时，这些记录带不过去；一旦出现治疗争议或需要保险理赔，拿不出可追溯的依据。</w:t>
      </w:r>
    </w:p>
    <w:p w14:paraId="58231D9E">
      <w:pPr>
        <w:keepNext/>
        <w:spacing w:before="120" w:after="40"/>
        <w:jc w:val="center"/>
      </w:pPr>
      <w:r>
        <w:drawing>
          <wp:inline distT="0" distB="0" distL="114300" distR="114300">
            <wp:extent cx="4859655" cy="2569210"/>
            <wp:effectExtent l="0" t="0" r="1714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860000" cy="2569718"/>
                    </a:xfrm>
                    <a:prstGeom prst="rect">
                      <a:avLst/>
                    </a:prstGeom>
                  </pic:spPr>
                </pic:pic>
              </a:graphicData>
            </a:graphic>
          </wp:inline>
        </w:drawing>
      </w:r>
    </w:p>
    <w:p w14:paraId="6190890B">
      <w:pPr>
        <w:spacing w:before="40" w:after="120"/>
        <w:jc w:val="center"/>
      </w:pPr>
      <w:r>
        <w:rPr>
          <w:rFonts w:ascii="Times New Roman" w:hAnsi="Times New Roman" w:eastAsia="宋体"/>
          <w:b w:val="0"/>
          <w:color w:val="3C3C3C"/>
          <w:sz w:val="19"/>
        </w:rPr>
        <w:t>图 4　现状业务序列图：结算与总部汇总</w:t>
      </w:r>
    </w:p>
    <w:p w14:paraId="724032A7">
      <w:pPr>
        <w:spacing w:after="120" w:line="324" w:lineRule="auto"/>
        <w:ind w:firstLine="420"/>
      </w:pPr>
      <w:r>
        <w:rPr>
          <w:rFonts w:ascii="Times New Roman" w:hAnsi="Times New Roman" w:eastAsia="宋体"/>
          <w:b w:val="0"/>
          <w:color w:val="000000"/>
          <w:sz w:val="21"/>
        </w:rPr>
        <w:t>末段的问题在口径：收费由接待员在本门店系统里手工调整，取消与未到诊只在本店可见，总部按季度逐店索要数据再人工汇总。耗材成本没有按治疗项目归集，净利润与激励基金只能估算，这正是激励制度难以落地、门店数量翻倍后管控风险变大的原因。</w:t>
      </w:r>
    </w:p>
    <w:p w14:paraId="7FA71824">
      <w:pPr>
        <w:pStyle w:val="4"/>
      </w:pPr>
      <w:r>
        <w:t>3.3 改进业务序列图</w:t>
      </w:r>
    </w:p>
    <w:p w14:paraId="5F2DA574">
      <w:pPr>
        <w:spacing w:after="120" w:line="324" w:lineRule="auto"/>
        <w:ind w:firstLine="420"/>
      </w:pPr>
      <w:r>
        <w:rPr>
          <w:rFonts w:ascii="Times New Roman" w:hAnsi="Times New Roman" w:eastAsia="宋体"/>
          <w:b w:val="0"/>
          <w:color w:val="000000"/>
          <w:sz w:val="21"/>
        </w:rPr>
        <w:t>改进后的流程把原来由各门店系统和人工承担的责任转移给拟开发的诊疗管理系统，并补上口腔诊疗特有的两个颗粒度：治疗记录落到牙位，耗材追溯到患者。改进点按三种改进模式归类。</w:t>
      </w: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1928"/>
        <w:gridCol w:w="7483"/>
      </w:tblGrid>
      <w:tr w14:paraId="4A1F256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1928" w:type="dxa"/>
            <w:shd w:val="clear" w:color="auto" w:fill="4A4A4A"/>
            <w:vAlign w:val="center"/>
          </w:tcPr>
          <w:p w14:paraId="4515CEDA">
            <w:pPr>
              <w:spacing w:before="20" w:after="40" w:line="276" w:lineRule="auto"/>
              <w:jc w:val="left"/>
            </w:pPr>
            <w:r>
              <w:rPr>
                <w:rFonts w:ascii="Times New Roman" w:hAnsi="Times New Roman" w:eastAsia="宋体"/>
                <w:b/>
                <w:color w:val="FFFFFF"/>
                <w:sz w:val="19"/>
              </w:rPr>
              <w:t>改进模式</w:t>
            </w:r>
          </w:p>
        </w:tc>
        <w:tc>
          <w:tcPr>
            <w:tcW w:w="7483" w:type="dxa"/>
            <w:shd w:val="clear" w:color="auto" w:fill="4A4A4A"/>
            <w:vAlign w:val="center"/>
          </w:tcPr>
          <w:p w14:paraId="35DDCB3B">
            <w:pPr>
              <w:spacing w:before="20" w:after="40" w:line="276" w:lineRule="auto"/>
              <w:jc w:val="left"/>
            </w:pPr>
            <w:r>
              <w:rPr>
                <w:rFonts w:ascii="Times New Roman" w:hAnsi="Times New Roman" w:eastAsia="宋体"/>
                <w:b/>
                <w:color w:val="FFFFFF"/>
                <w:sz w:val="19"/>
              </w:rPr>
              <w:t>本案例中的改进点</w:t>
            </w:r>
          </w:p>
        </w:tc>
      </w:tr>
      <w:tr w14:paraId="1964B4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14:paraId="7CE46A2B">
            <w:pPr>
              <w:spacing w:before="20" w:after="40" w:line="276" w:lineRule="auto"/>
              <w:jc w:val="left"/>
            </w:pPr>
            <w:r>
              <w:rPr>
                <w:rFonts w:ascii="Times New Roman" w:hAnsi="Times New Roman" w:eastAsia="宋体"/>
                <w:b w:val="0"/>
                <w:color w:val="000000"/>
                <w:sz w:val="19"/>
              </w:rPr>
              <w:t>物流变成信息流</w:t>
            </w:r>
          </w:p>
        </w:tc>
        <w:tc>
          <w:tcPr>
            <w:tcW w:w="7483" w:type="dxa"/>
            <w:vAlign w:val="center"/>
          </w:tcPr>
          <w:p w14:paraId="4CB69A7A">
            <w:pPr>
              <w:spacing w:before="20" w:after="40" w:line="276" w:lineRule="auto"/>
              <w:jc w:val="left"/>
            </w:pPr>
            <w:r>
              <w:rPr>
                <w:rFonts w:ascii="Times New Roman" w:hAnsi="Times New Roman" w:eastAsia="宋体"/>
                <w:b w:val="0"/>
                <w:color w:val="000000"/>
                <w:sz w:val="19"/>
              </w:rPr>
              <w:t>各门店自有的系统与表格统一为集中式记录；治疗单、收费单与耗材领用不再靠本店表格与本店口径</w:t>
            </w:r>
          </w:p>
        </w:tc>
      </w:tr>
      <w:tr w14:paraId="00BBB1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shd w:val="clear" w:color="auto" w:fill="F4F4F4"/>
            <w:vAlign w:val="center"/>
          </w:tcPr>
          <w:p w14:paraId="0B5C564A">
            <w:pPr>
              <w:spacing w:before="20" w:after="40" w:line="276" w:lineRule="auto"/>
              <w:jc w:val="left"/>
            </w:pPr>
            <w:r>
              <w:rPr>
                <w:rFonts w:ascii="Times New Roman" w:hAnsi="Times New Roman" w:eastAsia="宋体"/>
                <w:b w:val="0"/>
                <w:color w:val="000000"/>
                <w:sz w:val="19"/>
              </w:rPr>
              <w:t>改善信息流转</w:t>
            </w:r>
          </w:p>
        </w:tc>
        <w:tc>
          <w:tcPr>
            <w:tcW w:w="7483" w:type="dxa"/>
            <w:shd w:val="clear" w:color="auto" w:fill="F4F4F4"/>
            <w:vAlign w:val="center"/>
          </w:tcPr>
          <w:p w14:paraId="0B5B44A8">
            <w:pPr>
              <w:spacing w:before="20" w:after="40" w:line="276" w:lineRule="auto"/>
              <w:jc w:val="left"/>
            </w:pPr>
            <w:r>
              <w:rPr>
                <w:rFonts w:ascii="Times New Roman" w:hAnsi="Times New Roman" w:eastAsia="宋体"/>
                <w:b w:val="0"/>
                <w:color w:val="000000"/>
                <w:sz w:val="19"/>
              </w:rPr>
              <w:t>患者档案、过敏史与既往治疗跨门店即时可查；可接诊牙医按资质与门店安排即时反馈；总部在线取数并看到统一口径</w:t>
            </w:r>
          </w:p>
        </w:tc>
      </w:tr>
      <w:tr w14:paraId="1ECBFDD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14:paraId="2AA49317">
            <w:pPr>
              <w:spacing w:before="20" w:after="40" w:line="276" w:lineRule="auto"/>
              <w:jc w:val="left"/>
            </w:pPr>
            <w:r>
              <w:rPr>
                <w:rFonts w:ascii="Times New Roman" w:hAnsi="Times New Roman" w:eastAsia="宋体"/>
                <w:b w:val="0"/>
                <w:color w:val="000000"/>
                <w:sz w:val="19"/>
              </w:rPr>
              <w:t>封装领域逻辑</w:t>
            </w:r>
          </w:p>
        </w:tc>
        <w:tc>
          <w:tcPr>
            <w:tcW w:w="7483" w:type="dxa"/>
            <w:vAlign w:val="center"/>
          </w:tcPr>
          <w:p w14:paraId="64BC9663">
            <w:pPr>
              <w:spacing w:before="20" w:after="40" w:line="276" w:lineRule="auto"/>
              <w:jc w:val="left"/>
            </w:pPr>
            <w:r>
              <w:rPr>
                <w:rFonts w:ascii="Times New Roman" w:hAnsi="Times New Roman" w:eastAsia="宋体"/>
                <w:b w:val="0"/>
                <w:color w:val="000000"/>
                <w:sz w:val="19"/>
              </w:rPr>
              <w:t>按标准价与成交价计价、结算单逐行明细生成、患者责任取消率统计、按季度计算各牙医收入与耗材成本并分摊运营费用</w:t>
            </w:r>
          </w:p>
        </w:tc>
      </w:tr>
    </w:tbl>
    <w:p w14:paraId="74CACB90">
      <w:pPr>
        <w:spacing w:before="0" w:after="0" w:line="200" w:lineRule="exact"/>
      </w:pPr>
    </w:p>
    <w:p w14:paraId="06F61932">
      <w:pPr>
        <w:keepNext/>
        <w:spacing w:before="120" w:after="40"/>
        <w:jc w:val="center"/>
      </w:pPr>
      <w:r>
        <w:drawing>
          <wp:inline distT="0" distB="0" distL="114300" distR="114300">
            <wp:extent cx="4859655" cy="4083050"/>
            <wp:effectExtent l="0" t="0" r="1714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860000" cy="4083616"/>
                    </a:xfrm>
                    <a:prstGeom prst="rect">
                      <a:avLst/>
                    </a:prstGeom>
                  </pic:spPr>
                </pic:pic>
              </a:graphicData>
            </a:graphic>
          </wp:inline>
        </w:drawing>
      </w:r>
    </w:p>
    <w:p w14:paraId="0C8D261C">
      <w:pPr>
        <w:spacing w:before="40" w:after="120"/>
        <w:jc w:val="center"/>
      </w:pPr>
      <w:r>
        <w:rPr>
          <w:rFonts w:ascii="Times New Roman" w:hAnsi="Times New Roman" w:eastAsia="宋体"/>
          <w:b w:val="0"/>
          <w:color w:val="3C3C3C"/>
          <w:sz w:val="19"/>
        </w:rPr>
        <w:t>图 5　改进业务序列图：患者电话预约就诊（暗红色消息为改进点）</w:t>
      </w:r>
    </w:p>
    <w:p w14:paraId="1E8B0767">
      <w:pPr>
        <w:spacing w:after="120" w:line="324" w:lineRule="auto"/>
        <w:ind w:firstLine="420"/>
      </w:pPr>
      <w:r>
        <w:rPr>
          <w:rFonts w:ascii="Times New Roman" w:hAnsi="Times New Roman" w:eastAsia="宋体"/>
          <w:b w:val="0"/>
          <w:color w:val="000000"/>
          <w:sz w:val="21"/>
        </w:rPr>
        <w:t>改进后的预约流程由系统反馈患者档案、过敏史、既往治疗与可接诊牙医，接待员只做确认与提交；预约建立后系统按时间发出就诊提醒与改约入口，患者确认、改约或取消的结果连同原因一并记录，取消率由此具备可靠口径。</w:t>
      </w:r>
    </w:p>
    <w:p w14:paraId="2DDB4045">
      <w:pPr>
        <w:keepNext/>
        <w:spacing w:before="120" w:after="40"/>
        <w:jc w:val="center"/>
      </w:pPr>
      <w:r>
        <w:drawing>
          <wp:inline distT="0" distB="0" distL="114300" distR="114300">
            <wp:extent cx="4859655" cy="3555365"/>
            <wp:effectExtent l="0" t="0" r="1714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860000" cy="3555964"/>
                    </a:xfrm>
                    <a:prstGeom prst="rect">
                      <a:avLst/>
                    </a:prstGeom>
                  </pic:spPr>
                </pic:pic>
              </a:graphicData>
            </a:graphic>
          </wp:inline>
        </w:drawing>
      </w:r>
    </w:p>
    <w:p w14:paraId="71E5513E">
      <w:pPr>
        <w:spacing w:before="40" w:after="120"/>
        <w:jc w:val="center"/>
      </w:pPr>
      <w:r>
        <w:rPr>
          <w:rFonts w:ascii="Times New Roman" w:hAnsi="Times New Roman" w:eastAsia="宋体"/>
          <w:b w:val="0"/>
          <w:color w:val="3C3C3C"/>
          <w:sz w:val="19"/>
        </w:rPr>
        <w:t>图 6　改进业务序列图：就诊与治疗记录（暗红色消息为改进点）</w:t>
      </w:r>
    </w:p>
    <w:p w14:paraId="21BEAE1C">
      <w:pPr>
        <w:spacing w:after="120" w:line="324" w:lineRule="auto"/>
        <w:ind w:firstLine="420"/>
      </w:pPr>
      <w:r>
        <w:rPr>
          <w:rFonts w:ascii="Times New Roman" w:hAnsi="Times New Roman" w:eastAsia="宋体"/>
          <w:b w:val="0"/>
          <w:color w:val="000000"/>
          <w:sz w:val="21"/>
        </w:rPr>
        <w:t>改进后的诊疗流程先取患者档案与既往治疗计划，再记录治疗项目、牙位与施用的标准单位数，系统按标准价与成交价计算金额；追加治疗就地补录，本次使用的耗材连同批号或序列号关联到患者，就诊结束时一次性更新就诊状态。</w:t>
      </w:r>
    </w:p>
    <w:p w14:paraId="4E4F84BF">
      <w:pPr>
        <w:keepNext/>
        <w:spacing w:before="120" w:after="40"/>
        <w:jc w:val="center"/>
      </w:pPr>
      <w:r>
        <w:drawing>
          <wp:inline distT="0" distB="0" distL="114300" distR="114300">
            <wp:extent cx="4859655" cy="3023235"/>
            <wp:effectExtent l="0" t="0" r="1714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860000" cy="3023639"/>
                    </a:xfrm>
                    <a:prstGeom prst="rect">
                      <a:avLst/>
                    </a:prstGeom>
                  </pic:spPr>
                </pic:pic>
              </a:graphicData>
            </a:graphic>
          </wp:inline>
        </w:drawing>
      </w:r>
    </w:p>
    <w:p w14:paraId="2D7C5EDD">
      <w:pPr>
        <w:spacing w:before="40" w:after="120"/>
        <w:jc w:val="center"/>
      </w:pPr>
      <w:r>
        <w:rPr>
          <w:rFonts w:ascii="Times New Roman" w:hAnsi="Times New Roman" w:eastAsia="宋体"/>
          <w:b w:val="0"/>
          <w:color w:val="3C3C3C"/>
          <w:sz w:val="19"/>
        </w:rPr>
        <w:t>图 7　改进业务序列图：结算与总部分析（暗红色消息为改进点）</w:t>
      </w:r>
    </w:p>
    <w:p w14:paraId="08CDA93C">
      <w:pPr>
        <w:spacing w:after="120" w:line="324" w:lineRule="auto"/>
        <w:ind w:firstLine="420"/>
      </w:pPr>
      <w:r>
        <w:rPr>
          <w:rFonts w:ascii="Times New Roman" w:hAnsi="Times New Roman" w:eastAsia="宋体"/>
          <w:b w:val="0"/>
          <w:color w:val="000000"/>
          <w:sz w:val="21"/>
        </w:rPr>
        <w:t>改进后的结算流程由系统按治疗明细（含牙位）生成结算单、标记收费状态，收款支持全额、分期与预收；总部不再逐店索要数据，直接按季度取得按门店与牙医汇总的经营与质量报告，并注明所依据的成本口径版本。</w:t>
      </w:r>
    </w:p>
    <w:p w14:paraId="6676FEA6">
      <w:pPr>
        <w:pStyle w:val="3"/>
      </w:pPr>
      <w:r>
        <w:t>四、需求</w:t>
      </w:r>
    </w:p>
    <w:p w14:paraId="574E1559">
      <w:pPr>
        <w:pStyle w:val="4"/>
      </w:pPr>
      <w:r>
        <w:t>4.1 系统用例图</w:t>
      </w:r>
    </w:p>
    <w:p w14:paraId="65D7B9D9">
      <w:pPr>
        <w:spacing w:after="120" w:line="324" w:lineRule="auto"/>
        <w:ind w:firstLine="420"/>
      </w:pPr>
      <w:r>
        <w:rPr>
          <w:rFonts w:ascii="Times New Roman" w:hAnsi="Times New Roman" w:eastAsia="宋体"/>
          <w:b w:val="0"/>
          <w:color w:val="000000"/>
          <w:sz w:val="21"/>
        </w:rPr>
        <w:t>系统用例图从改进业务序列图映射得到：外部指向目标系统的消息构成系统用例，箭头另一端的角色构成系统执行者。这里要注意的是，系统执行者与业务执行者并不相同：业务执行者是患者，而直接与系统交互的是诊所接待员、接诊牙医、总部管理人员，以及收到就诊提醒后确认到诊或申请改约的患者。</w:t>
      </w:r>
    </w:p>
    <w:p w14:paraId="79F7AB47">
      <w:pPr>
        <w:keepNext/>
        <w:spacing w:before="120" w:after="40"/>
        <w:jc w:val="center"/>
      </w:pPr>
      <w:r>
        <w:drawing>
          <wp:inline distT="0" distB="0" distL="114300" distR="114300">
            <wp:extent cx="4859655" cy="3683000"/>
            <wp:effectExtent l="0" t="0" r="1714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860000" cy="3683368"/>
                    </a:xfrm>
                    <a:prstGeom prst="rect">
                      <a:avLst/>
                    </a:prstGeom>
                  </pic:spPr>
                </pic:pic>
              </a:graphicData>
            </a:graphic>
          </wp:inline>
        </w:drawing>
      </w:r>
    </w:p>
    <w:p w14:paraId="38A46E46">
      <w:pPr>
        <w:spacing w:before="40" w:after="120"/>
        <w:jc w:val="center"/>
      </w:pPr>
      <w:r>
        <w:rPr>
          <w:rFonts w:ascii="Times New Roman" w:hAnsi="Times New Roman" w:eastAsia="宋体"/>
          <w:b w:val="0"/>
          <w:color w:val="3C3C3C"/>
          <w:sz w:val="19"/>
        </w:rPr>
        <w:t>图 8　诊疗管理系统系统用例图</w:t>
      </w: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1928"/>
        <w:gridCol w:w="1134"/>
        <w:gridCol w:w="6350"/>
      </w:tblGrid>
      <w:tr w14:paraId="42A911C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1928" w:type="dxa"/>
            <w:shd w:val="clear" w:color="auto" w:fill="4A4A4A"/>
            <w:vAlign w:val="center"/>
          </w:tcPr>
          <w:p w14:paraId="7F77AFFF">
            <w:pPr>
              <w:spacing w:before="20" w:after="40" w:line="276" w:lineRule="auto"/>
              <w:jc w:val="left"/>
            </w:pPr>
            <w:r>
              <w:rPr>
                <w:rFonts w:ascii="Times New Roman" w:hAnsi="Times New Roman" w:eastAsia="宋体"/>
                <w:b/>
                <w:color w:val="FFFFFF"/>
                <w:sz w:val="19"/>
              </w:rPr>
              <w:t>系统执行者</w:t>
            </w:r>
          </w:p>
        </w:tc>
        <w:tc>
          <w:tcPr>
            <w:tcW w:w="1134" w:type="dxa"/>
            <w:shd w:val="clear" w:color="auto" w:fill="4A4A4A"/>
            <w:vAlign w:val="center"/>
          </w:tcPr>
          <w:p w14:paraId="644B7EEB">
            <w:pPr>
              <w:spacing w:before="20" w:after="40" w:line="276" w:lineRule="auto"/>
              <w:jc w:val="left"/>
            </w:pPr>
            <w:r>
              <w:rPr>
                <w:rFonts w:ascii="Times New Roman" w:hAnsi="Times New Roman" w:eastAsia="宋体"/>
                <w:b/>
                <w:color w:val="FFFFFF"/>
                <w:sz w:val="19"/>
              </w:rPr>
              <w:t>类型</w:t>
            </w:r>
          </w:p>
        </w:tc>
        <w:tc>
          <w:tcPr>
            <w:tcW w:w="6350" w:type="dxa"/>
            <w:shd w:val="clear" w:color="auto" w:fill="4A4A4A"/>
            <w:vAlign w:val="center"/>
          </w:tcPr>
          <w:p w14:paraId="61F69739">
            <w:pPr>
              <w:spacing w:before="20" w:after="40" w:line="276" w:lineRule="auto"/>
              <w:jc w:val="left"/>
            </w:pPr>
            <w:r>
              <w:rPr>
                <w:rFonts w:ascii="Times New Roman" w:hAnsi="Times New Roman" w:eastAsia="宋体"/>
                <w:b/>
                <w:color w:val="FFFFFF"/>
                <w:sz w:val="19"/>
              </w:rPr>
              <w:t>说明</w:t>
            </w:r>
          </w:p>
        </w:tc>
      </w:tr>
      <w:tr w14:paraId="474843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14:paraId="5AC6289C">
            <w:pPr>
              <w:spacing w:before="20" w:after="40" w:line="276" w:lineRule="auto"/>
              <w:jc w:val="left"/>
            </w:pPr>
            <w:r>
              <w:rPr>
                <w:rFonts w:ascii="Times New Roman" w:hAnsi="Times New Roman" w:eastAsia="宋体"/>
                <w:b w:val="0"/>
                <w:color w:val="000000"/>
                <w:sz w:val="19"/>
              </w:rPr>
              <w:t>诊所接待员</w:t>
            </w:r>
          </w:p>
        </w:tc>
        <w:tc>
          <w:tcPr>
            <w:tcW w:w="1134" w:type="dxa"/>
            <w:vAlign w:val="center"/>
          </w:tcPr>
          <w:p w14:paraId="5F3AE460">
            <w:pPr>
              <w:spacing w:before="20" w:after="40" w:line="276" w:lineRule="auto"/>
              <w:jc w:val="left"/>
            </w:pPr>
            <w:r>
              <w:rPr>
                <w:rFonts w:ascii="Times New Roman" w:hAnsi="Times New Roman" w:eastAsia="宋体"/>
                <w:b w:val="0"/>
                <w:color w:val="000000"/>
                <w:sz w:val="19"/>
              </w:rPr>
              <w:t>主执行者</w:t>
            </w:r>
          </w:p>
        </w:tc>
        <w:tc>
          <w:tcPr>
            <w:tcW w:w="6350" w:type="dxa"/>
            <w:vAlign w:val="center"/>
          </w:tcPr>
          <w:p w14:paraId="0B27676C">
            <w:pPr>
              <w:spacing w:before="20" w:after="40" w:line="276" w:lineRule="auto"/>
              <w:jc w:val="left"/>
            </w:pPr>
            <w:r>
              <w:rPr>
                <w:rFonts w:ascii="Times New Roman" w:hAnsi="Times New Roman" w:eastAsia="宋体"/>
                <w:b w:val="0"/>
                <w:color w:val="000000"/>
                <w:sz w:val="19"/>
              </w:rPr>
              <w:t>登记预约、生成诊疗结算单、登记收款</w:t>
            </w:r>
          </w:p>
        </w:tc>
      </w:tr>
      <w:tr w14:paraId="6634DA8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shd w:val="clear" w:color="auto" w:fill="F4F4F4"/>
            <w:vAlign w:val="center"/>
          </w:tcPr>
          <w:p w14:paraId="25D00490">
            <w:pPr>
              <w:spacing w:before="20" w:after="40" w:line="276" w:lineRule="auto"/>
              <w:jc w:val="left"/>
            </w:pPr>
            <w:r>
              <w:rPr>
                <w:rFonts w:ascii="Times New Roman" w:hAnsi="Times New Roman" w:eastAsia="宋体"/>
                <w:b w:val="0"/>
                <w:color w:val="000000"/>
                <w:sz w:val="19"/>
              </w:rPr>
              <w:t>接诊牙医</w:t>
            </w:r>
          </w:p>
        </w:tc>
        <w:tc>
          <w:tcPr>
            <w:tcW w:w="1134" w:type="dxa"/>
            <w:shd w:val="clear" w:color="auto" w:fill="F4F4F4"/>
            <w:vAlign w:val="center"/>
          </w:tcPr>
          <w:p w14:paraId="24355081">
            <w:pPr>
              <w:spacing w:before="20" w:after="40" w:line="276" w:lineRule="auto"/>
              <w:jc w:val="left"/>
            </w:pPr>
            <w:r>
              <w:rPr>
                <w:rFonts w:ascii="Times New Roman" w:hAnsi="Times New Roman" w:eastAsia="宋体"/>
                <w:b w:val="0"/>
                <w:color w:val="000000"/>
                <w:sz w:val="19"/>
              </w:rPr>
              <w:t>主执行者</w:t>
            </w:r>
          </w:p>
        </w:tc>
        <w:tc>
          <w:tcPr>
            <w:tcW w:w="6350" w:type="dxa"/>
            <w:shd w:val="clear" w:color="auto" w:fill="F4F4F4"/>
            <w:vAlign w:val="center"/>
          </w:tcPr>
          <w:p w14:paraId="17A08DF0">
            <w:pPr>
              <w:spacing w:before="20" w:after="40" w:line="276" w:lineRule="auto"/>
              <w:jc w:val="left"/>
            </w:pPr>
            <w:r>
              <w:rPr>
                <w:rFonts w:ascii="Times New Roman" w:hAnsi="Times New Roman" w:eastAsia="宋体"/>
                <w:b w:val="0"/>
                <w:color w:val="000000"/>
                <w:sz w:val="19"/>
              </w:rPr>
              <w:t>记录就诊与治疗项目</w:t>
            </w:r>
          </w:p>
        </w:tc>
      </w:tr>
      <w:tr w14:paraId="3835C29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vAlign w:val="center"/>
          </w:tcPr>
          <w:p w14:paraId="5E2408D9">
            <w:pPr>
              <w:spacing w:before="20" w:after="40" w:line="276" w:lineRule="auto"/>
              <w:jc w:val="left"/>
            </w:pPr>
            <w:r>
              <w:rPr>
                <w:rFonts w:ascii="Times New Roman" w:hAnsi="Times New Roman" w:eastAsia="宋体"/>
                <w:b w:val="0"/>
                <w:color w:val="000000"/>
                <w:sz w:val="19"/>
              </w:rPr>
              <w:t>总部管理人员</w:t>
            </w:r>
          </w:p>
        </w:tc>
        <w:tc>
          <w:tcPr>
            <w:tcW w:w="1134" w:type="dxa"/>
            <w:vAlign w:val="center"/>
          </w:tcPr>
          <w:p w14:paraId="5B7F75CC">
            <w:pPr>
              <w:spacing w:before="20" w:after="40" w:line="276" w:lineRule="auto"/>
              <w:jc w:val="left"/>
            </w:pPr>
            <w:r>
              <w:rPr>
                <w:rFonts w:ascii="Times New Roman" w:hAnsi="Times New Roman" w:eastAsia="宋体"/>
                <w:b w:val="0"/>
                <w:color w:val="000000"/>
                <w:sz w:val="19"/>
              </w:rPr>
              <w:t>主执行者</w:t>
            </w:r>
          </w:p>
        </w:tc>
        <w:tc>
          <w:tcPr>
            <w:tcW w:w="6350" w:type="dxa"/>
            <w:vAlign w:val="center"/>
          </w:tcPr>
          <w:p w14:paraId="62CB0734">
            <w:pPr>
              <w:spacing w:before="20" w:after="40" w:line="276" w:lineRule="auto"/>
              <w:jc w:val="left"/>
            </w:pPr>
            <w:r>
              <w:rPr>
                <w:rFonts w:ascii="Times New Roman" w:hAnsi="Times New Roman" w:eastAsia="宋体"/>
                <w:b w:val="0"/>
                <w:color w:val="000000"/>
                <w:sz w:val="19"/>
              </w:rPr>
              <w:t>查询季度经营报告、维护治疗项目、维护牙医接诊安排</w:t>
            </w:r>
          </w:p>
        </w:tc>
      </w:tr>
      <w:tr w14:paraId="59CA895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928" w:type="dxa"/>
            <w:shd w:val="clear" w:color="auto" w:fill="F4F4F4"/>
            <w:vAlign w:val="center"/>
          </w:tcPr>
          <w:p w14:paraId="4AB85C2A">
            <w:pPr>
              <w:spacing w:before="20" w:after="40" w:line="276" w:lineRule="auto"/>
              <w:jc w:val="left"/>
            </w:pPr>
            <w:r>
              <w:rPr>
                <w:rFonts w:ascii="Times New Roman" w:hAnsi="Times New Roman" w:eastAsia="宋体"/>
                <w:b w:val="0"/>
                <w:color w:val="000000"/>
                <w:sz w:val="19"/>
              </w:rPr>
              <w:t>患者</w:t>
            </w:r>
          </w:p>
        </w:tc>
        <w:tc>
          <w:tcPr>
            <w:tcW w:w="1134" w:type="dxa"/>
            <w:shd w:val="clear" w:color="auto" w:fill="F4F4F4"/>
            <w:vAlign w:val="center"/>
          </w:tcPr>
          <w:p w14:paraId="7F74691E">
            <w:pPr>
              <w:spacing w:before="20" w:after="40" w:line="276" w:lineRule="auto"/>
              <w:jc w:val="left"/>
            </w:pPr>
            <w:r>
              <w:rPr>
                <w:rFonts w:ascii="Times New Roman" w:hAnsi="Times New Roman" w:eastAsia="宋体"/>
                <w:b w:val="0"/>
                <w:color w:val="000000"/>
                <w:sz w:val="19"/>
              </w:rPr>
              <w:t>主执行者</w:t>
            </w:r>
          </w:p>
        </w:tc>
        <w:tc>
          <w:tcPr>
            <w:tcW w:w="6350" w:type="dxa"/>
            <w:shd w:val="clear" w:color="auto" w:fill="F4F4F4"/>
            <w:vAlign w:val="center"/>
          </w:tcPr>
          <w:p w14:paraId="7A63CEBC">
            <w:pPr>
              <w:spacing w:before="20" w:after="40" w:line="276" w:lineRule="auto"/>
              <w:jc w:val="left"/>
            </w:pPr>
            <w:r>
              <w:rPr>
                <w:rFonts w:ascii="Times New Roman" w:hAnsi="Times New Roman" w:eastAsia="宋体"/>
                <w:b w:val="0"/>
                <w:color w:val="000000"/>
                <w:sz w:val="19"/>
              </w:rPr>
              <w:t>处理预约变更：收到就诊提醒后确认到诊、申请改约或取消</w:t>
            </w:r>
          </w:p>
        </w:tc>
      </w:tr>
    </w:tbl>
    <w:p w14:paraId="19748F99">
      <w:pPr>
        <w:spacing w:before="0" w:after="0" w:line="200" w:lineRule="exact"/>
      </w:pP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1020"/>
        <w:gridCol w:w="3628"/>
        <w:gridCol w:w="2835"/>
        <w:gridCol w:w="1928"/>
      </w:tblGrid>
      <w:tr w14:paraId="794A89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1020" w:type="dxa"/>
            <w:shd w:val="clear" w:color="auto" w:fill="4A4A4A"/>
            <w:vAlign w:val="center"/>
          </w:tcPr>
          <w:p w14:paraId="46475FDD">
            <w:pPr>
              <w:spacing w:before="20" w:after="40" w:line="276" w:lineRule="auto"/>
              <w:jc w:val="center"/>
            </w:pPr>
            <w:r>
              <w:rPr>
                <w:rFonts w:ascii="Times New Roman" w:hAnsi="Times New Roman" w:eastAsia="宋体"/>
                <w:b/>
                <w:color w:val="FFFFFF"/>
                <w:sz w:val="19"/>
              </w:rPr>
              <w:t>编号</w:t>
            </w:r>
          </w:p>
        </w:tc>
        <w:tc>
          <w:tcPr>
            <w:tcW w:w="3628" w:type="dxa"/>
            <w:shd w:val="clear" w:color="auto" w:fill="4A4A4A"/>
            <w:vAlign w:val="center"/>
          </w:tcPr>
          <w:p w14:paraId="03D43513">
            <w:pPr>
              <w:spacing w:before="20" w:after="40" w:line="276" w:lineRule="auto"/>
              <w:jc w:val="center"/>
            </w:pPr>
            <w:r>
              <w:rPr>
                <w:rFonts w:ascii="Times New Roman" w:hAnsi="Times New Roman" w:eastAsia="宋体"/>
                <w:b/>
                <w:color w:val="FFFFFF"/>
                <w:sz w:val="19"/>
              </w:rPr>
              <w:t>系统用例</w:t>
            </w:r>
          </w:p>
        </w:tc>
        <w:tc>
          <w:tcPr>
            <w:tcW w:w="2835" w:type="dxa"/>
            <w:shd w:val="clear" w:color="auto" w:fill="4A4A4A"/>
            <w:vAlign w:val="center"/>
          </w:tcPr>
          <w:p w14:paraId="03058409">
            <w:pPr>
              <w:spacing w:before="20" w:after="40" w:line="276" w:lineRule="auto"/>
              <w:jc w:val="center"/>
            </w:pPr>
            <w:r>
              <w:rPr>
                <w:rFonts w:ascii="Times New Roman" w:hAnsi="Times New Roman" w:eastAsia="宋体"/>
                <w:b/>
                <w:color w:val="FFFFFF"/>
                <w:sz w:val="19"/>
              </w:rPr>
              <w:t>主执行者</w:t>
            </w:r>
          </w:p>
        </w:tc>
        <w:tc>
          <w:tcPr>
            <w:tcW w:w="1928" w:type="dxa"/>
            <w:shd w:val="clear" w:color="auto" w:fill="4A4A4A"/>
            <w:vAlign w:val="center"/>
          </w:tcPr>
          <w:p w14:paraId="6213BF18">
            <w:pPr>
              <w:spacing w:before="20" w:after="40" w:line="276" w:lineRule="auto"/>
              <w:jc w:val="center"/>
            </w:pPr>
            <w:r>
              <w:rPr>
                <w:rFonts w:ascii="Times New Roman" w:hAnsi="Times New Roman" w:eastAsia="宋体"/>
                <w:b/>
                <w:color w:val="FFFFFF"/>
                <w:sz w:val="19"/>
              </w:rPr>
              <w:t>优先级</w:t>
            </w:r>
          </w:p>
        </w:tc>
      </w:tr>
      <w:tr w14:paraId="57F097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14:paraId="58DA6A3B">
            <w:pPr>
              <w:spacing w:before="20" w:after="40" w:line="276" w:lineRule="auto"/>
              <w:jc w:val="left"/>
            </w:pPr>
            <w:r>
              <w:rPr>
                <w:rFonts w:ascii="Times New Roman" w:hAnsi="Times New Roman" w:eastAsia="宋体"/>
                <w:b w:val="0"/>
                <w:color w:val="000000"/>
                <w:sz w:val="19"/>
              </w:rPr>
              <w:t>UC-01</w:t>
            </w:r>
          </w:p>
        </w:tc>
        <w:tc>
          <w:tcPr>
            <w:tcW w:w="3628" w:type="dxa"/>
            <w:vAlign w:val="center"/>
          </w:tcPr>
          <w:p w14:paraId="3BD657CB">
            <w:pPr>
              <w:spacing w:before="20" w:after="40" w:line="276" w:lineRule="auto"/>
              <w:jc w:val="left"/>
            </w:pPr>
            <w:r>
              <w:rPr>
                <w:rFonts w:ascii="Times New Roman" w:hAnsi="Times New Roman" w:eastAsia="宋体"/>
                <w:b w:val="0"/>
                <w:color w:val="000000"/>
                <w:sz w:val="19"/>
              </w:rPr>
              <w:t>记录就诊与治疗项目</w:t>
            </w:r>
          </w:p>
        </w:tc>
        <w:tc>
          <w:tcPr>
            <w:tcW w:w="2835" w:type="dxa"/>
            <w:vAlign w:val="center"/>
          </w:tcPr>
          <w:p w14:paraId="7F561D54">
            <w:pPr>
              <w:spacing w:before="20" w:after="40" w:line="276" w:lineRule="auto"/>
              <w:jc w:val="left"/>
            </w:pPr>
            <w:r>
              <w:rPr>
                <w:rFonts w:ascii="Times New Roman" w:hAnsi="Times New Roman" w:eastAsia="宋体"/>
                <w:b w:val="0"/>
                <w:color w:val="000000"/>
                <w:sz w:val="19"/>
              </w:rPr>
              <w:t>接诊牙医</w:t>
            </w:r>
          </w:p>
        </w:tc>
        <w:tc>
          <w:tcPr>
            <w:tcW w:w="1928" w:type="dxa"/>
            <w:vAlign w:val="center"/>
          </w:tcPr>
          <w:p w14:paraId="75FC368F">
            <w:pPr>
              <w:spacing w:before="20" w:after="40" w:line="276" w:lineRule="auto"/>
              <w:jc w:val="left"/>
            </w:pPr>
            <w:r>
              <w:rPr>
                <w:rFonts w:ascii="Times New Roman" w:hAnsi="Times New Roman" w:eastAsia="宋体"/>
                <w:b w:val="0"/>
                <w:color w:val="000000"/>
                <w:sz w:val="19"/>
              </w:rPr>
              <w:t>1</w:t>
            </w:r>
          </w:p>
        </w:tc>
      </w:tr>
      <w:tr w14:paraId="1C8803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shd w:val="clear" w:color="auto" w:fill="F4F4F4"/>
            <w:vAlign w:val="center"/>
          </w:tcPr>
          <w:p w14:paraId="562EB251">
            <w:pPr>
              <w:spacing w:before="20" w:after="40" w:line="276" w:lineRule="auto"/>
              <w:jc w:val="left"/>
            </w:pPr>
            <w:r>
              <w:rPr>
                <w:rFonts w:ascii="Times New Roman" w:hAnsi="Times New Roman" w:eastAsia="宋体"/>
                <w:b w:val="0"/>
                <w:color w:val="000000"/>
                <w:sz w:val="19"/>
              </w:rPr>
              <w:t>UC-02</w:t>
            </w:r>
          </w:p>
        </w:tc>
        <w:tc>
          <w:tcPr>
            <w:tcW w:w="3628" w:type="dxa"/>
            <w:shd w:val="clear" w:color="auto" w:fill="F4F4F4"/>
            <w:vAlign w:val="center"/>
          </w:tcPr>
          <w:p w14:paraId="25BC1759">
            <w:pPr>
              <w:spacing w:before="20" w:after="40" w:line="276" w:lineRule="auto"/>
              <w:jc w:val="left"/>
            </w:pPr>
            <w:r>
              <w:rPr>
                <w:rFonts w:ascii="Times New Roman" w:hAnsi="Times New Roman" w:eastAsia="宋体"/>
                <w:b w:val="0"/>
                <w:color w:val="000000"/>
                <w:sz w:val="19"/>
              </w:rPr>
              <w:t>生成诊疗结算单</w:t>
            </w:r>
          </w:p>
        </w:tc>
        <w:tc>
          <w:tcPr>
            <w:tcW w:w="2835" w:type="dxa"/>
            <w:shd w:val="clear" w:color="auto" w:fill="F4F4F4"/>
            <w:vAlign w:val="center"/>
          </w:tcPr>
          <w:p w14:paraId="4AEDC42C">
            <w:pPr>
              <w:spacing w:before="20" w:after="40" w:line="276" w:lineRule="auto"/>
              <w:jc w:val="left"/>
            </w:pPr>
            <w:r>
              <w:rPr>
                <w:rFonts w:ascii="Times New Roman" w:hAnsi="Times New Roman" w:eastAsia="宋体"/>
                <w:b w:val="0"/>
                <w:color w:val="000000"/>
                <w:sz w:val="19"/>
              </w:rPr>
              <w:t>诊所接待员</w:t>
            </w:r>
          </w:p>
        </w:tc>
        <w:tc>
          <w:tcPr>
            <w:tcW w:w="1928" w:type="dxa"/>
            <w:shd w:val="clear" w:color="auto" w:fill="F4F4F4"/>
            <w:vAlign w:val="center"/>
          </w:tcPr>
          <w:p w14:paraId="379BD21D">
            <w:pPr>
              <w:spacing w:before="20" w:after="40" w:line="276" w:lineRule="auto"/>
              <w:jc w:val="left"/>
            </w:pPr>
            <w:r>
              <w:rPr>
                <w:rFonts w:ascii="Times New Roman" w:hAnsi="Times New Roman" w:eastAsia="宋体"/>
                <w:b w:val="0"/>
                <w:color w:val="000000"/>
                <w:sz w:val="19"/>
              </w:rPr>
              <w:t>2</w:t>
            </w:r>
          </w:p>
        </w:tc>
      </w:tr>
      <w:tr w14:paraId="4182503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14:paraId="4591883D">
            <w:pPr>
              <w:spacing w:before="20" w:after="40" w:line="276" w:lineRule="auto"/>
              <w:jc w:val="left"/>
            </w:pPr>
            <w:r>
              <w:rPr>
                <w:rFonts w:ascii="Times New Roman" w:hAnsi="Times New Roman" w:eastAsia="宋体"/>
                <w:b w:val="0"/>
                <w:color w:val="000000"/>
                <w:sz w:val="19"/>
              </w:rPr>
              <w:t>UC-03</w:t>
            </w:r>
          </w:p>
        </w:tc>
        <w:tc>
          <w:tcPr>
            <w:tcW w:w="3628" w:type="dxa"/>
            <w:vAlign w:val="center"/>
          </w:tcPr>
          <w:p w14:paraId="4EFEBEE7">
            <w:pPr>
              <w:spacing w:before="20" w:after="40" w:line="276" w:lineRule="auto"/>
              <w:jc w:val="left"/>
            </w:pPr>
            <w:r>
              <w:rPr>
                <w:rFonts w:ascii="Times New Roman" w:hAnsi="Times New Roman" w:eastAsia="宋体"/>
                <w:b w:val="0"/>
                <w:color w:val="000000"/>
                <w:sz w:val="19"/>
              </w:rPr>
              <w:t>登记预约</w:t>
            </w:r>
          </w:p>
        </w:tc>
        <w:tc>
          <w:tcPr>
            <w:tcW w:w="2835" w:type="dxa"/>
            <w:vAlign w:val="center"/>
          </w:tcPr>
          <w:p w14:paraId="3C21140E">
            <w:pPr>
              <w:spacing w:before="20" w:after="40" w:line="276" w:lineRule="auto"/>
              <w:jc w:val="left"/>
            </w:pPr>
            <w:r>
              <w:rPr>
                <w:rFonts w:ascii="Times New Roman" w:hAnsi="Times New Roman" w:eastAsia="宋体"/>
                <w:b w:val="0"/>
                <w:color w:val="000000"/>
                <w:sz w:val="19"/>
              </w:rPr>
              <w:t>诊所接待员</w:t>
            </w:r>
          </w:p>
        </w:tc>
        <w:tc>
          <w:tcPr>
            <w:tcW w:w="1928" w:type="dxa"/>
            <w:vAlign w:val="center"/>
          </w:tcPr>
          <w:p w14:paraId="6CA2F0E9">
            <w:pPr>
              <w:spacing w:before="20" w:after="40" w:line="276" w:lineRule="auto"/>
              <w:jc w:val="left"/>
            </w:pPr>
            <w:r>
              <w:rPr>
                <w:rFonts w:ascii="Times New Roman" w:hAnsi="Times New Roman" w:eastAsia="宋体"/>
                <w:b w:val="0"/>
                <w:color w:val="000000"/>
                <w:sz w:val="19"/>
              </w:rPr>
              <w:t>3</w:t>
            </w:r>
          </w:p>
        </w:tc>
      </w:tr>
      <w:tr w14:paraId="0F3440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shd w:val="clear" w:color="auto" w:fill="F4F4F4"/>
            <w:vAlign w:val="center"/>
          </w:tcPr>
          <w:p w14:paraId="78507785">
            <w:pPr>
              <w:spacing w:before="20" w:after="40" w:line="276" w:lineRule="auto"/>
              <w:jc w:val="left"/>
            </w:pPr>
            <w:r>
              <w:rPr>
                <w:rFonts w:ascii="Times New Roman" w:hAnsi="Times New Roman" w:eastAsia="宋体"/>
                <w:b w:val="0"/>
                <w:color w:val="000000"/>
                <w:sz w:val="19"/>
              </w:rPr>
              <w:t>UC-04</w:t>
            </w:r>
          </w:p>
        </w:tc>
        <w:tc>
          <w:tcPr>
            <w:tcW w:w="3628" w:type="dxa"/>
            <w:shd w:val="clear" w:color="auto" w:fill="F4F4F4"/>
            <w:vAlign w:val="center"/>
          </w:tcPr>
          <w:p w14:paraId="031EE399">
            <w:pPr>
              <w:spacing w:before="20" w:after="40" w:line="276" w:lineRule="auto"/>
              <w:jc w:val="left"/>
            </w:pPr>
            <w:r>
              <w:rPr>
                <w:rFonts w:ascii="Times New Roman" w:hAnsi="Times New Roman" w:eastAsia="宋体"/>
                <w:b w:val="0"/>
                <w:color w:val="000000"/>
                <w:sz w:val="19"/>
              </w:rPr>
              <w:t>查询季度经营报告</w:t>
            </w:r>
          </w:p>
        </w:tc>
        <w:tc>
          <w:tcPr>
            <w:tcW w:w="2835" w:type="dxa"/>
            <w:shd w:val="clear" w:color="auto" w:fill="F4F4F4"/>
            <w:vAlign w:val="center"/>
          </w:tcPr>
          <w:p w14:paraId="2DD20DF4">
            <w:pPr>
              <w:spacing w:before="20" w:after="40" w:line="276" w:lineRule="auto"/>
              <w:jc w:val="left"/>
            </w:pPr>
            <w:r>
              <w:rPr>
                <w:rFonts w:ascii="Times New Roman" w:hAnsi="Times New Roman" w:eastAsia="宋体"/>
                <w:b w:val="0"/>
                <w:color w:val="000000"/>
                <w:sz w:val="19"/>
              </w:rPr>
              <w:t>总部管理人员</w:t>
            </w:r>
          </w:p>
        </w:tc>
        <w:tc>
          <w:tcPr>
            <w:tcW w:w="1928" w:type="dxa"/>
            <w:shd w:val="clear" w:color="auto" w:fill="F4F4F4"/>
            <w:vAlign w:val="center"/>
          </w:tcPr>
          <w:p w14:paraId="380C42D0">
            <w:pPr>
              <w:spacing w:before="20" w:after="40" w:line="276" w:lineRule="auto"/>
              <w:jc w:val="left"/>
            </w:pPr>
            <w:r>
              <w:rPr>
                <w:rFonts w:ascii="Times New Roman" w:hAnsi="Times New Roman" w:eastAsia="宋体"/>
                <w:b w:val="0"/>
                <w:color w:val="000000"/>
                <w:sz w:val="19"/>
              </w:rPr>
              <w:t>4</w:t>
            </w:r>
          </w:p>
        </w:tc>
      </w:tr>
      <w:tr w14:paraId="3433EC9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14:paraId="2BF7752F">
            <w:pPr>
              <w:spacing w:before="20" w:after="40" w:line="276" w:lineRule="auto"/>
              <w:jc w:val="left"/>
            </w:pPr>
            <w:r>
              <w:rPr>
                <w:rFonts w:ascii="Times New Roman" w:hAnsi="Times New Roman" w:eastAsia="宋体"/>
                <w:b w:val="0"/>
                <w:color w:val="000000"/>
                <w:sz w:val="19"/>
              </w:rPr>
              <w:t>UC-05</w:t>
            </w:r>
          </w:p>
        </w:tc>
        <w:tc>
          <w:tcPr>
            <w:tcW w:w="3628" w:type="dxa"/>
            <w:vAlign w:val="center"/>
          </w:tcPr>
          <w:p w14:paraId="428D8001">
            <w:pPr>
              <w:spacing w:before="20" w:after="40" w:line="276" w:lineRule="auto"/>
              <w:jc w:val="left"/>
            </w:pPr>
            <w:r>
              <w:rPr>
                <w:rFonts w:ascii="Times New Roman" w:hAnsi="Times New Roman" w:eastAsia="宋体"/>
                <w:b w:val="0"/>
                <w:color w:val="000000"/>
                <w:sz w:val="19"/>
              </w:rPr>
              <w:t>处理预约变更</w:t>
            </w:r>
          </w:p>
        </w:tc>
        <w:tc>
          <w:tcPr>
            <w:tcW w:w="2835" w:type="dxa"/>
            <w:vAlign w:val="center"/>
          </w:tcPr>
          <w:p w14:paraId="0C359936">
            <w:pPr>
              <w:spacing w:before="20" w:after="40" w:line="276" w:lineRule="auto"/>
              <w:jc w:val="left"/>
            </w:pPr>
            <w:r>
              <w:rPr>
                <w:rFonts w:ascii="Times New Roman" w:hAnsi="Times New Roman" w:eastAsia="宋体"/>
                <w:b w:val="0"/>
                <w:color w:val="000000"/>
                <w:sz w:val="19"/>
              </w:rPr>
              <w:t>患者</w:t>
            </w:r>
          </w:p>
        </w:tc>
        <w:tc>
          <w:tcPr>
            <w:tcW w:w="1928" w:type="dxa"/>
            <w:vAlign w:val="center"/>
          </w:tcPr>
          <w:p w14:paraId="15EC51A6">
            <w:pPr>
              <w:spacing w:before="20" w:after="40" w:line="276" w:lineRule="auto"/>
              <w:jc w:val="left"/>
            </w:pPr>
            <w:r>
              <w:rPr>
                <w:rFonts w:ascii="Times New Roman" w:hAnsi="Times New Roman" w:eastAsia="宋体"/>
                <w:b w:val="0"/>
                <w:color w:val="000000"/>
                <w:sz w:val="19"/>
              </w:rPr>
              <w:t>5</w:t>
            </w:r>
          </w:p>
        </w:tc>
      </w:tr>
      <w:tr w14:paraId="463323E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shd w:val="clear" w:color="auto" w:fill="F4F4F4"/>
            <w:vAlign w:val="center"/>
          </w:tcPr>
          <w:p w14:paraId="43E755CF">
            <w:pPr>
              <w:spacing w:before="20" w:after="40" w:line="276" w:lineRule="auto"/>
              <w:jc w:val="left"/>
            </w:pPr>
            <w:r>
              <w:rPr>
                <w:rFonts w:ascii="Times New Roman" w:hAnsi="Times New Roman" w:eastAsia="宋体"/>
                <w:b w:val="0"/>
                <w:color w:val="000000"/>
                <w:sz w:val="19"/>
              </w:rPr>
              <w:t>UC-06</w:t>
            </w:r>
          </w:p>
        </w:tc>
        <w:tc>
          <w:tcPr>
            <w:tcW w:w="3628" w:type="dxa"/>
            <w:shd w:val="clear" w:color="auto" w:fill="F4F4F4"/>
            <w:vAlign w:val="center"/>
          </w:tcPr>
          <w:p w14:paraId="02DA9FCB">
            <w:pPr>
              <w:spacing w:before="20" w:after="40" w:line="276" w:lineRule="auto"/>
              <w:jc w:val="left"/>
            </w:pPr>
            <w:r>
              <w:rPr>
                <w:rFonts w:ascii="Times New Roman" w:hAnsi="Times New Roman" w:eastAsia="宋体"/>
                <w:b w:val="0"/>
                <w:color w:val="000000"/>
                <w:sz w:val="19"/>
              </w:rPr>
              <w:t>登记收款</w:t>
            </w:r>
          </w:p>
        </w:tc>
        <w:tc>
          <w:tcPr>
            <w:tcW w:w="2835" w:type="dxa"/>
            <w:shd w:val="clear" w:color="auto" w:fill="F4F4F4"/>
            <w:vAlign w:val="center"/>
          </w:tcPr>
          <w:p w14:paraId="16B9C58C">
            <w:pPr>
              <w:spacing w:before="20" w:after="40" w:line="276" w:lineRule="auto"/>
              <w:jc w:val="left"/>
            </w:pPr>
            <w:r>
              <w:rPr>
                <w:rFonts w:ascii="Times New Roman" w:hAnsi="Times New Roman" w:eastAsia="宋体"/>
                <w:b w:val="0"/>
                <w:color w:val="000000"/>
                <w:sz w:val="19"/>
              </w:rPr>
              <w:t>诊所接待员</w:t>
            </w:r>
          </w:p>
        </w:tc>
        <w:tc>
          <w:tcPr>
            <w:tcW w:w="1928" w:type="dxa"/>
            <w:shd w:val="clear" w:color="auto" w:fill="F4F4F4"/>
            <w:vAlign w:val="center"/>
          </w:tcPr>
          <w:p w14:paraId="4BD9A0B9">
            <w:pPr>
              <w:spacing w:before="20" w:after="40" w:line="276" w:lineRule="auto"/>
              <w:jc w:val="left"/>
            </w:pPr>
            <w:r>
              <w:rPr>
                <w:rFonts w:ascii="Times New Roman" w:hAnsi="Times New Roman" w:eastAsia="宋体"/>
                <w:b w:val="0"/>
                <w:color w:val="000000"/>
                <w:sz w:val="19"/>
              </w:rPr>
              <w:t>6</w:t>
            </w:r>
          </w:p>
        </w:tc>
      </w:tr>
      <w:tr w14:paraId="6C259D8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vAlign w:val="center"/>
          </w:tcPr>
          <w:p w14:paraId="642E1B7D">
            <w:pPr>
              <w:spacing w:before="20" w:after="40" w:line="276" w:lineRule="auto"/>
              <w:jc w:val="left"/>
            </w:pPr>
            <w:r>
              <w:rPr>
                <w:rFonts w:ascii="Times New Roman" w:hAnsi="Times New Roman" w:eastAsia="宋体"/>
                <w:b w:val="0"/>
                <w:color w:val="000000"/>
                <w:sz w:val="19"/>
              </w:rPr>
              <w:t>UC-07</w:t>
            </w:r>
          </w:p>
        </w:tc>
        <w:tc>
          <w:tcPr>
            <w:tcW w:w="3628" w:type="dxa"/>
            <w:vAlign w:val="center"/>
          </w:tcPr>
          <w:p w14:paraId="48F7DA96">
            <w:pPr>
              <w:spacing w:before="20" w:after="40" w:line="276" w:lineRule="auto"/>
              <w:jc w:val="left"/>
            </w:pPr>
            <w:r>
              <w:rPr>
                <w:rFonts w:ascii="Times New Roman" w:hAnsi="Times New Roman" w:eastAsia="宋体"/>
                <w:b w:val="0"/>
                <w:color w:val="000000"/>
                <w:sz w:val="19"/>
              </w:rPr>
              <w:t>维护治疗项目</w:t>
            </w:r>
          </w:p>
        </w:tc>
        <w:tc>
          <w:tcPr>
            <w:tcW w:w="2835" w:type="dxa"/>
            <w:vAlign w:val="center"/>
          </w:tcPr>
          <w:p w14:paraId="51DF630A">
            <w:pPr>
              <w:spacing w:before="20" w:after="40" w:line="276" w:lineRule="auto"/>
              <w:jc w:val="left"/>
            </w:pPr>
            <w:r>
              <w:rPr>
                <w:rFonts w:ascii="Times New Roman" w:hAnsi="Times New Roman" w:eastAsia="宋体"/>
                <w:b w:val="0"/>
                <w:color w:val="000000"/>
                <w:sz w:val="19"/>
              </w:rPr>
              <w:t>总部管理人员</w:t>
            </w:r>
          </w:p>
        </w:tc>
        <w:tc>
          <w:tcPr>
            <w:tcW w:w="1928" w:type="dxa"/>
            <w:vAlign w:val="center"/>
          </w:tcPr>
          <w:p w14:paraId="2817E8F8">
            <w:pPr>
              <w:spacing w:before="20" w:after="40" w:line="276" w:lineRule="auto"/>
              <w:jc w:val="left"/>
            </w:pPr>
            <w:r>
              <w:rPr>
                <w:rFonts w:ascii="Times New Roman" w:hAnsi="Times New Roman" w:eastAsia="宋体"/>
                <w:b w:val="0"/>
                <w:color w:val="000000"/>
                <w:sz w:val="19"/>
              </w:rPr>
              <w:t>7</w:t>
            </w:r>
          </w:p>
        </w:tc>
      </w:tr>
      <w:tr w14:paraId="7756DF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020" w:type="dxa"/>
            <w:shd w:val="clear" w:color="auto" w:fill="F4F4F4"/>
            <w:vAlign w:val="center"/>
          </w:tcPr>
          <w:p w14:paraId="257986D6">
            <w:pPr>
              <w:spacing w:before="20" w:after="40" w:line="276" w:lineRule="auto"/>
              <w:jc w:val="left"/>
            </w:pPr>
            <w:r>
              <w:rPr>
                <w:rFonts w:ascii="Times New Roman" w:hAnsi="Times New Roman" w:eastAsia="宋体"/>
                <w:b w:val="0"/>
                <w:color w:val="000000"/>
                <w:sz w:val="19"/>
              </w:rPr>
              <w:t>UC-08</w:t>
            </w:r>
          </w:p>
        </w:tc>
        <w:tc>
          <w:tcPr>
            <w:tcW w:w="3628" w:type="dxa"/>
            <w:shd w:val="clear" w:color="auto" w:fill="F4F4F4"/>
            <w:vAlign w:val="center"/>
          </w:tcPr>
          <w:p w14:paraId="55BB5B55">
            <w:pPr>
              <w:spacing w:before="20" w:after="40" w:line="276" w:lineRule="auto"/>
              <w:jc w:val="left"/>
            </w:pPr>
            <w:r>
              <w:rPr>
                <w:rFonts w:ascii="Times New Roman" w:hAnsi="Times New Roman" w:eastAsia="宋体"/>
                <w:b w:val="0"/>
                <w:color w:val="000000"/>
                <w:sz w:val="19"/>
              </w:rPr>
              <w:t>维护牙医接诊安排</w:t>
            </w:r>
          </w:p>
        </w:tc>
        <w:tc>
          <w:tcPr>
            <w:tcW w:w="2835" w:type="dxa"/>
            <w:shd w:val="clear" w:color="auto" w:fill="F4F4F4"/>
            <w:vAlign w:val="center"/>
          </w:tcPr>
          <w:p w14:paraId="492AE176">
            <w:pPr>
              <w:spacing w:before="20" w:after="40" w:line="276" w:lineRule="auto"/>
              <w:jc w:val="left"/>
            </w:pPr>
            <w:r>
              <w:rPr>
                <w:rFonts w:ascii="Times New Roman" w:hAnsi="Times New Roman" w:eastAsia="宋体"/>
                <w:b w:val="0"/>
                <w:color w:val="000000"/>
                <w:sz w:val="19"/>
              </w:rPr>
              <w:t>总部管理人员</w:t>
            </w:r>
          </w:p>
        </w:tc>
        <w:tc>
          <w:tcPr>
            <w:tcW w:w="1928" w:type="dxa"/>
            <w:shd w:val="clear" w:color="auto" w:fill="F4F4F4"/>
            <w:vAlign w:val="center"/>
          </w:tcPr>
          <w:p w14:paraId="2E4DF706">
            <w:pPr>
              <w:spacing w:before="20" w:after="40" w:line="276" w:lineRule="auto"/>
              <w:jc w:val="left"/>
            </w:pPr>
            <w:r>
              <w:rPr>
                <w:rFonts w:ascii="Times New Roman" w:hAnsi="Times New Roman" w:eastAsia="宋体"/>
                <w:b w:val="0"/>
                <w:color w:val="000000"/>
                <w:sz w:val="19"/>
              </w:rPr>
              <w:t>8</w:t>
            </w:r>
          </w:p>
        </w:tc>
      </w:tr>
    </w:tbl>
    <w:p w14:paraId="4DB0BBFD">
      <w:pPr>
        <w:spacing w:before="0" w:after="0" w:line="200" w:lineRule="exact"/>
      </w:pPr>
    </w:p>
    <w:p w14:paraId="431656CA">
      <w:pPr>
        <w:spacing w:after="120" w:line="324" w:lineRule="auto"/>
        <w:ind w:firstLine="420"/>
      </w:pPr>
      <w:r>
        <w:rPr>
          <w:rFonts w:ascii="Times New Roman" w:hAnsi="Times New Roman" w:eastAsia="宋体"/>
          <w:b w:val="0"/>
          <w:color w:val="000000"/>
          <w:sz w:val="21"/>
        </w:rPr>
        <w:t>需求没有“要不要”的问题，只有先后顺序。案例里最要紧的是让总部看得见各门店的诊疗与经营情况，而这一点的数据源头是治疗记录：治疗项目、牙位、耗材与就诊状态都在这里产生，成本与绩效也都要靠它归集。因此把 UC-01 列为第一优先，与它直接衔接的 UC-02 列为第二优先，并写出这两份完整规约。</w:t>
      </w:r>
    </w:p>
    <w:p w14:paraId="13708100">
      <w:pPr>
        <w:pStyle w:val="4"/>
      </w:pPr>
      <w:r>
        <w:t>4.2 用例规约</w:t>
      </w:r>
    </w:p>
    <w:p w14:paraId="093E1F5E">
      <w:pPr>
        <w:pStyle w:val="5"/>
      </w:pPr>
      <w:r>
        <w:t>UC-01 记录就诊与治疗项目</w:t>
      </w: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1814"/>
        <w:gridCol w:w="7597"/>
      </w:tblGrid>
      <w:tr w14:paraId="519553D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1814" w:type="dxa"/>
            <w:shd w:val="clear" w:color="auto" w:fill="4A4A4A"/>
            <w:vAlign w:val="center"/>
          </w:tcPr>
          <w:p w14:paraId="6800EBCE">
            <w:pPr>
              <w:spacing w:before="20" w:after="40" w:line="276" w:lineRule="auto"/>
              <w:jc w:val="left"/>
            </w:pPr>
            <w:r>
              <w:rPr>
                <w:rFonts w:ascii="Times New Roman" w:hAnsi="Times New Roman" w:eastAsia="宋体"/>
                <w:b/>
                <w:color w:val="FFFFFF"/>
                <w:sz w:val="19"/>
              </w:rPr>
              <w:t>字段</w:t>
            </w:r>
          </w:p>
        </w:tc>
        <w:tc>
          <w:tcPr>
            <w:tcW w:w="7597" w:type="dxa"/>
            <w:shd w:val="clear" w:color="auto" w:fill="4A4A4A"/>
            <w:vAlign w:val="center"/>
          </w:tcPr>
          <w:p w14:paraId="5D4C4EFA">
            <w:pPr>
              <w:spacing w:before="20" w:after="40" w:line="276" w:lineRule="auto"/>
              <w:jc w:val="left"/>
            </w:pPr>
            <w:r>
              <w:rPr>
                <w:rFonts w:ascii="Times New Roman" w:hAnsi="Times New Roman" w:eastAsia="宋体"/>
                <w:b/>
                <w:color w:val="FFFFFF"/>
                <w:sz w:val="19"/>
              </w:rPr>
              <w:t>内容</w:t>
            </w:r>
          </w:p>
        </w:tc>
      </w:tr>
      <w:tr w14:paraId="565FDE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1C58596E">
            <w:pPr>
              <w:spacing w:before="20" w:after="40" w:line="276" w:lineRule="auto"/>
              <w:jc w:val="left"/>
            </w:pPr>
            <w:r>
              <w:rPr>
                <w:rFonts w:ascii="Times New Roman" w:hAnsi="Times New Roman" w:eastAsia="宋体"/>
                <w:b w:val="0"/>
                <w:color w:val="000000"/>
                <w:sz w:val="19"/>
              </w:rPr>
              <w:t>用例编号与名称</w:t>
            </w:r>
          </w:p>
        </w:tc>
        <w:tc>
          <w:tcPr>
            <w:tcW w:w="7597" w:type="dxa"/>
            <w:vAlign w:val="center"/>
          </w:tcPr>
          <w:p w14:paraId="7AA493AE">
            <w:pPr>
              <w:spacing w:before="20" w:after="40" w:line="276" w:lineRule="auto"/>
              <w:jc w:val="left"/>
            </w:pPr>
            <w:r>
              <w:rPr>
                <w:rFonts w:ascii="Times New Roman" w:hAnsi="Times New Roman" w:eastAsia="宋体"/>
                <w:b w:val="0"/>
                <w:color w:val="000000"/>
                <w:sz w:val="19"/>
              </w:rPr>
              <w:t>UC-01 记录就诊与治疗项目</w:t>
            </w:r>
          </w:p>
        </w:tc>
      </w:tr>
      <w:tr w14:paraId="5D54815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0265FB89">
            <w:pPr>
              <w:spacing w:before="20" w:after="40" w:line="276" w:lineRule="auto"/>
              <w:jc w:val="left"/>
            </w:pPr>
            <w:r>
              <w:rPr>
                <w:rFonts w:ascii="Times New Roman" w:hAnsi="Times New Roman" w:eastAsia="宋体"/>
                <w:b w:val="0"/>
                <w:color w:val="000000"/>
                <w:sz w:val="19"/>
              </w:rPr>
              <w:t>执行者</w:t>
            </w:r>
          </w:p>
        </w:tc>
        <w:tc>
          <w:tcPr>
            <w:tcW w:w="7597" w:type="dxa"/>
            <w:shd w:val="clear" w:color="auto" w:fill="F4F4F4"/>
            <w:vAlign w:val="center"/>
          </w:tcPr>
          <w:p w14:paraId="79BF62F1">
            <w:pPr>
              <w:spacing w:before="20" w:after="40" w:line="276" w:lineRule="auto"/>
              <w:jc w:val="left"/>
            </w:pPr>
            <w:r>
              <w:rPr>
                <w:rFonts w:ascii="Times New Roman" w:hAnsi="Times New Roman" w:eastAsia="宋体"/>
                <w:b w:val="0"/>
                <w:color w:val="000000"/>
                <w:sz w:val="19"/>
              </w:rPr>
              <w:t>接诊牙医（主执行者）</w:t>
            </w:r>
          </w:p>
        </w:tc>
      </w:tr>
      <w:tr w14:paraId="73D4692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14320D01">
            <w:pPr>
              <w:spacing w:before="20" w:after="40" w:line="276" w:lineRule="auto"/>
              <w:jc w:val="left"/>
            </w:pPr>
            <w:r>
              <w:rPr>
                <w:rFonts w:ascii="Times New Roman" w:hAnsi="Times New Roman" w:eastAsia="宋体"/>
                <w:b w:val="0"/>
                <w:color w:val="000000"/>
                <w:sz w:val="19"/>
              </w:rPr>
              <w:t>前置条件</w:t>
            </w:r>
          </w:p>
        </w:tc>
        <w:tc>
          <w:tcPr>
            <w:tcW w:w="7597" w:type="dxa"/>
            <w:vAlign w:val="center"/>
          </w:tcPr>
          <w:p w14:paraId="6DAE9080">
            <w:pPr>
              <w:spacing w:before="20" w:after="40" w:line="276" w:lineRule="auto"/>
              <w:jc w:val="left"/>
            </w:pPr>
            <w:r>
              <w:rPr>
                <w:rFonts w:ascii="Times New Roman" w:hAnsi="Times New Roman" w:eastAsia="宋体"/>
                <w:b w:val="0"/>
                <w:color w:val="000000"/>
                <w:sz w:val="19"/>
              </w:rPr>
              <w:t>牙医已登录系统并选定本次就诊所属门店；本次预约记录已存在于系统中，且患者档案已建立</w:t>
            </w:r>
          </w:p>
        </w:tc>
      </w:tr>
      <w:tr w14:paraId="7216ADA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3C62A154">
            <w:pPr>
              <w:spacing w:before="20" w:after="40" w:line="276" w:lineRule="auto"/>
              <w:jc w:val="left"/>
            </w:pPr>
            <w:r>
              <w:rPr>
                <w:rFonts w:ascii="Times New Roman" w:hAnsi="Times New Roman" w:eastAsia="宋体"/>
                <w:b w:val="0"/>
                <w:color w:val="000000"/>
                <w:sz w:val="19"/>
              </w:rPr>
              <w:t>后置条件</w:t>
            </w:r>
          </w:p>
        </w:tc>
        <w:tc>
          <w:tcPr>
            <w:tcW w:w="7597" w:type="dxa"/>
            <w:shd w:val="clear" w:color="auto" w:fill="F4F4F4"/>
            <w:vAlign w:val="center"/>
          </w:tcPr>
          <w:p w14:paraId="3DBC7FC8">
            <w:pPr>
              <w:spacing w:before="20" w:after="40" w:line="276" w:lineRule="auto"/>
              <w:jc w:val="left"/>
            </w:pPr>
            <w:r>
              <w:rPr>
                <w:rFonts w:ascii="Times New Roman" w:hAnsi="Times New Roman" w:eastAsia="宋体"/>
                <w:b w:val="0"/>
                <w:color w:val="000000"/>
                <w:sz w:val="19"/>
              </w:rPr>
              <w:t>系统保存本次就诊记录（治疗项目、牙位、施用的标准单位数、标准价与成交价、所用耗材及其批号或序列号、特殊需求与说明），就诊状态更新为“已就诊”，并可按治疗明细生成结算单</w:t>
            </w:r>
          </w:p>
        </w:tc>
      </w:tr>
      <w:tr w14:paraId="6F2E2BC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26EBE24E">
            <w:pPr>
              <w:spacing w:before="20" w:after="40" w:line="276" w:lineRule="auto"/>
              <w:jc w:val="left"/>
            </w:pPr>
            <w:r>
              <w:rPr>
                <w:rFonts w:ascii="Times New Roman" w:hAnsi="Times New Roman" w:eastAsia="宋体"/>
                <w:b w:val="0"/>
                <w:color w:val="000000"/>
                <w:sz w:val="19"/>
              </w:rPr>
              <w:t>涉众利益</w:t>
            </w:r>
          </w:p>
        </w:tc>
        <w:tc>
          <w:tcPr>
            <w:tcW w:w="7597" w:type="dxa"/>
            <w:vAlign w:val="center"/>
          </w:tcPr>
          <w:p w14:paraId="1FECB9AF">
            <w:pPr>
              <w:spacing w:before="20" w:after="40" w:line="276" w:lineRule="auto"/>
              <w:jc w:val="left"/>
            </w:pPr>
            <w:r>
              <w:rPr>
                <w:rFonts w:ascii="Times New Roman" w:hAnsi="Times New Roman" w:eastAsia="宋体"/>
                <w:b w:val="0"/>
                <w:color w:val="000000"/>
                <w:sz w:val="19"/>
              </w:rPr>
              <w:t>患者希望治疗过程与费用可核对、既往病史与过敏情况被参考；牙医希望少写纸笔、就诊时能看到既往治疗与未完成计划；老板希望取得可核算的治疗、成本与取消数据；合伙人希望激励基金按牙医可核算</w:t>
            </w:r>
          </w:p>
        </w:tc>
      </w:tr>
      <w:tr w14:paraId="3FAA68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4A27EF28">
            <w:pPr>
              <w:spacing w:before="20" w:after="40" w:line="276" w:lineRule="auto"/>
              <w:jc w:val="left"/>
            </w:pPr>
            <w:r>
              <w:rPr>
                <w:rFonts w:ascii="Times New Roman" w:hAnsi="Times New Roman" w:eastAsia="宋体"/>
                <w:b w:val="0"/>
                <w:color w:val="000000"/>
                <w:sz w:val="19"/>
              </w:rPr>
              <w:t>基本路径</w:t>
            </w:r>
          </w:p>
        </w:tc>
        <w:tc>
          <w:tcPr>
            <w:tcW w:w="7597" w:type="dxa"/>
            <w:shd w:val="clear" w:color="auto" w:fill="F4F4F4"/>
            <w:vAlign w:val="center"/>
          </w:tcPr>
          <w:p w14:paraId="0230A2E4">
            <w:pPr>
              <w:spacing w:before="20" w:after="40" w:line="276" w:lineRule="auto"/>
              <w:jc w:val="left"/>
            </w:pPr>
            <w:r>
              <w:rPr>
                <w:rFonts w:ascii="Times New Roman" w:hAnsi="Times New Roman" w:eastAsia="宋体"/>
                <w:b w:val="0"/>
                <w:color w:val="000000"/>
                <w:sz w:val="19"/>
              </w:rPr>
              <w:t>1　牙医提交预约编号，请求调取患者档案</w:t>
            </w:r>
          </w:p>
          <w:p w14:paraId="3D218495">
            <w:pPr>
              <w:spacing w:before="20" w:after="40" w:line="276" w:lineRule="auto"/>
              <w:jc w:val="left"/>
            </w:pPr>
            <w:r>
              <w:rPr>
                <w:rFonts w:ascii="Times New Roman" w:hAnsi="Times New Roman" w:eastAsia="宋体"/>
                <w:b w:val="0"/>
                <w:color w:val="000000"/>
                <w:sz w:val="19"/>
              </w:rPr>
              <w:t>2　系统反馈患者基本信息、过敏史、既往治疗与未完成的治疗计划</w:t>
            </w:r>
          </w:p>
          <w:p w14:paraId="0CB8778C">
            <w:pPr>
              <w:spacing w:before="20" w:after="40" w:line="276" w:lineRule="auto"/>
              <w:jc w:val="left"/>
            </w:pPr>
            <w:r>
              <w:rPr>
                <w:rFonts w:ascii="Times New Roman" w:hAnsi="Times New Roman" w:eastAsia="宋体"/>
                <w:b w:val="0"/>
                <w:color w:val="000000"/>
                <w:sz w:val="19"/>
              </w:rPr>
              <w:t>3　牙医检查患者并确认当日治疗方案</w:t>
            </w:r>
          </w:p>
          <w:p w14:paraId="49197DE0">
            <w:pPr>
              <w:spacing w:before="20" w:after="40" w:line="276" w:lineRule="auto"/>
              <w:jc w:val="left"/>
            </w:pPr>
            <w:r>
              <w:rPr>
                <w:rFonts w:ascii="Times New Roman" w:hAnsi="Times New Roman" w:eastAsia="宋体"/>
                <w:b w:val="0"/>
                <w:color w:val="000000"/>
                <w:sz w:val="19"/>
              </w:rPr>
              <w:t>4　牙医提交治疗项目、牙位与施用的标准单位数</w:t>
            </w:r>
          </w:p>
          <w:p w14:paraId="451F5823">
            <w:pPr>
              <w:spacing w:before="20" w:after="40" w:line="276" w:lineRule="auto"/>
              <w:jc w:val="left"/>
            </w:pPr>
            <w:r>
              <w:rPr>
                <w:rFonts w:ascii="Times New Roman" w:hAnsi="Times New Roman" w:eastAsia="宋体"/>
                <w:b w:val="0"/>
                <w:color w:val="000000"/>
                <w:sz w:val="19"/>
              </w:rPr>
              <w:t>5　系统按标准单位价格与本次成交价计算治疗金额并反馈</w:t>
            </w:r>
          </w:p>
          <w:p w14:paraId="61A4AFA6">
            <w:pPr>
              <w:spacing w:before="20" w:after="40" w:line="276" w:lineRule="auto"/>
              <w:jc w:val="left"/>
            </w:pPr>
            <w:r>
              <w:rPr>
                <w:rFonts w:ascii="Times New Roman" w:hAnsi="Times New Roman" w:eastAsia="宋体"/>
                <w:b w:val="0"/>
                <w:color w:val="000000"/>
                <w:sz w:val="19"/>
              </w:rPr>
              <w:t>6　牙医补录就诊期间追加的治疗项目与牙位</w:t>
            </w:r>
          </w:p>
          <w:p w14:paraId="3840DE20">
            <w:pPr>
              <w:spacing w:before="20" w:after="40" w:line="276" w:lineRule="auto"/>
              <w:jc w:val="left"/>
            </w:pPr>
            <w:r>
              <w:rPr>
                <w:rFonts w:ascii="Times New Roman" w:hAnsi="Times New Roman" w:eastAsia="宋体"/>
                <w:b w:val="0"/>
                <w:color w:val="000000"/>
                <w:sz w:val="19"/>
              </w:rPr>
              <w:t>7　牙医登记本次使用的耗材及其批号或序列号</w:t>
            </w:r>
          </w:p>
          <w:p w14:paraId="55538309">
            <w:pPr>
              <w:spacing w:before="20" w:after="40" w:line="276" w:lineRule="auto"/>
              <w:jc w:val="left"/>
            </w:pPr>
            <w:r>
              <w:rPr>
                <w:rFonts w:ascii="Times New Roman" w:hAnsi="Times New Roman" w:eastAsia="宋体"/>
                <w:b w:val="0"/>
                <w:color w:val="000000"/>
                <w:sz w:val="19"/>
              </w:rPr>
              <w:t>8　牙医记录本次就诊的特殊需求与说明</w:t>
            </w:r>
          </w:p>
          <w:p w14:paraId="67E4FC40">
            <w:pPr>
              <w:spacing w:before="20" w:after="40" w:line="276" w:lineRule="auto"/>
              <w:jc w:val="left"/>
            </w:pPr>
            <w:r>
              <w:rPr>
                <w:rFonts w:ascii="Times New Roman" w:hAnsi="Times New Roman" w:eastAsia="宋体"/>
                <w:b w:val="0"/>
                <w:color w:val="000000"/>
                <w:sz w:val="19"/>
              </w:rPr>
              <w:t>9　系统保存就诊记录，并将就诊状态更新为“已就诊”</w:t>
            </w:r>
          </w:p>
          <w:p w14:paraId="625C4A88">
            <w:pPr>
              <w:spacing w:before="20" w:after="40" w:line="276" w:lineRule="auto"/>
              <w:jc w:val="left"/>
            </w:pPr>
            <w:r>
              <w:rPr>
                <w:rFonts w:ascii="Times New Roman" w:hAnsi="Times New Roman" w:eastAsia="宋体"/>
                <w:b w:val="0"/>
                <w:color w:val="000000"/>
                <w:sz w:val="19"/>
              </w:rPr>
              <w:t>10　系统汇总本次就诊的治疗明细与金额，供后续生成结算单</w:t>
            </w:r>
          </w:p>
        </w:tc>
      </w:tr>
      <w:tr w14:paraId="57E4B1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118D2202">
            <w:pPr>
              <w:spacing w:before="20" w:after="40" w:line="276" w:lineRule="auto"/>
              <w:jc w:val="left"/>
            </w:pPr>
            <w:r>
              <w:rPr>
                <w:rFonts w:ascii="Times New Roman" w:hAnsi="Times New Roman" w:eastAsia="宋体"/>
                <w:b w:val="0"/>
                <w:color w:val="000000"/>
                <w:sz w:val="19"/>
              </w:rPr>
              <w:t>扩展路径</w:t>
            </w:r>
          </w:p>
        </w:tc>
        <w:tc>
          <w:tcPr>
            <w:tcW w:w="7597" w:type="dxa"/>
            <w:vAlign w:val="center"/>
          </w:tcPr>
          <w:p w14:paraId="528E4CBF">
            <w:pPr>
              <w:spacing w:before="20" w:after="40" w:line="276" w:lineRule="auto"/>
              <w:jc w:val="left"/>
            </w:pPr>
            <w:r>
              <w:rPr>
                <w:rFonts w:ascii="Times New Roman" w:hAnsi="Times New Roman" w:eastAsia="宋体"/>
                <w:b w:val="0"/>
                <w:color w:val="000000"/>
                <w:sz w:val="19"/>
              </w:rPr>
              <w:t>1a　患者为首次到诊：牙医请接待员先建立患者档案（含过敏情况），返回步骤 1</w:t>
            </w:r>
          </w:p>
          <w:p w14:paraId="2DAE06E7">
            <w:pPr>
              <w:spacing w:before="20" w:after="40" w:line="276" w:lineRule="auto"/>
              <w:jc w:val="left"/>
            </w:pPr>
            <w:r>
              <w:rPr>
                <w:rFonts w:ascii="Times New Roman" w:hAnsi="Times New Roman" w:eastAsia="宋体"/>
                <w:b w:val="0"/>
                <w:color w:val="000000"/>
                <w:sz w:val="19"/>
              </w:rPr>
              <w:t>4a　就诊期间追加治疗项目（如拍片、抛光）：牙医补录治疗项目、牙位与标准单位数，返回步骤 5</w:t>
            </w:r>
          </w:p>
          <w:p w14:paraId="7BF4BA31">
            <w:pPr>
              <w:spacing w:before="20" w:after="40" w:line="276" w:lineRule="auto"/>
              <w:jc w:val="left"/>
            </w:pPr>
            <w:r>
              <w:rPr>
                <w:rFonts w:ascii="Times New Roman" w:hAnsi="Times New Roman" w:eastAsia="宋体"/>
                <w:b w:val="0"/>
                <w:color w:val="000000"/>
                <w:sz w:val="19"/>
              </w:rPr>
              <w:t>4b　患者报告新的过敏情况：牙医补录过敏记录后返回步骤 4</w:t>
            </w:r>
          </w:p>
          <w:p w14:paraId="05AEA6C6">
            <w:pPr>
              <w:spacing w:before="20" w:after="40" w:line="276" w:lineRule="auto"/>
              <w:jc w:val="left"/>
            </w:pPr>
            <w:r>
              <w:rPr>
                <w:rFonts w:ascii="Times New Roman" w:hAnsi="Times New Roman" w:eastAsia="宋体"/>
                <w:b w:val="0"/>
                <w:color w:val="000000"/>
                <w:sz w:val="19"/>
              </w:rPr>
              <w:t>4c　治疗项目不在系统的标准项目表中：牙医提交新增项目申请，由总部管理人员维护后返回步骤 4</w:t>
            </w:r>
          </w:p>
          <w:p w14:paraId="30D09DD6">
            <w:pPr>
              <w:spacing w:before="20" w:after="40" w:line="276" w:lineRule="auto"/>
              <w:jc w:val="left"/>
            </w:pPr>
            <w:r>
              <w:rPr>
                <w:rFonts w:ascii="Times New Roman" w:hAnsi="Times New Roman" w:eastAsia="宋体"/>
                <w:b w:val="0"/>
                <w:color w:val="000000"/>
                <w:sz w:val="19"/>
              </w:rPr>
              <w:t>7a　耗材没有批号或序列号（如通用材料）：只登记材料名称与用量，返回步骤 8</w:t>
            </w:r>
          </w:p>
        </w:tc>
      </w:tr>
      <w:tr w14:paraId="55EBA3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414A5053">
            <w:pPr>
              <w:spacing w:before="20" w:after="40" w:line="276" w:lineRule="auto"/>
              <w:jc w:val="left"/>
            </w:pPr>
            <w:r>
              <w:rPr>
                <w:rFonts w:ascii="Times New Roman" w:hAnsi="Times New Roman" w:eastAsia="宋体"/>
                <w:b w:val="0"/>
                <w:color w:val="000000"/>
                <w:sz w:val="19"/>
              </w:rPr>
              <w:t>字段列表</w:t>
            </w:r>
          </w:p>
        </w:tc>
        <w:tc>
          <w:tcPr>
            <w:tcW w:w="7597" w:type="dxa"/>
            <w:shd w:val="clear" w:color="auto" w:fill="F4F4F4"/>
            <w:vAlign w:val="center"/>
          </w:tcPr>
          <w:p w14:paraId="647D1878">
            <w:pPr>
              <w:spacing w:before="20" w:after="40" w:line="276" w:lineRule="auto"/>
              <w:jc w:val="left"/>
            </w:pPr>
            <w:r>
              <w:rPr>
                <w:rFonts w:ascii="Times New Roman" w:hAnsi="Times New Roman" w:eastAsia="宋体"/>
                <w:b w:val="0"/>
                <w:color w:val="000000"/>
                <w:sz w:val="19"/>
              </w:rPr>
              <w:t>患者 ID、姓名、出生日期、电话号码、过敏症名称、就诊编号、就诊日期时间、门店编号、牙医员工编号、治疗项目名称、牙位（FDI 编号）、标准单位数、标准单位价格、本次成交价、折扣或套餐标识、耗材名称、耗材批号或序列号、治疗金额、特殊需求记录、就诊状态</w:t>
            </w:r>
          </w:p>
        </w:tc>
      </w:tr>
      <w:tr w14:paraId="7BCF3E6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1C943019">
            <w:pPr>
              <w:spacing w:before="20" w:after="40" w:line="276" w:lineRule="auto"/>
              <w:jc w:val="left"/>
            </w:pPr>
            <w:r>
              <w:rPr>
                <w:rFonts w:ascii="Times New Roman" w:hAnsi="Times New Roman" w:eastAsia="宋体"/>
                <w:b w:val="0"/>
                <w:color w:val="000000"/>
                <w:sz w:val="19"/>
              </w:rPr>
              <w:t>业务规则</w:t>
            </w:r>
          </w:p>
        </w:tc>
        <w:tc>
          <w:tcPr>
            <w:tcW w:w="7597" w:type="dxa"/>
            <w:vAlign w:val="center"/>
          </w:tcPr>
          <w:p w14:paraId="1B203E74">
            <w:pPr>
              <w:spacing w:before="20" w:after="40" w:line="276" w:lineRule="auto"/>
              <w:jc w:val="left"/>
            </w:pPr>
            <w:r>
              <w:rPr>
                <w:rFonts w:ascii="Times New Roman" w:hAnsi="Times New Roman" w:eastAsia="宋体"/>
                <w:b w:val="0"/>
                <w:color w:val="000000"/>
                <w:sz w:val="19"/>
              </w:rPr>
              <w:t>治疗金额按标准单位数与标准单位价格计算后，再按本次成交价或折扣调整，标准价只作为基准，实际收费以成交价为准；涉及具体牙位的治疗项目必须记录牙位并采用 FDI 编号，全口类项目（如全口洁治、涂氟）标记为全口；一次就诊可包含一项或多项治疗，就诊期间可以追加治疗项目；种植体、修复材料等高值耗材必须登记批号或序列号并与本次就诊、患者关联，用于追溯；就诊记录中必须注明患者所有已知过敏症；就诊状态以布尔值记录是否到诊，且患者取消、患者爽约、诊所改约与医生停诊分别记录，用于计算患者责任取消率；每位牙医可以接诊多名患者，每名患者可以由多位牙医接诊，也可以在多家门店就诊</w:t>
            </w:r>
          </w:p>
        </w:tc>
      </w:tr>
      <w:tr w14:paraId="01F98B5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4646DC9E">
            <w:pPr>
              <w:spacing w:before="20" w:after="40" w:line="276" w:lineRule="auto"/>
              <w:jc w:val="left"/>
            </w:pPr>
            <w:r>
              <w:rPr>
                <w:rFonts w:ascii="Times New Roman" w:hAnsi="Times New Roman" w:eastAsia="宋体"/>
                <w:b w:val="0"/>
                <w:color w:val="000000"/>
                <w:sz w:val="19"/>
              </w:rPr>
              <w:t>质量需求</w:t>
            </w:r>
          </w:p>
        </w:tc>
        <w:tc>
          <w:tcPr>
            <w:tcW w:w="7597" w:type="dxa"/>
            <w:shd w:val="clear" w:color="auto" w:fill="F4F4F4"/>
            <w:vAlign w:val="center"/>
          </w:tcPr>
          <w:p w14:paraId="30BE549B">
            <w:pPr>
              <w:spacing w:before="20" w:after="40" w:line="276" w:lineRule="auto"/>
              <w:jc w:val="left"/>
            </w:pPr>
            <w:r>
              <w:rPr>
                <w:rFonts w:ascii="Times New Roman" w:hAnsi="Times New Roman" w:eastAsia="宋体"/>
                <w:b w:val="0"/>
                <w:color w:val="000000"/>
                <w:sz w:val="19"/>
              </w:rPr>
              <w:t>调取患者档案与既往治疗在 2 秒内返回；治疗金额计算必须准确；治疗记录、牙位与耗材批号不得丢失，病历内容被修改时必须留痕</w:t>
            </w:r>
          </w:p>
        </w:tc>
      </w:tr>
      <w:tr w14:paraId="44D453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2A7CD350">
            <w:pPr>
              <w:spacing w:before="20" w:after="40" w:line="276" w:lineRule="auto"/>
              <w:jc w:val="left"/>
            </w:pPr>
            <w:r>
              <w:rPr>
                <w:rFonts w:ascii="Times New Roman" w:hAnsi="Times New Roman" w:eastAsia="宋体"/>
                <w:b w:val="0"/>
                <w:color w:val="000000"/>
                <w:sz w:val="19"/>
              </w:rPr>
              <w:t>设计约束</w:t>
            </w:r>
          </w:p>
        </w:tc>
        <w:tc>
          <w:tcPr>
            <w:tcW w:w="7597" w:type="dxa"/>
            <w:vAlign w:val="center"/>
          </w:tcPr>
          <w:p w14:paraId="0D9F6CE9">
            <w:pPr>
              <w:spacing w:before="20" w:after="40" w:line="276" w:lineRule="auto"/>
              <w:jc w:val="left"/>
            </w:pPr>
            <w:r>
              <w:rPr>
                <w:rFonts w:ascii="Times New Roman" w:hAnsi="Times New Roman" w:eastAsia="宋体"/>
                <w:b w:val="0"/>
                <w:color w:val="000000"/>
                <w:sz w:val="19"/>
              </w:rPr>
              <w:t>15 家门店与后续新增门店共用一套集中式关系型数据库，患者档案与治疗记录允许跨门店查询并保留调阅记录；治疗与耗材数据按牙医、按季度保留；耗材追溯需要满足医疗器械追溯的管理要求</w:t>
            </w:r>
          </w:p>
        </w:tc>
      </w:tr>
    </w:tbl>
    <w:p w14:paraId="7ECAF76F">
      <w:pPr>
        <w:spacing w:before="0" w:after="0" w:line="240" w:lineRule="exact"/>
      </w:pPr>
    </w:p>
    <w:p w14:paraId="43213DCC">
      <w:pPr>
        <w:pStyle w:val="5"/>
      </w:pPr>
      <w:r>
        <w:t>UC-02 生成诊疗结算单</w:t>
      </w: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1814"/>
        <w:gridCol w:w="7597"/>
      </w:tblGrid>
      <w:tr w14:paraId="03AC302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1814" w:type="dxa"/>
            <w:shd w:val="clear" w:color="auto" w:fill="4A4A4A"/>
            <w:vAlign w:val="center"/>
          </w:tcPr>
          <w:p w14:paraId="20131DF4">
            <w:pPr>
              <w:spacing w:before="20" w:after="40" w:line="276" w:lineRule="auto"/>
              <w:jc w:val="left"/>
            </w:pPr>
            <w:r>
              <w:rPr>
                <w:rFonts w:ascii="Times New Roman" w:hAnsi="Times New Roman" w:eastAsia="宋体"/>
                <w:b/>
                <w:color w:val="FFFFFF"/>
                <w:sz w:val="19"/>
              </w:rPr>
              <w:t>字段</w:t>
            </w:r>
          </w:p>
        </w:tc>
        <w:tc>
          <w:tcPr>
            <w:tcW w:w="7597" w:type="dxa"/>
            <w:shd w:val="clear" w:color="auto" w:fill="4A4A4A"/>
            <w:vAlign w:val="center"/>
          </w:tcPr>
          <w:p w14:paraId="386B2FE8">
            <w:pPr>
              <w:spacing w:before="20" w:after="40" w:line="276" w:lineRule="auto"/>
              <w:jc w:val="left"/>
            </w:pPr>
            <w:r>
              <w:rPr>
                <w:rFonts w:ascii="Times New Roman" w:hAnsi="Times New Roman" w:eastAsia="宋体"/>
                <w:b/>
                <w:color w:val="FFFFFF"/>
                <w:sz w:val="19"/>
              </w:rPr>
              <w:t>内容</w:t>
            </w:r>
          </w:p>
        </w:tc>
      </w:tr>
      <w:tr w14:paraId="7822841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26E83335">
            <w:pPr>
              <w:spacing w:before="20" w:after="40" w:line="276" w:lineRule="auto"/>
              <w:jc w:val="left"/>
            </w:pPr>
            <w:r>
              <w:rPr>
                <w:rFonts w:ascii="Times New Roman" w:hAnsi="Times New Roman" w:eastAsia="宋体"/>
                <w:b w:val="0"/>
                <w:color w:val="000000"/>
                <w:sz w:val="19"/>
              </w:rPr>
              <w:t>用例编号与名称</w:t>
            </w:r>
          </w:p>
        </w:tc>
        <w:tc>
          <w:tcPr>
            <w:tcW w:w="7597" w:type="dxa"/>
            <w:vAlign w:val="center"/>
          </w:tcPr>
          <w:p w14:paraId="64DFA275">
            <w:pPr>
              <w:spacing w:before="20" w:after="40" w:line="276" w:lineRule="auto"/>
              <w:jc w:val="left"/>
            </w:pPr>
            <w:r>
              <w:rPr>
                <w:rFonts w:ascii="Times New Roman" w:hAnsi="Times New Roman" w:eastAsia="宋体"/>
                <w:b w:val="0"/>
                <w:color w:val="000000"/>
                <w:sz w:val="19"/>
              </w:rPr>
              <w:t>UC-02 生成诊疗结算单</w:t>
            </w:r>
          </w:p>
        </w:tc>
      </w:tr>
      <w:tr w14:paraId="1F43E3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43FD8487">
            <w:pPr>
              <w:spacing w:before="20" w:after="40" w:line="276" w:lineRule="auto"/>
              <w:jc w:val="left"/>
            </w:pPr>
            <w:r>
              <w:rPr>
                <w:rFonts w:ascii="Times New Roman" w:hAnsi="Times New Roman" w:eastAsia="宋体"/>
                <w:b w:val="0"/>
                <w:color w:val="000000"/>
                <w:sz w:val="19"/>
              </w:rPr>
              <w:t>执行者</w:t>
            </w:r>
          </w:p>
        </w:tc>
        <w:tc>
          <w:tcPr>
            <w:tcW w:w="7597" w:type="dxa"/>
            <w:shd w:val="clear" w:color="auto" w:fill="F4F4F4"/>
            <w:vAlign w:val="center"/>
          </w:tcPr>
          <w:p w14:paraId="301B32F6">
            <w:pPr>
              <w:spacing w:before="20" w:after="40" w:line="276" w:lineRule="auto"/>
              <w:jc w:val="left"/>
            </w:pPr>
            <w:r>
              <w:rPr>
                <w:rFonts w:ascii="Times New Roman" w:hAnsi="Times New Roman" w:eastAsia="宋体"/>
                <w:b w:val="0"/>
                <w:color w:val="000000"/>
                <w:sz w:val="19"/>
              </w:rPr>
              <w:t>诊所接待员（主执行者）</w:t>
            </w:r>
          </w:p>
        </w:tc>
      </w:tr>
      <w:tr w14:paraId="51BAE1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27B48376">
            <w:pPr>
              <w:spacing w:before="20" w:after="40" w:line="276" w:lineRule="auto"/>
              <w:jc w:val="left"/>
            </w:pPr>
            <w:r>
              <w:rPr>
                <w:rFonts w:ascii="Times New Roman" w:hAnsi="Times New Roman" w:eastAsia="宋体"/>
                <w:b w:val="0"/>
                <w:color w:val="000000"/>
                <w:sz w:val="19"/>
              </w:rPr>
              <w:t>前置条件</w:t>
            </w:r>
          </w:p>
        </w:tc>
        <w:tc>
          <w:tcPr>
            <w:tcW w:w="7597" w:type="dxa"/>
            <w:vAlign w:val="center"/>
          </w:tcPr>
          <w:p w14:paraId="1EE3521B">
            <w:pPr>
              <w:spacing w:before="20" w:after="40" w:line="276" w:lineRule="auto"/>
              <w:jc w:val="left"/>
            </w:pPr>
            <w:r>
              <w:rPr>
                <w:rFonts w:ascii="Times New Roman" w:hAnsi="Times New Roman" w:eastAsia="宋体"/>
                <w:b w:val="0"/>
                <w:color w:val="000000"/>
                <w:sz w:val="19"/>
              </w:rPr>
              <w:t>本次就诊已在系统中记录为“已就诊”，且治疗项目、牙位与标准单位数已录入</w:t>
            </w:r>
          </w:p>
        </w:tc>
      </w:tr>
      <w:tr w14:paraId="7CD47D5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08619728">
            <w:pPr>
              <w:spacing w:before="20" w:after="40" w:line="276" w:lineRule="auto"/>
              <w:jc w:val="left"/>
            </w:pPr>
            <w:r>
              <w:rPr>
                <w:rFonts w:ascii="Times New Roman" w:hAnsi="Times New Roman" w:eastAsia="宋体"/>
                <w:b w:val="0"/>
                <w:color w:val="000000"/>
                <w:sz w:val="19"/>
              </w:rPr>
              <w:t>后置条件</w:t>
            </w:r>
          </w:p>
        </w:tc>
        <w:tc>
          <w:tcPr>
            <w:tcW w:w="7597" w:type="dxa"/>
            <w:shd w:val="clear" w:color="auto" w:fill="F4F4F4"/>
            <w:vAlign w:val="center"/>
          </w:tcPr>
          <w:p w14:paraId="07A10370">
            <w:pPr>
              <w:spacing w:before="20" w:after="40" w:line="276" w:lineRule="auto"/>
              <w:jc w:val="left"/>
            </w:pPr>
            <w:r>
              <w:rPr>
                <w:rFonts w:ascii="Times New Roman" w:hAnsi="Times New Roman" w:eastAsia="宋体"/>
                <w:b w:val="0"/>
                <w:color w:val="000000"/>
                <w:sz w:val="19"/>
              </w:rPr>
              <w:t>系统生成与本次就诊对应的结算单（唯一单号、逐行明细、总价、收费状态）并保存；收款金额、方式与日期已记录，未收金额可查</w:t>
            </w:r>
          </w:p>
        </w:tc>
      </w:tr>
      <w:tr w14:paraId="49D406D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6090AF97">
            <w:pPr>
              <w:spacing w:before="20" w:after="40" w:line="276" w:lineRule="auto"/>
              <w:jc w:val="left"/>
            </w:pPr>
            <w:r>
              <w:rPr>
                <w:rFonts w:ascii="Times New Roman" w:hAnsi="Times New Roman" w:eastAsia="宋体"/>
                <w:b w:val="0"/>
                <w:color w:val="000000"/>
                <w:sz w:val="19"/>
              </w:rPr>
              <w:t>涉众利益</w:t>
            </w:r>
          </w:p>
        </w:tc>
        <w:tc>
          <w:tcPr>
            <w:tcW w:w="7597" w:type="dxa"/>
            <w:vAlign w:val="center"/>
          </w:tcPr>
          <w:p w14:paraId="5C15BD4E">
            <w:pPr>
              <w:spacing w:before="20" w:after="40" w:line="276" w:lineRule="auto"/>
              <w:jc w:val="left"/>
            </w:pPr>
            <w:r>
              <w:rPr>
                <w:rFonts w:ascii="Times New Roman" w:hAnsi="Times New Roman" w:eastAsia="宋体"/>
                <w:b w:val="0"/>
                <w:color w:val="000000"/>
                <w:sz w:val="19"/>
              </w:rPr>
              <w:t>患者希望明细清楚、金额可核对、能按阶段付款；接待员希望不必按治疗单手算；总部希望各门店开票口径统一；合伙人希望收入数据可直接用于季度核算</w:t>
            </w:r>
          </w:p>
        </w:tc>
      </w:tr>
      <w:tr w14:paraId="3B79CBC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0374F517">
            <w:pPr>
              <w:spacing w:before="20" w:after="40" w:line="276" w:lineRule="auto"/>
              <w:jc w:val="left"/>
            </w:pPr>
            <w:r>
              <w:rPr>
                <w:rFonts w:ascii="Times New Roman" w:hAnsi="Times New Roman" w:eastAsia="宋体"/>
                <w:b w:val="0"/>
                <w:color w:val="000000"/>
                <w:sz w:val="19"/>
              </w:rPr>
              <w:t>基本路径</w:t>
            </w:r>
          </w:p>
        </w:tc>
        <w:tc>
          <w:tcPr>
            <w:tcW w:w="7597" w:type="dxa"/>
            <w:shd w:val="clear" w:color="auto" w:fill="F4F4F4"/>
            <w:vAlign w:val="center"/>
          </w:tcPr>
          <w:p w14:paraId="050631AD">
            <w:pPr>
              <w:spacing w:before="20" w:after="40" w:line="276" w:lineRule="auto"/>
              <w:jc w:val="left"/>
            </w:pPr>
            <w:r>
              <w:rPr>
                <w:rFonts w:ascii="Times New Roman" w:hAnsi="Times New Roman" w:eastAsia="宋体"/>
                <w:b w:val="0"/>
                <w:color w:val="000000"/>
                <w:sz w:val="19"/>
              </w:rPr>
              <w:t>1　接待员提交就诊编号或患者姓名，请求生成结算单</w:t>
            </w:r>
          </w:p>
          <w:p w14:paraId="6CDB0B49">
            <w:pPr>
              <w:spacing w:before="20" w:after="40" w:line="276" w:lineRule="auto"/>
              <w:jc w:val="left"/>
            </w:pPr>
            <w:r>
              <w:rPr>
                <w:rFonts w:ascii="Times New Roman" w:hAnsi="Times New Roman" w:eastAsia="宋体"/>
                <w:b w:val="0"/>
                <w:color w:val="000000"/>
                <w:sz w:val="19"/>
              </w:rPr>
              <w:t>2　系统反馈本次就诊的治疗明细（含牙位与所用耗材）</w:t>
            </w:r>
          </w:p>
          <w:p w14:paraId="735CC515">
            <w:pPr>
              <w:spacing w:before="20" w:after="40" w:line="276" w:lineRule="auto"/>
              <w:jc w:val="left"/>
            </w:pPr>
            <w:r>
              <w:rPr>
                <w:rFonts w:ascii="Times New Roman" w:hAnsi="Times New Roman" w:eastAsia="宋体"/>
                <w:b w:val="0"/>
                <w:color w:val="000000"/>
                <w:sz w:val="19"/>
              </w:rPr>
              <w:t>3　系统按成交价生成逐行明细并计算结算单总价</w:t>
            </w:r>
          </w:p>
          <w:p w14:paraId="7C30EA16">
            <w:pPr>
              <w:spacing w:before="20" w:after="40" w:line="276" w:lineRule="auto"/>
              <w:jc w:val="left"/>
            </w:pPr>
            <w:r>
              <w:rPr>
                <w:rFonts w:ascii="Times New Roman" w:hAnsi="Times New Roman" w:eastAsia="宋体"/>
                <w:b w:val="0"/>
                <w:color w:val="000000"/>
                <w:sz w:val="19"/>
              </w:rPr>
              <w:t>4　系统生成唯一结算单号并保存结算单，标记收费状态为待收</w:t>
            </w:r>
          </w:p>
          <w:p w14:paraId="00BE8A8E">
            <w:pPr>
              <w:spacing w:before="20" w:after="40" w:line="276" w:lineRule="auto"/>
              <w:jc w:val="left"/>
            </w:pPr>
            <w:r>
              <w:rPr>
                <w:rFonts w:ascii="Times New Roman" w:hAnsi="Times New Roman" w:eastAsia="宋体"/>
                <w:b w:val="0"/>
                <w:color w:val="000000"/>
                <w:sz w:val="19"/>
              </w:rPr>
              <w:t>5　接待员向患者交付结算单并完成收费</w:t>
            </w:r>
          </w:p>
          <w:p w14:paraId="0CC9FC81">
            <w:pPr>
              <w:spacing w:before="20" w:after="40" w:line="276" w:lineRule="auto"/>
              <w:jc w:val="left"/>
            </w:pPr>
            <w:r>
              <w:rPr>
                <w:rFonts w:ascii="Times New Roman" w:hAnsi="Times New Roman" w:eastAsia="宋体"/>
                <w:b w:val="0"/>
                <w:color w:val="000000"/>
                <w:sz w:val="19"/>
              </w:rPr>
              <w:t>6　系统记录收款金额、收款方式与收费日期，更新收费状态</w:t>
            </w:r>
          </w:p>
        </w:tc>
      </w:tr>
      <w:tr w14:paraId="1013526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2527D667">
            <w:pPr>
              <w:spacing w:before="20" w:after="40" w:line="276" w:lineRule="auto"/>
              <w:jc w:val="left"/>
            </w:pPr>
            <w:r>
              <w:rPr>
                <w:rFonts w:ascii="Times New Roman" w:hAnsi="Times New Roman" w:eastAsia="宋体"/>
                <w:b w:val="0"/>
                <w:color w:val="000000"/>
                <w:sz w:val="19"/>
              </w:rPr>
              <w:t>扩展路径</w:t>
            </w:r>
          </w:p>
        </w:tc>
        <w:tc>
          <w:tcPr>
            <w:tcW w:w="7597" w:type="dxa"/>
            <w:vAlign w:val="center"/>
          </w:tcPr>
          <w:p w14:paraId="4B4B23DC">
            <w:pPr>
              <w:spacing w:before="20" w:after="40" w:line="276" w:lineRule="auto"/>
              <w:jc w:val="left"/>
            </w:pPr>
            <w:r>
              <w:rPr>
                <w:rFonts w:ascii="Times New Roman" w:hAnsi="Times New Roman" w:eastAsia="宋体"/>
                <w:b w:val="0"/>
                <w:color w:val="000000"/>
                <w:sz w:val="19"/>
              </w:rPr>
              <w:t>1a　系统中没有对应的就诊记录：接待员请接诊牙医先补录治疗明细，返回步骤 1</w:t>
            </w:r>
          </w:p>
          <w:p w14:paraId="40DA42B4">
            <w:pPr>
              <w:spacing w:before="20" w:after="40" w:line="276" w:lineRule="auto"/>
              <w:jc w:val="left"/>
            </w:pPr>
            <w:r>
              <w:rPr>
                <w:rFonts w:ascii="Times New Roman" w:hAnsi="Times New Roman" w:eastAsia="宋体"/>
                <w:b w:val="0"/>
                <w:color w:val="000000"/>
                <w:sz w:val="19"/>
              </w:rPr>
              <w:t>2a　患者对明细有异议：接待员将逐行明细交牙医核对，牙医更正后返回步骤 2</w:t>
            </w:r>
          </w:p>
          <w:p w14:paraId="737C80EE">
            <w:pPr>
              <w:spacing w:before="20" w:after="40" w:line="276" w:lineRule="auto"/>
              <w:jc w:val="left"/>
            </w:pPr>
            <w:r>
              <w:rPr>
                <w:rFonts w:ascii="Times New Roman" w:hAnsi="Times New Roman" w:eastAsia="宋体"/>
                <w:b w:val="0"/>
                <w:color w:val="000000"/>
                <w:sz w:val="19"/>
              </w:rPr>
              <w:t>5a　按套餐或治疗阶段分期收款（如正畸、种植）：系统登记本次已收金额，保留未收金额并标记为待收，返回步骤 5</w:t>
            </w:r>
          </w:p>
          <w:p w14:paraId="01A49350">
            <w:pPr>
              <w:spacing w:before="20" w:after="40" w:line="276" w:lineRule="auto"/>
              <w:jc w:val="left"/>
            </w:pPr>
            <w:r>
              <w:rPr>
                <w:rFonts w:ascii="Times New Roman" w:hAnsi="Times New Roman" w:eastAsia="宋体"/>
                <w:b w:val="0"/>
                <w:color w:val="000000"/>
                <w:sz w:val="19"/>
              </w:rPr>
              <w:t>5b　患者要求开具发票：系统按结算单生成发票信息并记录开票状态，开票结果与收款分别登记</w:t>
            </w:r>
          </w:p>
        </w:tc>
      </w:tr>
      <w:tr w14:paraId="197792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796CFF5D">
            <w:pPr>
              <w:spacing w:before="20" w:after="40" w:line="276" w:lineRule="auto"/>
              <w:jc w:val="left"/>
            </w:pPr>
            <w:r>
              <w:rPr>
                <w:rFonts w:ascii="Times New Roman" w:hAnsi="Times New Roman" w:eastAsia="宋体"/>
                <w:b w:val="0"/>
                <w:color w:val="000000"/>
                <w:sz w:val="19"/>
              </w:rPr>
              <w:t>字段列表</w:t>
            </w:r>
          </w:p>
        </w:tc>
        <w:tc>
          <w:tcPr>
            <w:tcW w:w="7597" w:type="dxa"/>
            <w:shd w:val="clear" w:color="auto" w:fill="F4F4F4"/>
            <w:vAlign w:val="center"/>
          </w:tcPr>
          <w:p w14:paraId="1C1BA7B5">
            <w:pPr>
              <w:spacing w:before="20" w:after="40" w:line="276" w:lineRule="auto"/>
              <w:jc w:val="left"/>
            </w:pPr>
            <w:r>
              <w:rPr>
                <w:rFonts w:ascii="Times New Roman" w:hAnsi="Times New Roman" w:eastAsia="宋体"/>
                <w:b w:val="0"/>
                <w:color w:val="000000"/>
                <w:sz w:val="19"/>
              </w:rPr>
              <w:t>结算单号、就诊编号、患者 ID、治疗项目名称、牙位、标准单位数、标准单位价格、本次成交价、小计、结算单总价、已收金额、未收金额、收费状态、收款方式、收费日期、发票信息</w:t>
            </w:r>
          </w:p>
        </w:tc>
      </w:tr>
      <w:tr w14:paraId="1FBDB17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09658C25">
            <w:pPr>
              <w:spacing w:before="20" w:after="40" w:line="276" w:lineRule="auto"/>
              <w:jc w:val="left"/>
            </w:pPr>
            <w:r>
              <w:rPr>
                <w:rFonts w:ascii="Times New Roman" w:hAnsi="Times New Roman" w:eastAsia="宋体"/>
                <w:b w:val="0"/>
                <w:color w:val="000000"/>
                <w:sz w:val="19"/>
              </w:rPr>
              <w:t>业务规则</w:t>
            </w:r>
          </w:p>
        </w:tc>
        <w:tc>
          <w:tcPr>
            <w:tcW w:w="7597" w:type="dxa"/>
            <w:vAlign w:val="center"/>
          </w:tcPr>
          <w:p w14:paraId="2442D673">
            <w:pPr>
              <w:spacing w:before="20" w:after="40" w:line="276" w:lineRule="auto"/>
              <w:jc w:val="left"/>
            </w:pPr>
            <w:r>
              <w:rPr>
                <w:rFonts w:ascii="Times New Roman" w:hAnsi="Times New Roman" w:eastAsia="宋体"/>
                <w:b w:val="0"/>
                <w:color w:val="000000"/>
                <w:sz w:val="19"/>
              </w:rPr>
              <w:t>每次就诊对应一张结算单；结算单的逐行明细全部来自就诊期间记录的治疗数据（含牙位），不由接待员另行输入；价格为成交价，标准价只作基准；套餐与分期治疗按阶段收款，预收款在对应治疗完成时冲抵；收费与开票分别记录；结算单号唯一</w:t>
            </w:r>
          </w:p>
        </w:tc>
      </w:tr>
      <w:tr w14:paraId="7FFFD84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shd w:val="clear" w:color="auto" w:fill="F4F4F4"/>
            <w:vAlign w:val="center"/>
          </w:tcPr>
          <w:p w14:paraId="55315CE0">
            <w:pPr>
              <w:spacing w:before="20" w:after="40" w:line="276" w:lineRule="auto"/>
              <w:jc w:val="left"/>
            </w:pPr>
            <w:r>
              <w:rPr>
                <w:rFonts w:ascii="Times New Roman" w:hAnsi="Times New Roman" w:eastAsia="宋体"/>
                <w:b w:val="0"/>
                <w:color w:val="000000"/>
                <w:sz w:val="19"/>
              </w:rPr>
              <w:t>质量需求</w:t>
            </w:r>
          </w:p>
        </w:tc>
        <w:tc>
          <w:tcPr>
            <w:tcW w:w="7597" w:type="dxa"/>
            <w:shd w:val="clear" w:color="auto" w:fill="F4F4F4"/>
            <w:vAlign w:val="center"/>
          </w:tcPr>
          <w:p w14:paraId="0E54F1A7">
            <w:pPr>
              <w:spacing w:before="20" w:after="40" w:line="276" w:lineRule="auto"/>
              <w:jc w:val="left"/>
            </w:pPr>
            <w:r>
              <w:rPr>
                <w:rFonts w:ascii="Times New Roman" w:hAnsi="Times New Roman" w:eastAsia="宋体"/>
                <w:b w:val="0"/>
                <w:color w:val="000000"/>
                <w:sz w:val="19"/>
              </w:rPr>
              <w:t>结算单总价与未收金额计算必须准确；结算单生成后即时可打印；结算单与就诊记录的对应关系不得丢失</w:t>
            </w:r>
          </w:p>
        </w:tc>
      </w:tr>
      <w:tr w14:paraId="7AA7C4E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1814" w:type="dxa"/>
            <w:vAlign w:val="center"/>
          </w:tcPr>
          <w:p w14:paraId="3A020BD6">
            <w:pPr>
              <w:spacing w:before="20" w:after="40" w:line="276" w:lineRule="auto"/>
              <w:jc w:val="left"/>
            </w:pPr>
            <w:r>
              <w:rPr>
                <w:rFonts w:ascii="Times New Roman" w:hAnsi="Times New Roman" w:eastAsia="宋体"/>
                <w:b w:val="0"/>
                <w:color w:val="000000"/>
                <w:sz w:val="19"/>
              </w:rPr>
              <w:t>设计约束</w:t>
            </w:r>
          </w:p>
        </w:tc>
        <w:tc>
          <w:tcPr>
            <w:tcW w:w="7597" w:type="dxa"/>
            <w:vAlign w:val="center"/>
          </w:tcPr>
          <w:p w14:paraId="7AA6366F">
            <w:pPr>
              <w:spacing w:before="20" w:after="40" w:line="276" w:lineRule="auto"/>
              <w:jc w:val="left"/>
            </w:pPr>
            <w:r>
              <w:rPr>
                <w:rFonts w:ascii="Times New Roman" w:hAnsi="Times New Roman" w:eastAsia="宋体"/>
                <w:b w:val="0"/>
                <w:color w:val="000000"/>
                <w:sz w:val="19"/>
              </w:rPr>
              <w:t>结算单格式在 15 家门店统一；结算、成本与收款数据需要能按门店、按牙医、按季度汇总</w:t>
            </w:r>
          </w:p>
        </w:tc>
      </w:tr>
    </w:tbl>
    <w:p w14:paraId="1505255D">
      <w:pPr>
        <w:spacing w:before="0" w:after="0" w:line="240" w:lineRule="exact"/>
      </w:pPr>
    </w:p>
    <w:p w14:paraId="00BBEB17">
      <w:pPr>
        <w:spacing w:after="120" w:line="324" w:lineRule="auto"/>
        <w:ind w:firstLine="420"/>
      </w:pPr>
      <w:r>
        <w:rPr>
          <w:rFonts w:ascii="Times New Roman" w:hAnsi="Times New Roman" w:eastAsia="宋体"/>
          <w:b w:val="0"/>
          <w:color w:val="000000"/>
          <w:sz w:val="21"/>
        </w:rPr>
        <w:t>路径步骤的写法要求：主语写人或系统，逐条描述责任与目的；不写“系统自动计算”这类冗余表述，也不写点击按钮、选择下拉框等界面细节，因为界面属于设计阶段的内容。UC-03 至 UC-08 暂未展开规约，原因是它们的输出都可以由 UC-01 与 UC-02 的数据推导得出，优先把数据源头写透。</w:t>
      </w:r>
    </w:p>
    <w:p w14:paraId="092A5F6E">
      <w:pPr>
        <w:pStyle w:val="3"/>
      </w:pPr>
      <w:r>
        <w:t>五、愿景、改进点与系统用例的对应关系</w:t>
      </w:r>
    </w:p>
    <w:tbl>
      <w:tblPr>
        <w:tblStyle w:val="33"/>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70" w:type="dxa"/>
          <w:left w:w="140" w:type="dxa"/>
          <w:bottom w:w="70" w:type="dxa"/>
          <w:right w:w="140" w:type="dxa"/>
        </w:tblCellMar>
      </w:tblPr>
      <w:tblGrid>
        <w:gridCol w:w="2268"/>
        <w:gridCol w:w="3402"/>
        <w:gridCol w:w="3742"/>
      </w:tblGrid>
      <w:tr w14:paraId="2CF4794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rPr>
          <w:tblHeader/>
        </w:trPr>
        <w:tc>
          <w:tcPr>
            <w:tcW w:w="2268" w:type="dxa"/>
            <w:shd w:val="clear" w:color="auto" w:fill="4A4A4A"/>
            <w:vAlign w:val="center"/>
          </w:tcPr>
          <w:p w14:paraId="7F662D83">
            <w:pPr>
              <w:spacing w:before="20" w:after="40" w:line="276" w:lineRule="auto"/>
              <w:jc w:val="left"/>
            </w:pPr>
            <w:r>
              <w:rPr>
                <w:rFonts w:ascii="Times New Roman" w:hAnsi="Times New Roman" w:eastAsia="宋体"/>
                <w:b/>
                <w:color w:val="FFFFFF"/>
                <w:sz w:val="19"/>
              </w:rPr>
              <w:t>愿景指标</w:t>
            </w:r>
          </w:p>
        </w:tc>
        <w:tc>
          <w:tcPr>
            <w:tcW w:w="3402" w:type="dxa"/>
            <w:shd w:val="clear" w:color="auto" w:fill="4A4A4A"/>
            <w:vAlign w:val="center"/>
          </w:tcPr>
          <w:p w14:paraId="4E5BEDA6">
            <w:pPr>
              <w:spacing w:before="20" w:after="40" w:line="276" w:lineRule="auto"/>
              <w:jc w:val="left"/>
            </w:pPr>
            <w:r>
              <w:rPr>
                <w:rFonts w:ascii="Times New Roman" w:hAnsi="Times New Roman" w:eastAsia="宋体"/>
                <w:b/>
                <w:color w:val="FFFFFF"/>
                <w:sz w:val="19"/>
              </w:rPr>
              <w:t>改进业务序列图中的改进点</w:t>
            </w:r>
          </w:p>
        </w:tc>
        <w:tc>
          <w:tcPr>
            <w:tcW w:w="3742" w:type="dxa"/>
            <w:shd w:val="clear" w:color="auto" w:fill="4A4A4A"/>
            <w:vAlign w:val="center"/>
          </w:tcPr>
          <w:p w14:paraId="68372BC6">
            <w:pPr>
              <w:spacing w:before="20" w:after="40" w:line="276" w:lineRule="auto"/>
              <w:jc w:val="left"/>
            </w:pPr>
            <w:r>
              <w:rPr>
                <w:rFonts w:ascii="Times New Roman" w:hAnsi="Times New Roman" w:eastAsia="宋体"/>
                <w:b/>
                <w:color w:val="FFFFFF"/>
                <w:sz w:val="19"/>
              </w:rPr>
              <w:t>支撑的系统用例与规约步骤</w:t>
            </w:r>
          </w:p>
        </w:tc>
      </w:tr>
      <w:tr w14:paraId="35E0636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268" w:type="dxa"/>
            <w:vAlign w:val="center"/>
          </w:tcPr>
          <w:p w14:paraId="2FCB64BF">
            <w:pPr>
              <w:spacing w:before="20" w:after="40" w:line="276" w:lineRule="auto"/>
              <w:jc w:val="left"/>
            </w:pPr>
            <w:r>
              <w:rPr>
                <w:rFonts w:ascii="Times New Roman" w:hAnsi="Times New Roman" w:eastAsia="宋体"/>
                <w:b w:val="0"/>
                <w:color w:val="000000"/>
                <w:sz w:val="19"/>
              </w:rPr>
              <w:t>季度经营与质量分析的工作日数从两周以上缩短到 3 天以内</w:t>
            </w:r>
          </w:p>
        </w:tc>
        <w:tc>
          <w:tcPr>
            <w:tcW w:w="3402" w:type="dxa"/>
            <w:vAlign w:val="center"/>
          </w:tcPr>
          <w:p w14:paraId="01ADD745">
            <w:pPr>
              <w:spacing w:before="20" w:after="40" w:line="276" w:lineRule="auto"/>
              <w:jc w:val="left"/>
            </w:pPr>
            <w:r>
              <w:rPr>
                <w:rFonts w:ascii="Times New Roman" w:hAnsi="Times New Roman" w:eastAsia="宋体"/>
                <w:b w:val="0"/>
                <w:color w:val="000000"/>
                <w:sz w:val="19"/>
              </w:rPr>
              <w:t>治疗与收费一次录入；总部在线取数，口径统一，不再逐店索要报表</w:t>
            </w:r>
          </w:p>
        </w:tc>
        <w:tc>
          <w:tcPr>
            <w:tcW w:w="3742" w:type="dxa"/>
            <w:vAlign w:val="center"/>
          </w:tcPr>
          <w:p w14:paraId="7AA59827">
            <w:pPr>
              <w:spacing w:before="20" w:after="40" w:line="276" w:lineRule="auto"/>
              <w:jc w:val="left"/>
            </w:pPr>
            <w:r>
              <w:rPr>
                <w:rFonts w:ascii="Times New Roman" w:hAnsi="Times New Roman" w:eastAsia="宋体"/>
                <w:b w:val="0"/>
                <w:color w:val="000000"/>
                <w:sz w:val="19"/>
              </w:rPr>
              <w:t>UC-01 步骤 5、9、10；UC-02 步骤 2、3、4；UC-04 查询季度经营报告</w:t>
            </w:r>
          </w:p>
        </w:tc>
      </w:tr>
      <w:tr w14:paraId="61C6256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268" w:type="dxa"/>
            <w:shd w:val="clear" w:color="auto" w:fill="F4F4F4"/>
            <w:vAlign w:val="center"/>
          </w:tcPr>
          <w:p w14:paraId="6DEFF930">
            <w:pPr>
              <w:spacing w:before="20" w:after="40" w:line="276" w:lineRule="auto"/>
              <w:jc w:val="left"/>
            </w:pPr>
            <w:r>
              <w:rPr>
                <w:rFonts w:ascii="Times New Roman" w:hAnsi="Times New Roman" w:eastAsia="宋体"/>
                <w:b w:val="0"/>
                <w:color w:val="000000"/>
                <w:sz w:val="19"/>
              </w:rPr>
              <w:t>全公司平均患者责任取消率降低 20% 以上</w:t>
            </w:r>
          </w:p>
        </w:tc>
        <w:tc>
          <w:tcPr>
            <w:tcW w:w="3402" w:type="dxa"/>
            <w:shd w:val="clear" w:color="auto" w:fill="F4F4F4"/>
            <w:vAlign w:val="center"/>
          </w:tcPr>
          <w:p w14:paraId="6AB3E56B">
            <w:pPr>
              <w:spacing w:before="20" w:after="40" w:line="276" w:lineRule="auto"/>
              <w:jc w:val="left"/>
            </w:pPr>
            <w:r>
              <w:rPr>
                <w:rFonts w:ascii="Times New Roman" w:hAnsi="Times New Roman" w:eastAsia="宋体"/>
                <w:b w:val="0"/>
                <w:color w:val="000000"/>
                <w:sz w:val="19"/>
              </w:rPr>
              <w:t>就诊提醒与改约入口由系统发出，取消原因分类记录</w:t>
            </w:r>
          </w:p>
        </w:tc>
        <w:tc>
          <w:tcPr>
            <w:tcW w:w="3742" w:type="dxa"/>
            <w:shd w:val="clear" w:color="auto" w:fill="F4F4F4"/>
            <w:vAlign w:val="center"/>
          </w:tcPr>
          <w:p w14:paraId="2C66FE63">
            <w:pPr>
              <w:spacing w:before="20" w:after="40" w:line="276" w:lineRule="auto"/>
              <w:jc w:val="left"/>
            </w:pPr>
            <w:r>
              <w:rPr>
                <w:rFonts w:ascii="Times New Roman" w:hAnsi="Times New Roman" w:eastAsia="宋体"/>
                <w:b w:val="0"/>
                <w:color w:val="000000"/>
                <w:sz w:val="19"/>
              </w:rPr>
              <w:t>UC-03 登记预约；UC-05 处理预约变更；UC-04 查询季度经营报告</w:t>
            </w:r>
          </w:p>
        </w:tc>
      </w:tr>
      <w:tr w14:paraId="049E75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268" w:type="dxa"/>
            <w:vAlign w:val="center"/>
          </w:tcPr>
          <w:p w14:paraId="04C1814E">
            <w:pPr>
              <w:spacing w:before="20" w:after="40" w:line="276" w:lineRule="auto"/>
              <w:jc w:val="left"/>
            </w:pPr>
            <w:r>
              <w:rPr>
                <w:rFonts w:ascii="Times New Roman" w:hAnsi="Times New Roman" w:eastAsia="宋体"/>
                <w:b w:val="0"/>
                <w:color w:val="000000"/>
                <w:sz w:val="19"/>
              </w:rPr>
              <w:t>治疗记录可回溯到牙位，高值耗材可追溯到患者</w:t>
            </w:r>
          </w:p>
        </w:tc>
        <w:tc>
          <w:tcPr>
            <w:tcW w:w="3402" w:type="dxa"/>
            <w:vAlign w:val="center"/>
          </w:tcPr>
          <w:p w14:paraId="5E31AD48">
            <w:pPr>
              <w:spacing w:before="20" w:after="40" w:line="276" w:lineRule="auto"/>
              <w:jc w:val="left"/>
            </w:pPr>
            <w:r>
              <w:rPr>
                <w:rFonts w:ascii="Times New Roman" w:hAnsi="Times New Roman" w:eastAsia="宋体"/>
                <w:b w:val="0"/>
                <w:color w:val="000000"/>
                <w:sz w:val="19"/>
              </w:rPr>
              <w:t>治疗记录含牙位，结算单逐行含牙位；耗材批号或序列号与就诊、患者关联</w:t>
            </w:r>
          </w:p>
        </w:tc>
        <w:tc>
          <w:tcPr>
            <w:tcW w:w="3742" w:type="dxa"/>
            <w:vAlign w:val="center"/>
          </w:tcPr>
          <w:p w14:paraId="171731A1">
            <w:pPr>
              <w:spacing w:before="20" w:after="40" w:line="276" w:lineRule="auto"/>
              <w:jc w:val="left"/>
            </w:pPr>
            <w:r>
              <w:rPr>
                <w:rFonts w:ascii="Times New Roman" w:hAnsi="Times New Roman" w:eastAsia="宋体"/>
                <w:b w:val="0"/>
                <w:color w:val="000000"/>
                <w:sz w:val="19"/>
              </w:rPr>
              <w:t>UC-01 步骤 4、6、7；UC-02 步骤 2、3</w:t>
            </w:r>
          </w:p>
        </w:tc>
      </w:tr>
      <w:tr w14:paraId="3865B9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268" w:type="dxa"/>
            <w:shd w:val="clear" w:color="auto" w:fill="F4F4F4"/>
            <w:vAlign w:val="center"/>
          </w:tcPr>
          <w:p w14:paraId="570652BB">
            <w:pPr>
              <w:spacing w:before="20" w:after="40" w:line="276" w:lineRule="auto"/>
              <w:jc w:val="left"/>
            </w:pPr>
            <w:r>
              <w:rPr>
                <w:rFonts w:ascii="Times New Roman" w:hAnsi="Times New Roman" w:eastAsia="宋体"/>
                <w:b w:val="0"/>
                <w:color w:val="000000"/>
                <w:sz w:val="19"/>
              </w:rPr>
              <w:t>激励基金可按季度核算</w:t>
            </w:r>
          </w:p>
        </w:tc>
        <w:tc>
          <w:tcPr>
            <w:tcW w:w="3402" w:type="dxa"/>
            <w:shd w:val="clear" w:color="auto" w:fill="F4F4F4"/>
            <w:vAlign w:val="center"/>
          </w:tcPr>
          <w:p w14:paraId="6E8B143F">
            <w:pPr>
              <w:spacing w:before="20" w:after="40" w:line="276" w:lineRule="auto"/>
              <w:jc w:val="left"/>
            </w:pPr>
            <w:r>
              <w:rPr>
                <w:rFonts w:ascii="Times New Roman" w:hAnsi="Times New Roman" w:eastAsia="宋体"/>
                <w:b w:val="0"/>
                <w:color w:val="000000"/>
                <w:sz w:val="19"/>
              </w:rPr>
              <w:t>耗材成本按治疗项目归集，运营费用按门店分摊，成本口径按版本管理</w:t>
            </w:r>
          </w:p>
        </w:tc>
        <w:tc>
          <w:tcPr>
            <w:tcW w:w="3742" w:type="dxa"/>
            <w:shd w:val="clear" w:color="auto" w:fill="F4F4F4"/>
            <w:vAlign w:val="center"/>
          </w:tcPr>
          <w:p w14:paraId="5F0D632A">
            <w:pPr>
              <w:spacing w:before="20" w:after="40" w:line="276" w:lineRule="auto"/>
              <w:jc w:val="left"/>
            </w:pPr>
            <w:r>
              <w:rPr>
                <w:rFonts w:ascii="Times New Roman" w:hAnsi="Times New Roman" w:eastAsia="宋体"/>
                <w:b w:val="0"/>
                <w:color w:val="000000"/>
                <w:sz w:val="19"/>
              </w:rPr>
              <w:t>UC-07 维护治疗项目；UC-01 步骤 5、7、10；UC-04 查询季度经营报告</w:t>
            </w:r>
          </w:p>
        </w:tc>
      </w:tr>
      <w:tr w14:paraId="6BECEAF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70" w:type="dxa"/>
            <w:left w:w="140" w:type="dxa"/>
            <w:bottom w:w="70" w:type="dxa"/>
            <w:right w:w="140" w:type="dxa"/>
          </w:tblCellMar>
        </w:tblPrEx>
        <w:tc>
          <w:tcPr>
            <w:tcW w:w="2268" w:type="dxa"/>
            <w:vAlign w:val="center"/>
          </w:tcPr>
          <w:p w14:paraId="577CDAC4">
            <w:pPr>
              <w:spacing w:before="20" w:after="40" w:line="276" w:lineRule="auto"/>
              <w:jc w:val="left"/>
            </w:pPr>
            <w:r>
              <w:rPr>
                <w:rFonts w:ascii="Times New Roman" w:hAnsi="Times New Roman" w:eastAsia="宋体"/>
                <w:b w:val="0"/>
                <w:color w:val="000000"/>
                <w:sz w:val="19"/>
              </w:rPr>
              <w:t>开票口径统一，结算单可逐行核对</w:t>
            </w:r>
          </w:p>
        </w:tc>
        <w:tc>
          <w:tcPr>
            <w:tcW w:w="3402" w:type="dxa"/>
            <w:vAlign w:val="center"/>
          </w:tcPr>
          <w:p w14:paraId="4DFA2B91">
            <w:pPr>
              <w:spacing w:before="20" w:after="40" w:line="276" w:lineRule="auto"/>
              <w:jc w:val="left"/>
            </w:pPr>
            <w:r>
              <w:rPr>
                <w:rFonts w:ascii="Times New Roman" w:hAnsi="Times New Roman" w:eastAsia="宋体"/>
                <w:b w:val="0"/>
                <w:color w:val="000000"/>
                <w:sz w:val="19"/>
              </w:rPr>
              <w:t>结算单逐行明细由治疗记录生成，价格取成交价，收费与开票分开记录</w:t>
            </w:r>
          </w:p>
        </w:tc>
        <w:tc>
          <w:tcPr>
            <w:tcW w:w="3742" w:type="dxa"/>
            <w:vAlign w:val="center"/>
          </w:tcPr>
          <w:p w14:paraId="33F3FE20">
            <w:pPr>
              <w:spacing w:before="20" w:after="40" w:line="276" w:lineRule="auto"/>
              <w:jc w:val="left"/>
            </w:pPr>
            <w:r>
              <w:rPr>
                <w:rFonts w:ascii="Times New Roman" w:hAnsi="Times New Roman" w:eastAsia="宋体"/>
                <w:b w:val="0"/>
                <w:color w:val="000000"/>
                <w:sz w:val="19"/>
              </w:rPr>
              <w:t>UC-02 步骤 2、3、4、5、6；UC-06 登记收款</w:t>
            </w:r>
          </w:p>
        </w:tc>
      </w:tr>
    </w:tbl>
    <w:p w14:paraId="4B0CE959">
      <w:pPr>
        <w:spacing w:before="0" w:after="0" w:line="200" w:lineRule="exact"/>
      </w:pPr>
    </w:p>
    <w:p w14:paraId="382FDC9E">
      <w:pPr>
        <w:spacing w:after="120" w:line="324" w:lineRule="auto"/>
        <w:ind w:firstLine="420"/>
      </w:pPr>
      <w:r>
        <w:rPr>
          <w:rFonts w:ascii="Times New Roman" w:hAnsi="Times New Roman" w:eastAsia="宋体"/>
          <w:b w:val="0"/>
          <w:color w:val="000000"/>
          <w:sz w:val="21"/>
        </w:rPr>
        <w:t>检查方法是反向验证：如果某个改进点或系统用例无法对应到愿景指标，说明该部分偏离了目标；如果某个愿景指标没有任何用例支撑，说明需求排序有遗漏。五项指标都能落到具体步骤后，才能进入分析阶段。</w:t>
      </w:r>
    </w:p>
    <w:p>
      <w:pPr>
        <w:pStyle w:val="3"/>
      </w:pPr>
      <w:r>
        <w:t>六、C-分析：分析类图</w:t>
      </w:r>
    </w:p>
    <w:p>
      <w:pPr>
        <w:spacing w:before="0" w:after="140" w:line="324" w:lineRule="auto"/>
      </w:pPr>
      <w:r>
        <w:rPr>
          <w:rFonts w:ascii="Times New Roman" w:hAnsi="Times New Roman" w:eastAsia="宋体"/>
          <w:b w:val="0"/>
          <w:color w:val="000000"/>
          <w:sz w:val="21"/>
        </w:rPr>
        <w:t>课件把系统分析与设计的建模工作流分成四段：A-业务建模、B-需求、C-分析、D-设计，其中 D-设计的第一项是「建立数据层」。本文档前五章交付的是 A 与 B 两段；本章按 C-分析给出分析类图，下一章按 D-设计的「建立数据层」把它映射成关系数据库的表结构。两章只给模型、映射关系与键的约定，不写建表语句。</w:t>
      </w:r>
    </w:p>
    <w:p>
      <w:pPr>
        <w:pStyle w:val="4"/>
      </w:pPr>
      <w:r>
        <w:t>6.1 分析类与实体类图</w:t>
      </w:r>
    </w:p>
    <w:p>
      <w:pPr>
        <w:spacing w:before="0" w:after="140" w:line="324" w:lineRule="auto"/>
      </w:pPr>
      <w:r>
        <w:rPr>
          <w:rFonts w:ascii="Times New Roman" w:hAnsi="Times New Roman" w:eastAsia="宋体"/>
          <w:b w:val="0"/>
          <w:color w:val="000000"/>
          <w:sz w:val="21"/>
        </w:rPr>
        <w:t>课件把分析类分成三种构造型。边界类负责输入、输出以及简单的过滤，每个有接口的外系统映射一个，命名取「外系统名称＋接口」；控制类负责控制用例流并为实体类分配责任，每个用例映射一个，命名取「用例名称＋控制」；实体类封装系统的核心域逻辑和数据，一个用例可以由一个到多个实体类协作实现，命名直接用核心域概念的名称。</w:t>
      </w:r>
    </w:p>
    <w:p>
      <w:pPr>
        <w:spacing w:before="0" w:after="140" w:line="324" w:lineRule="auto"/>
      </w:pPr>
      <w:r>
        <w:rPr>
          <w:rFonts w:ascii="Times New Roman" w:hAnsi="Times New Roman" w:eastAsia="宋体"/>
          <w:b w:val="0"/>
          <w:color w:val="000000"/>
          <w:sz w:val="21"/>
        </w:rPr>
        <w:t>本案例的核心域由实体类承担，因此下面给出实体类及其属性、操作与关系。边界类对应各外部系统接口，控制类对应 UC-01 至 UC-08 各一个，属于逐用例展开的内容，本章不再铺开。类的属性按课件示例写成「名称：类型」，操作写成「名称()：返回类型」。</w:t>
      </w:r>
    </w:p>
    <w:p>
      <w:pPr>
        <w:spacing w:before="160" w:after="0"/>
        <w:jc w:val="center"/>
        <w:keepNext/>
      </w:pPr>
      <w:r>
        <w:drawing>
          <wp:inline xmlns:a="http://schemas.openxmlformats.org/drawingml/2006/main" xmlns:pic="http://schemas.openxmlformats.org/drawingml/2006/picture">
            <wp:extent cx="4860000" cy="4568400"/>
            <wp:docPr id="9" name="Picture 9"/>
            <wp:cNvGraphicFramePr>
              <a:graphicFrameLocks noChangeAspect="1"/>
            </wp:cNvGraphicFramePr>
            <a:graphic>
              <a:graphicData uri="http://schemas.openxmlformats.org/drawingml/2006/picture">
                <pic:pic>
                  <pic:nvPicPr>
                    <pic:cNvPr id="0" name="fig9_class_patient.png"/>
                    <pic:cNvPicPr/>
                  </pic:nvPicPr>
                  <pic:blipFill>
                    <a:blip r:embed="rId18"/>
                    <a:stretch>
                      <a:fillRect/>
                    </a:stretch>
                  </pic:blipFill>
                  <pic:spPr>
                    <a:xfrm>
                      <a:off x="0" y="0"/>
                      <a:ext cx="4860000" cy="4568400"/>
                    </a:xfrm>
                    <a:prstGeom prst="rect"/>
                  </pic:spPr>
                </pic:pic>
              </a:graphicData>
            </a:graphic>
          </wp:inline>
        </w:drawing>
      </w:r>
    </w:p>
    <w:p>
      <w:pPr>
        <w:spacing w:before="80" w:after="240"/>
        <w:jc w:val="center"/>
      </w:pPr>
      <w:r>
        <w:rPr>
          <w:rFonts w:ascii="Times New Roman" w:hAnsi="Times New Roman" w:eastAsia="宋体"/>
          <w:b w:val="0"/>
          <w:color w:val="3C3C3C"/>
          <w:sz w:val="19"/>
        </w:rPr>
        <w:t>图 9　分析类图（一）：患者、预约与接诊安排</w:t>
      </w:r>
    </w:p>
    <w:p>
      <w:pPr>
        <w:spacing w:before="160" w:after="0"/>
        <w:jc w:val="center"/>
        <w:keepNext/>
      </w:pPr>
      <w:r>
        <w:drawing>
          <wp:inline xmlns:a="http://schemas.openxmlformats.org/drawingml/2006/main" xmlns:pic="http://schemas.openxmlformats.org/drawingml/2006/picture">
            <wp:extent cx="4860000" cy="3591084"/>
            <wp:docPr id="10" name="Picture 10"/>
            <wp:cNvGraphicFramePr>
              <a:graphicFrameLocks noChangeAspect="1"/>
            </wp:cNvGraphicFramePr>
            <a:graphic>
              <a:graphicData uri="http://schemas.openxmlformats.org/drawingml/2006/picture">
                <pic:pic>
                  <pic:nvPicPr>
                    <pic:cNvPr id="0" name="fig10_class_treat.png"/>
                    <pic:cNvPicPr/>
                  </pic:nvPicPr>
                  <pic:blipFill>
                    <a:blip r:embed="rId19"/>
                    <a:stretch>
                      <a:fillRect/>
                    </a:stretch>
                  </pic:blipFill>
                  <pic:spPr>
                    <a:xfrm>
                      <a:off x="0" y="0"/>
                      <a:ext cx="4860000" cy="3591084"/>
                    </a:xfrm>
                    <a:prstGeom prst="rect"/>
                  </pic:spPr>
                </pic:pic>
              </a:graphicData>
            </a:graphic>
          </wp:inline>
        </w:drawing>
      </w:r>
    </w:p>
    <w:p>
      <w:pPr>
        <w:spacing w:before="80" w:after="240"/>
        <w:jc w:val="center"/>
      </w:pPr>
      <w:r>
        <w:rPr>
          <w:rFonts w:ascii="Times New Roman" w:hAnsi="Times New Roman" w:eastAsia="宋体"/>
          <w:b w:val="0"/>
          <w:color w:val="3C3C3C"/>
          <w:sz w:val="19"/>
        </w:rPr>
        <w:t>图 10　分析类图（二）：诊疗记录与耗材</w:t>
      </w:r>
    </w:p>
    <w:p>
      <w:pPr>
        <w:spacing w:before="160" w:after="0"/>
        <w:jc w:val="center"/>
        <w:keepNext/>
      </w:pPr>
      <w:r>
        <w:drawing>
          <wp:inline xmlns:a="http://schemas.openxmlformats.org/drawingml/2006/main" xmlns:pic="http://schemas.openxmlformats.org/drawingml/2006/picture">
            <wp:extent cx="4860000" cy="3325263"/>
            <wp:docPr id="11" name="Picture 11"/>
            <wp:cNvGraphicFramePr>
              <a:graphicFrameLocks noChangeAspect="1"/>
            </wp:cNvGraphicFramePr>
            <a:graphic>
              <a:graphicData uri="http://schemas.openxmlformats.org/drawingml/2006/picture">
                <pic:pic>
                  <pic:nvPicPr>
                    <pic:cNvPr id="0" name="fig11_class_settle.png"/>
                    <pic:cNvPicPr/>
                  </pic:nvPicPr>
                  <pic:blipFill>
                    <a:blip r:embed="rId20"/>
                    <a:stretch>
                      <a:fillRect/>
                    </a:stretch>
                  </pic:blipFill>
                  <pic:spPr>
                    <a:xfrm>
                      <a:off x="0" y="0"/>
                      <a:ext cx="4860000" cy="3325263"/>
                    </a:xfrm>
                    <a:prstGeom prst="rect"/>
                  </pic:spPr>
                </pic:pic>
              </a:graphicData>
            </a:graphic>
          </wp:inline>
        </w:drawing>
      </w:r>
    </w:p>
    <w:p>
      <w:pPr>
        <w:spacing w:before="80" w:after="240"/>
        <w:jc w:val="center"/>
      </w:pPr>
      <w:r>
        <w:rPr>
          <w:rFonts w:ascii="Times New Roman" w:hAnsi="Times New Roman" w:eastAsia="宋体"/>
          <w:b w:val="0"/>
          <w:color w:val="3C3C3C"/>
          <w:sz w:val="19"/>
        </w:rPr>
        <w:t>图 11　分析类图（三）：结算与经营核算</w:t>
      </w:r>
    </w:p>
    <w:p>
      <w:pPr>
        <w:pStyle w:val="3"/>
      </w:pPr>
      <w:r>
        <w:t>七、D-设计：建立数据层（从类图到关系数据库）</w:t>
      </w:r>
    </w:p>
    <w:p>
      <w:pPr>
        <w:pStyle w:val="4"/>
      </w:pPr>
      <w:r>
        <w:t>7.1 映射准则</w:t>
      </w:r>
    </w:p>
    <w:p>
      <w:pPr>
        <w:spacing w:before="0" w:after="140" w:line="324" w:lineRule="auto"/>
      </w:pPr>
      <w:r>
        <w:rPr>
          <w:rFonts w:ascii="Times New Roman" w:hAnsi="Times New Roman" w:eastAsia="宋体"/>
          <w:b w:val="0"/>
          <w:color w:val="000000"/>
          <w:sz w:val="21"/>
        </w:rPr>
        <w:t>课件给出「核心域映射到存储」的一套准则。结构映射上，类映射为表，属性映射为列，对象映射为行。关系映射上，泛化时超类的主键作为所有子类的主键；关联的外键放在非 1 方；组合的外键同样放在非 1 方，而且不为空；多对多关联另建一张关联表。主键要求唯一、恒定，并且要与领域字段分开——带领域含义的字段可能变化，一旦变化就会牵连所有引用它的外键。课件还指出，只要对象建模是对的，映射出来的表自然符合第一到第三范式，不必在建表时另作折腾。本案例的核心域里没有泛化层级，因此「超类主键下沉」这一条不涉及，其余几条逐条落实。</w:t>
      </w:r>
    </w:p>
    <w:p>
      <w:pPr>
        <w:pStyle w:val="4"/>
      </w:pPr>
      <w:r>
        <w:t>7.2 类到表的对应</w:t>
      </w:r>
    </w:p>
    <w:p>
      <w:pPr>
        <w:spacing w:after="120" w:line="324" w:lineRule="auto"/>
        <w:ind w:firstLine="420"/>
      </w:pPr>
      <w:r>
        <w:rPr>
          <w:rFonts w:ascii="Times New Roman" w:hAnsi="Times New Roman" w:eastAsia="宋体"/>
          <w:b w:val="0"/>
          <w:color w:val="000000"/>
          <w:sz w:val="21"/>
        </w:rPr>
        <w:t>三张分析类图按主题分片，下面三张数据表结构图与之逐一对应：图 12 由图 9（患者、预约与接诊安排）映射得到，图 13 由图 10（诊疗记录与耗材）映射得到，图 14 由图 11（结算与经营核算）映射得到。每个实体类对应一张同名表，类的属性对应表的列，类的操作（如「计算患者责任取消次数()」）不落库。映射时按「主键唯一、恒定，并与领域字段分开」的要求给每张表定主键：类图上已经用 ID 命名的属性（患者ID、过敏症ID）直接作主键，其余的表各另设一列代理主键（牙医ID、门店ID、预约ID、接诊安排ID、就诊ID、资质ID、牙医资质ID、项目ID、治疗项目ID、耗材ID、耗材批号ID、耗材领用ID、结算ID、收款ID、运营费用ID、项目成本ID、版本ID）；类图上用编号、编码或单号命名的业务标识则全部保留为普通列（员工编号、门店编号、预约编号、接诊安排编号、就诊编号、治疗项目号、领用编号、收款编号、项目编码、资质编码、结算单号、耗材编码、批号或序列号、版本号），只作业务识别之用——它们带领域含义、可能变化，所以不参与主键，但要作为列留下来。牙医资质的「取得日期」与成本口径版本的「生效日期」是关联表与版本表自身的属性，类图上没有画，落库时补齐。就诊、门店与治疗项目目录在图 13、图 14 里重复出现，属于分片引用，属性只在图 12、图 13 里列全。</w:t>
      </w:r>
    </w:p>
    <w:p>
      <w:pPr>
        <w:spacing w:before="120" w:after="40"/>
        <w:jc w:val="center"/>
        <w:keepNext/>
      </w:pPr>
      <w:r>
        <w:drawing>
          <wp:inline xmlns:a="http://schemas.openxmlformats.org/drawingml/2006/main" xmlns:pic="http://schemas.openxmlformats.org/drawingml/2006/picture">
            <wp:extent cx="5580000" cy="6276708"/>
            <wp:docPr id="12" name="Picture 12"/>
            <wp:cNvGraphicFramePr>
              <a:graphicFrameLocks noChangeAspect="1"/>
            </wp:cNvGraphicFramePr>
            <a:graphic>
              <a:graphicData uri="http://schemas.openxmlformats.org/drawingml/2006/picture">
                <pic:pic>
                  <pic:nvPicPr>
                    <pic:cNvPr id="0" name="fig12_db1.png"/>
                    <pic:cNvPicPr/>
                  </pic:nvPicPr>
                  <pic:blipFill>
                    <a:blip r:embed="rId22"/>
                    <a:stretch>
                      <a:fillRect/>
                    </a:stretch>
                  </pic:blipFill>
                  <pic:spPr>
                    <a:xfrm>
                      <a:off x="0" y="0"/>
                      <a:ext cx="5580000" cy="6276708"/>
                    </a:xfrm>
                    <a:prstGeom prst="rect"/>
                  </pic:spPr>
                </pic:pic>
              </a:graphicData>
            </a:graphic>
          </wp:inline>
        </w:drawing>
      </w:r>
    </w:p>
    <w:p>
      <w:pPr>
        <w:spacing w:before="40" w:after="120"/>
        <w:jc w:val="center"/>
      </w:pPr>
      <w:r>
        <w:rPr>
          <w:rFonts w:ascii="Times New Roman" w:hAnsi="Times New Roman" w:eastAsia="宋体"/>
          <w:b w:val="0"/>
          <w:color w:val="3C3C3C"/>
          <w:sz w:val="19"/>
        </w:rPr>
        <w:t>图 12　数据表结构图（一）：患者、预约与接诊安排（对应分析类图（一））</w:t>
      </w:r>
    </w:p>
    <w:p>
      <w:pPr>
        <w:spacing w:before="120" w:after="40"/>
        <w:jc w:val="center"/>
        <w:keepNext/>
      </w:pPr>
      <w:r>
        <w:drawing>
          <wp:inline xmlns:a="http://schemas.openxmlformats.org/drawingml/2006/main" xmlns:pic="http://schemas.openxmlformats.org/drawingml/2006/picture">
            <wp:extent cx="5580000" cy="7159690"/>
            <wp:docPr id="13" name="Picture 13"/>
            <wp:cNvGraphicFramePr>
              <a:graphicFrameLocks noChangeAspect="1"/>
            </wp:cNvGraphicFramePr>
            <a:graphic>
              <a:graphicData uri="http://schemas.openxmlformats.org/drawingml/2006/picture">
                <pic:pic>
                  <pic:nvPicPr>
                    <pic:cNvPr id="0" name="fig13_db2.png"/>
                    <pic:cNvPicPr/>
                  </pic:nvPicPr>
                  <pic:blipFill>
                    <a:blip r:embed="rId23"/>
                    <a:stretch>
                      <a:fillRect/>
                    </a:stretch>
                  </pic:blipFill>
                  <pic:spPr>
                    <a:xfrm>
                      <a:off x="0" y="0"/>
                      <a:ext cx="5580000" cy="7159690"/>
                    </a:xfrm>
                    <a:prstGeom prst="rect"/>
                  </pic:spPr>
                </pic:pic>
              </a:graphicData>
            </a:graphic>
          </wp:inline>
        </w:drawing>
      </w:r>
    </w:p>
    <w:p>
      <w:pPr>
        <w:spacing w:before="40" w:after="120"/>
        <w:jc w:val="center"/>
      </w:pPr>
      <w:r>
        <w:rPr>
          <w:rFonts w:ascii="Times New Roman" w:hAnsi="Times New Roman" w:eastAsia="宋体"/>
          <w:b w:val="0"/>
          <w:color w:val="3C3C3C"/>
          <w:sz w:val="19"/>
        </w:rPr>
        <w:t>图 13　数据表结构图（二）：诊疗记录与耗材（对应分析类图（二））</w:t>
      </w:r>
    </w:p>
    <w:p>
      <w:pPr>
        <w:spacing w:before="120" w:after="40"/>
        <w:jc w:val="center"/>
        <w:keepNext/>
      </w:pPr>
      <w:r>
        <w:drawing>
          <wp:inline xmlns:a="http://schemas.openxmlformats.org/drawingml/2006/main" xmlns:pic="http://schemas.openxmlformats.org/drawingml/2006/picture">
            <wp:extent cx="5580000" cy="6530958"/>
            <wp:docPr id="14" name="Picture 14"/>
            <wp:cNvGraphicFramePr>
              <a:graphicFrameLocks noChangeAspect="1"/>
            </wp:cNvGraphicFramePr>
            <a:graphic>
              <a:graphicData uri="http://schemas.openxmlformats.org/drawingml/2006/picture">
                <pic:pic>
                  <pic:nvPicPr>
                    <pic:cNvPr id="0" name="fig14_db3.png"/>
                    <pic:cNvPicPr/>
                  </pic:nvPicPr>
                  <pic:blipFill>
                    <a:blip r:embed="rId24"/>
                    <a:stretch>
                      <a:fillRect/>
                    </a:stretch>
                  </pic:blipFill>
                  <pic:spPr>
                    <a:xfrm>
                      <a:off x="0" y="0"/>
                      <a:ext cx="5580000" cy="6530958"/>
                    </a:xfrm>
                    <a:prstGeom prst="rect"/>
                  </pic:spPr>
                </pic:pic>
              </a:graphicData>
            </a:graphic>
          </wp:inline>
        </w:drawing>
      </w:r>
    </w:p>
    <w:p>
      <w:pPr>
        <w:spacing w:before="40" w:after="120"/>
        <w:jc w:val="center"/>
      </w:pPr>
      <w:r>
        <w:rPr>
          <w:rFonts w:ascii="Times New Roman" w:hAnsi="Times New Roman" w:eastAsia="宋体"/>
          <w:b w:val="0"/>
          <w:color w:val="3C3C3C"/>
          <w:sz w:val="19"/>
        </w:rPr>
        <w:t>图 14　数据表结构图（三）：结算与经营核算（对应分析类图（三））</w:t>
      </w:r>
    </w:p>
    <w:p>
      <w:pPr>
        <w:pStyle w:val="4"/>
      </w:pPr>
      <w:r>
        <w:t>7.3 关联的落库方式</w:t>
      </w:r>
    </w:p>
    <w:p>
      <w:pPr>
        <w:spacing w:before="0" w:after="140" w:line="324" w:lineRule="auto"/>
      </w:pPr>
      <w:r>
        <w:rPr>
          <w:rFonts w:ascii="Times New Roman" w:hAnsi="Times New Roman" w:eastAsia="宋体"/>
          <w:b w:val="0"/>
          <w:color w:val="000000"/>
          <w:sz w:val="21"/>
        </w:rPr>
        <w:t>下表逐条列出每条关联的落库方式。表中「非 1 方」即多重度标 * 的一方，外键落在这一方；组合（实心菱形）另外要求外键不为空，多对多则另建关联表。三张图里的连线与下表一一对应，可按图核对。</w:t>
      </w:r>
    </w:p>
    <w:tbl>
      <w:tblPr>
        <w:tblStyle w:val="33"/>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0" w:type="dxa"/>
          <w:left w:w="140" w:type="dxa"/>
          <w:bottom w:w="70" w:type="dxa"/>
          <w:right w:w="140" w:type="dxa"/>
        </w:tblCellMar>
        <w:tblLayout w:type="fixed"/>
      </w:tblPr>
      <w:tblGrid>
        <w:gridCol w:w="2494"/>
        <w:gridCol w:w="1134"/>
        <w:gridCol w:w="5783"/>
      </w:tblGrid>
      <w:tr>
        <w:trPr>
          <w:tblHeader/>
        </w:trPr>
        <w:tc>
          <w:tcPr>
            <w:tcW w:type="dxa" w:w="2494"/>
            <w:shd w:val="clear" w:color="auto" w:fill="4A4A4A"/>
            <w:vAlign w:val="center"/>
          </w:tcPr>
          <w:p>
            <w:pPr>
              <w:spacing w:before="20" w:after="40" w:line="276" w:lineRule="auto"/>
              <w:jc w:val="left"/>
            </w:pPr>
            <w:r>
              <w:rPr>
                <w:rFonts w:ascii="Times New Roman" w:hAnsi="Times New Roman" w:eastAsia="宋体"/>
                <w:b/>
                <w:color w:val="FFFFFF"/>
                <w:sz w:val="19"/>
              </w:rPr>
              <w:t>类图中的关系</w:t>
            </w:r>
          </w:p>
        </w:tc>
        <w:tc>
          <w:tcPr>
            <w:tcW w:type="dxa" w:w="1134"/>
            <w:shd w:val="clear" w:color="auto" w:fill="4A4A4A"/>
            <w:vAlign w:val="center"/>
          </w:tcPr>
          <w:p>
            <w:pPr>
              <w:spacing w:before="20" w:after="40" w:line="276" w:lineRule="auto"/>
              <w:jc w:val="left"/>
            </w:pPr>
            <w:r>
              <w:rPr>
                <w:rFonts w:ascii="Times New Roman" w:hAnsi="Times New Roman" w:eastAsia="宋体"/>
                <w:b/>
                <w:color w:val="FFFFFF"/>
                <w:sz w:val="19"/>
              </w:rPr>
              <w:t>多重度</w:t>
            </w:r>
          </w:p>
        </w:tc>
        <w:tc>
          <w:tcPr>
            <w:tcW w:type="dxa" w:w="5783"/>
            <w:shd w:val="clear" w:color="auto" w:fill="4A4A4A"/>
            <w:vAlign w:val="center"/>
          </w:tcPr>
          <w:p>
            <w:pPr>
              <w:spacing w:before="20" w:after="40" w:line="276" w:lineRule="auto"/>
              <w:jc w:val="left"/>
            </w:pPr>
            <w:r>
              <w:rPr>
                <w:rFonts w:ascii="Times New Roman" w:hAnsi="Times New Roman" w:eastAsia="宋体"/>
                <w:b/>
                <w:color w:val="FFFFFF"/>
                <w:sz w:val="19"/>
              </w:rPr>
              <w:t>落库方式</w:t>
            </w:r>
          </w:p>
        </w:tc>
      </w:tr>
      <w:tr>
        <w:tc>
          <w:tcPr>
            <w:tcW w:type="dxa" w:w="2494"/>
            <w:vAlign w:val="center"/>
          </w:tcPr>
          <w:p>
            <w:pPr>
              <w:spacing w:before="20" w:after="40" w:line="276" w:lineRule="auto"/>
              <w:jc w:val="left"/>
            </w:pPr>
            <w:r>
              <w:rPr>
                <w:rFonts w:ascii="Times New Roman" w:hAnsi="Times New Roman" w:eastAsia="宋体"/>
                <w:b w:val="0"/>
                <w:color w:val="000000"/>
                <w:sz w:val="19"/>
              </w:rPr>
              <w:t>患者—过敏症</w:t>
            </w:r>
          </w:p>
        </w:tc>
        <w:tc>
          <w:tcPr>
            <w:tcW w:type="dxa" w:w="1134"/>
            <w:vAlign w:val="center"/>
          </w:tcPr>
          <w:p>
            <w:pPr>
              <w:spacing w:before="20" w:after="40" w:line="276" w:lineRule="auto"/>
              <w:jc w:val="left"/>
            </w:pPr>
            <w:r>
              <w:rPr>
                <w:rFonts w:ascii="Times New Roman" w:hAnsi="Times New Roman" w:eastAsia="宋体"/>
                <w:b w:val="0"/>
                <w:color w:val="000000"/>
                <w:sz w:val="19"/>
              </w:rPr>
              <w:t>1 : *</w:t>
            </w:r>
          </w:p>
        </w:tc>
        <w:tc>
          <w:tcPr>
            <w:tcW w:type="dxa" w:w="5783"/>
            <w:vAlign w:val="center"/>
          </w:tcPr>
          <w:p>
            <w:pPr>
              <w:spacing w:before="20" w:after="40" w:line="276" w:lineRule="auto"/>
              <w:jc w:val="left"/>
            </w:pPr>
            <w:r>
              <w:rPr>
                <w:rFonts w:ascii="Times New Roman" w:hAnsi="Times New Roman" w:eastAsia="宋体"/>
                <w:b w:val="0"/>
                <w:color w:val="000000"/>
                <w:sz w:val="19"/>
              </w:rPr>
              <w:t>过敏症表加外键「患者ID」</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患者—预约</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预约表加外键「患者ID」</w:t>
            </w:r>
          </w:p>
        </w:tc>
      </w:tr>
      <w:tr>
        <w:tc>
          <w:tcPr>
            <w:tcW w:type="dxa" w:w="2494"/>
            <w:vAlign w:val="center"/>
          </w:tcPr>
          <w:p>
            <w:pPr>
              <w:spacing w:before="20" w:after="40" w:line="276" w:lineRule="auto"/>
              <w:jc w:val="left"/>
            </w:pPr>
            <w:r>
              <w:rPr>
                <w:rFonts w:ascii="Times New Roman" w:hAnsi="Times New Roman" w:eastAsia="宋体"/>
                <w:b w:val="0"/>
                <w:color w:val="000000"/>
                <w:sz w:val="19"/>
              </w:rPr>
              <w:t>门店—接诊安排</w:t>
            </w:r>
          </w:p>
        </w:tc>
        <w:tc>
          <w:tcPr>
            <w:tcW w:type="dxa" w:w="1134"/>
            <w:vAlign w:val="center"/>
          </w:tcPr>
          <w:p>
            <w:pPr>
              <w:spacing w:before="20" w:after="40" w:line="276" w:lineRule="auto"/>
              <w:jc w:val="left"/>
            </w:pPr>
            <w:r>
              <w:rPr>
                <w:rFonts w:ascii="Times New Roman" w:hAnsi="Times New Roman" w:eastAsia="宋体"/>
                <w:b w:val="0"/>
                <w:color w:val="000000"/>
                <w:sz w:val="19"/>
              </w:rPr>
              <w:t>1 : *</w:t>
            </w:r>
          </w:p>
        </w:tc>
        <w:tc>
          <w:tcPr>
            <w:tcW w:type="dxa" w:w="5783"/>
            <w:vAlign w:val="center"/>
          </w:tcPr>
          <w:p>
            <w:pPr>
              <w:spacing w:before="20" w:after="40" w:line="276" w:lineRule="auto"/>
              <w:jc w:val="left"/>
            </w:pPr>
            <w:r>
              <w:rPr>
                <w:rFonts w:ascii="Times New Roman" w:hAnsi="Times New Roman" w:eastAsia="宋体"/>
                <w:b w:val="0"/>
                <w:color w:val="000000"/>
                <w:sz w:val="19"/>
              </w:rPr>
              <w:t>接诊安排表加外键「门店ID」，且不为空</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牙医—接诊安排</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接诊安排表加外键「牙医ID」，且不为空</w:t>
            </w:r>
          </w:p>
        </w:tc>
      </w:tr>
      <w:tr>
        <w:tc>
          <w:tcPr>
            <w:tcW w:type="dxa" w:w="2494"/>
            <w:vAlign w:val="center"/>
          </w:tcPr>
          <w:p>
            <w:pPr>
              <w:spacing w:before="20" w:after="40" w:line="276" w:lineRule="auto"/>
              <w:jc w:val="left"/>
            </w:pPr>
            <w:r>
              <w:rPr>
                <w:rFonts w:ascii="Times New Roman" w:hAnsi="Times New Roman" w:eastAsia="宋体"/>
                <w:b w:val="0"/>
                <w:color w:val="000000"/>
                <w:sz w:val="19"/>
              </w:rPr>
              <w:t>接诊安排—预约</w:t>
            </w:r>
          </w:p>
        </w:tc>
        <w:tc>
          <w:tcPr>
            <w:tcW w:type="dxa" w:w="1134"/>
            <w:vAlign w:val="center"/>
          </w:tcPr>
          <w:p>
            <w:pPr>
              <w:spacing w:before="20" w:after="40" w:line="276" w:lineRule="auto"/>
              <w:jc w:val="left"/>
            </w:pPr>
            <w:r>
              <w:rPr>
                <w:rFonts w:ascii="Times New Roman" w:hAnsi="Times New Roman" w:eastAsia="宋体"/>
                <w:b w:val="0"/>
                <w:color w:val="000000"/>
                <w:sz w:val="19"/>
              </w:rPr>
              <w:t>1 : *</w:t>
            </w:r>
          </w:p>
        </w:tc>
        <w:tc>
          <w:tcPr>
            <w:tcW w:type="dxa" w:w="5783"/>
            <w:vAlign w:val="center"/>
          </w:tcPr>
          <w:p>
            <w:pPr>
              <w:spacing w:before="20" w:after="40" w:line="276" w:lineRule="auto"/>
              <w:jc w:val="left"/>
            </w:pPr>
            <w:r>
              <w:rPr>
                <w:rFonts w:ascii="Times New Roman" w:hAnsi="Times New Roman" w:eastAsia="宋体"/>
                <w:b w:val="0"/>
                <w:color w:val="000000"/>
                <w:sz w:val="19"/>
              </w:rPr>
              <w:t>预约表加外键「接诊安排ID」，接诊牙医与就诊门店由此确定</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预约—就诊</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0..1</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就诊表加外键「预约ID」</w:t>
            </w:r>
          </w:p>
        </w:tc>
      </w:tr>
      <w:tr>
        <w:tc>
          <w:tcPr>
            <w:tcW w:type="dxa" w:w="2494"/>
            <w:vAlign w:val="center"/>
          </w:tcPr>
          <w:p>
            <w:pPr>
              <w:spacing w:before="20" w:after="40" w:line="276" w:lineRule="auto"/>
              <w:jc w:val="left"/>
            </w:pPr>
            <w:r>
              <w:rPr>
                <w:rFonts w:ascii="Times New Roman" w:hAnsi="Times New Roman" w:eastAsia="宋体"/>
                <w:b w:val="0"/>
                <w:color w:val="000000"/>
                <w:sz w:val="19"/>
              </w:rPr>
              <w:t>牙医—资质</w:t>
            </w:r>
          </w:p>
        </w:tc>
        <w:tc>
          <w:tcPr>
            <w:tcW w:type="dxa" w:w="1134"/>
            <w:vAlign w:val="center"/>
          </w:tcPr>
          <w:p>
            <w:pPr>
              <w:spacing w:before="20" w:after="40" w:line="276" w:lineRule="auto"/>
              <w:jc w:val="left"/>
            </w:pPr>
            <w:r>
              <w:rPr>
                <w:rFonts w:ascii="Times New Roman" w:hAnsi="Times New Roman" w:eastAsia="宋体"/>
                <w:b w:val="0"/>
                <w:color w:val="000000"/>
                <w:sz w:val="19"/>
              </w:rPr>
              <w:t>* : *</w:t>
            </w:r>
          </w:p>
        </w:tc>
        <w:tc>
          <w:tcPr>
            <w:tcW w:type="dxa" w:w="5783"/>
            <w:vAlign w:val="center"/>
          </w:tcPr>
          <w:p>
            <w:pPr>
              <w:spacing w:before="20" w:after="40" w:line="276" w:lineRule="auto"/>
              <w:jc w:val="left"/>
            </w:pPr>
            <w:r>
              <w:rPr>
                <w:rFonts w:ascii="Times New Roman" w:hAnsi="Times New Roman" w:eastAsia="宋体"/>
                <w:b w:val="0"/>
                <w:color w:val="000000"/>
                <w:sz w:val="19"/>
              </w:rPr>
              <w:t>多对多：另建关联表「牙医资质」，用代理主键，两端「牙医ID」「资质ID」加唯一约束</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就诊—治疗项目（组合）</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治疗项目表加外键「就诊ID」，且不为空</w:t>
            </w:r>
          </w:p>
        </w:tc>
      </w:tr>
      <w:tr>
        <w:tc>
          <w:tcPr>
            <w:tcW w:type="dxa" w:w="2494"/>
            <w:vAlign w:val="center"/>
          </w:tcPr>
          <w:p>
            <w:pPr>
              <w:spacing w:before="20" w:after="40" w:line="276" w:lineRule="auto"/>
              <w:jc w:val="left"/>
            </w:pPr>
            <w:r>
              <w:rPr>
                <w:rFonts w:ascii="Times New Roman" w:hAnsi="Times New Roman" w:eastAsia="宋体"/>
                <w:b w:val="0"/>
                <w:color w:val="000000"/>
                <w:sz w:val="19"/>
              </w:rPr>
              <w:t>治疗项目—治疗项目目录</w:t>
            </w:r>
          </w:p>
        </w:tc>
        <w:tc>
          <w:tcPr>
            <w:tcW w:type="dxa" w:w="1134"/>
            <w:vAlign w:val="center"/>
          </w:tcPr>
          <w:p>
            <w:pPr>
              <w:spacing w:before="20" w:after="40" w:line="276" w:lineRule="auto"/>
              <w:jc w:val="left"/>
            </w:pPr>
            <w:r>
              <w:rPr>
                <w:rFonts w:ascii="Times New Roman" w:hAnsi="Times New Roman" w:eastAsia="宋体"/>
                <w:b w:val="0"/>
                <w:color w:val="000000"/>
                <w:sz w:val="19"/>
              </w:rPr>
              <w:t>* : 1</w:t>
            </w:r>
          </w:p>
        </w:tc>
        <w:tc>
          <w:tcPr>
            <w:tcW w:type="dxa" w:w="5783"/>
            <w:vAlign w:val="center"/>
          </w:tcPr>
          <w:p>
            <w:pPr>
              <w:spacing w:before="20" w:after="40" w:line="276" w:lineRule="auto"/>
              <w:jc w:val="left"/>
            </w:pPr>
            <w:r>
              <w:rPr>
                <w:rFonts w:ascii="Times New Roman" w:hAnsi="Times New Roman" w:eastAsia="宋体"/>
                <w:b w:val="0"/>
                <w:color w:val="000000"/>
                <w:sz w:val="19"/>
              </w:rPr>
              <w:t>治疗项目表加外键「项目ID」</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治疗项目—耗材领用（组合）</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耗材领用表加外键「治疗项目ID」，且不为空</w:t>
            </w:r>
          </w:p>
        </w:tc>
      </w:tr>
      <w:tr>
        <w:tc>
          <w:tcPr>
            <w:tcW w:type="dxa" w:w="2494"/>
            <w:vAlign w:val="center"/>
          </w:tcPr>
          <w:p>
            <w:pPr>
              <w:spacing w:before="20" w:after="40" w:line="276" w:lineRule="auto"/>
              <w:jc w:val="left"/>
            </w:pPr>
            <w:r>
              <w:rPr>
                <w:rFonts w:ascii="Times New Roman" w:hAnsi="Times New Roman" w:eastAsia="宋体"/>
                <w:b w:val="0"/>
                <w:color w:val="000000"/>
                <w:sz w:val="19"/>
              </w:rPr>
              <w:t>治疗项目—耗材批号</w:t>
            </w:r>
          </w:p>
        </w:tc>
        <w:tc>
          <w:tcPr>
            <w:tcW w:type="dxa" w:w="1134"/>
            <w:vAlign w:val="center"/>
          </w:tcPr>
          <w:p>
            <w:pPr>
              <w:spacing w:before="20" w:after="40" w:line="276" w:lineRule="auto"/>
              <w:jc w:val="left"/>
            </w:pPr>
            <w:r>
              <w:rPr>
                <w:rFonts w:ascii="Times New Roman" w:hAnsi="Times New Roman" w:eastAsia="宋体"/>
                <w:b w:val="0"/>
                <w:color w:val="000000"/>
                <w:sz w:val="19"/>
              </w:rPr>
              <w:t>* : *</w:t>
            </w:r>
          </w:p>
        </w:tc>
        <w:tc>
          <w:tcPr>
            <w:tcW w:type="dxa" w:w="5783"/>
            <w:vAlign w:val="center"/>
          </w:tcPr>
          <w:p>
            <w:pPr>
              <w:spacing w:before="20" w:after="40" w:line="276" w:lineRule="auto"/>
              <w:jc w:val="left"/>
            </w:pPr>
            <w:r>
              <w:rPr>
                <w:rFonts w:ascii="Times New Roman" w:hAnsi="Times New Roman" w:eastAsia="宋体"/>
                <w:b w:val="0"/>
                <w:color w:val="000000"/>
                <w:sz w:val="19"/>
              </w:rPr>
              <w:t>另建关联表「耗材领用」，用代理主键，「用量」落在该表，两端加唯一约束</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耗材—耗材批号</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耗材批号表加外键「耗材ID」</w:t>
            </w:r>
          </w:p>
        </w:tc>
      </w:tr>
      <w:tr>
        <w:tc>
          <w:tcPr>
            <w:tcW w:type="dxa" w:w="2494"/>
            <w:vAlign w:val="center"/>
          </w:tcPr>
          <w:p>
            <w:pPr>
              <w:spacing w:before="20" w:after="40" w:line="276" w:lineRule="auto"/>
              <w:jc w:val="left"/>
            </w:pPr>
            <w:r>
              <w:rPr>
                <w:rFonts w:ascii="Times New Roman" w:hAnsi="Times New Roman" w:eastAsia="宋体"/>
                <w:b w:val="0"/>
                <w:color w:val="000000"/>
                <w:sz w:val="19"/>
              </w:rPr>
              <w:t>就诊—结算单（组合）</w:t>
            </w:r>
          </w:p>
        </w:tc>
        <w:tc>
          <w:tcPr>
            <w:tcW w:type="dxa" w:w="1134"/>
            <w:vAlign w:val="center"/>
          </w:tcPr>
          <w:p>
            <w:pPr>
              <w:spacing w:before="20" w:after="40" w:line="276" w:lineRule="auto"/>
              <w:jc w:val="left"/>
            </w:pPr>
            <w:r>
              <w:rPr>
                <w:rFonts w:ascii="Times New Roman" w:hAnsi="Times New Roman" w:eastAsia="宋体"/>
                <w:b w:val="0"/>
                <w:color w:val="000000"/>
                <w:sz w:val="19"/>
              </w:rPr>
              <w:t>1 : 0..1</w:t>
            </w:r>
          </w:p>
        </w:tc>
        <w:tc>
          <w:tcPr>
            <w:tcW w:type="dxa" w:w="5783"/>
            <w:vAlign w:val="center"/>
          </w:tcPr>
          <w:p>
            <w:pPr>
              <w:spacing w:before="20" w:after="40" w:line="276" w:lineRule="auto"/>
              <w:jc w:val="left"/>
            </w:pPr>
            <w:r>
              <w:rPr>
                <w:rFonts w:ascii="Times New Roman" w:hAnsi="Times New Roman" w:eastAsia="宋体"/>
                <w:b w:val="0"/>
                <w:color w:val="000000"/>
                <w:sz w:val="19"/>
              </w:rPr>
              <w:t>结算单表加外键「就诊ID」，且不为空</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结算单—收款（组合）</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收款表加外键「结算ID」，且不为空</w:t>
            </w:r>
          </w:p>
        </w:tc>
      </w:tr>
      <w:tr>
        <w:tc>
          <w:tcPr>
            <w:tcW w:type="dxa" w:w="2494"/>
            <w:vAlign w:val="center"/>
          </w:tcPr>
          <w:p>
            <w:pPr>
              <w:spacing w:before="20" w:after="40" w:line="276" w:lineRule="auto"/>
              <w:jc w:val="left"/>
            </w:pPr>
            <w:r>
              <w:rPr>
                <w:rFonts w:ascii="Times New Roman" w:hAnsi="Times New Roman" w:eastAsia="宋体"/>
                <w:b w:val="0"/>
                <w:color w:val="000000"/>
                <w:sz w:val="19"/>
              </w:rPr>
              <w:t>门店—季度运营费用（组合）</w:t>
            </w:r>
          </w:p>
        </w:tc>
        <w:tc>
          <w:tcPr>
            <w:tcW w:type="dxa" w:w="1134"/>
            <w:vAlign w:val="center"/>
          </w:tcPr>
          <w:p>
            <w:pPr>
              <w:spacing w:before="20" w:after="40" w:line="276" w:lineRule="auto"/>
              <w:jc w:val="left"/>
            </w:pPr>
            <w:r>
              <w:rPr>
                <w:rFonts w:ascii="Times New Roman" w:hAnsi="Times New Roman" w:eastAsia="宋体"/>
                <w:b w:val="0"/>
                <w:color w:val="000000"/>
                <w:sz w:val="19"/>
              </w:rPr>
              <w:t>1 : *</w:t>
            </w:r>
          </w:p>
        </w:tc>
        <w:tc>
          <w:tcPr>
            <w:tcW w:type="dxa" w:w="5783"/>
            <w:vAlign w:val="center"/>
          </w:tcPr>
          <w:p>
            <w:pPr>
              <w:spacing w:before="20" w:after="40" w:line="276" w:lineRule="auto"/>
              <w:jc w:val="left"/>
            </w:pPr>
            <w:r>
              <w:rPr>
                <w:rFonts w:ascii="Times New Roman" w:hAnsi="Times New Roman" w:eastAsia="宋体"/>
                <w:b w:val="0"/>
                <w:color w:val="000000"/>
                <w:sz w:val="19"/>
              </w:rPr>
              <w:t>季度运营费用表加外键「门店ID」，且不为空</w:t>
            </w:r>
          </w:p>
        </w:tc>
      </w:tr>
      <w:tr>
        <w:tc>
          <w:tcPr>
            <w:tcW w:type="dxa" w:w="2494"/>
            <w:shd w:val="clear" w:color="auto" w:fill="F4F4F4"/>
            <w:vAlign w:val="center"/>
          </w:tcPr>
          <w:p>
            <w:pPr>
              <w:spacing w:before="20" w:after="40" w:line="276" w:lineRule="auto"/>
              <w:jc w:val="left"/>
            </w:pPr>
            <w:r>
              <w:rPr>
                <w:rFonts w:ascii="Times New Roman" w:hAnsi="Times New Roman" w:eastAsia="宋体"/>
                <w:b w:val="0"/>
                <w:color w:val="000000"/>
                <w:sz w:val="19"/>
              </w:rPr>
              <w:t>治疗项目目录—项目标准成本（组合）</w:t>
            </w:r>
          </w:p>
        </w:tc>
        <w:tc>
          <w:tcPr>
            <w:tcW w:type="dxa" w:w="1134"/>
            <w:shd w:val="clear" w:color="auto" w:fill="F4F4F4"/>
            <w:vAlign w:val="center"/>
          </w:tcPr>
          <w:p>
            <w:pPr>
              <w:spacing w:before="20" w:after="40" w:line="276" w:lineRule="auto"/>
              <w:jc w:val="left"/>
            </w:pPr>
            <w:r>
              <w:rPr>
                <w:rFonts w:ascii="Times New Roman" w:hAnsi="Times New Roman" w:eastAsia="宋体"/>
                <w:b w:val="0"/>
                <w:color w:val="000000"/>
                <w:sz w:val="19"/>
              </w:rPr>
              <w:t>1 : *</w:t>
            </w:r>
          </w:p>
        </w:tc>
        <w:tc>
          <w:tcPr>
            <w:tcW w:type="dxa" w:w="5783"/>
            <w:shd w:val="clear" w:color="auto" w:fill="F4F4F4"/>
            <w:vAlign w:val="center"/>
          </w:tcPr>
          <w:p>
            <w:pPr>
              <w:spacing w:before="20" w:after="40" w:line="276" w:lineRule="auto"/>
              <w:jc w:val="left"/>
            </w:pPr>
            <w:r>
              <w:rPr>
                <w:rFonts w:ascii="Times New Roman" w:hAnsi="Times New Roman" w:eastAsia="宋体"/>
                <w:b w:val="0"/>
                <w:color w:val="000000"/>
                <w:sz w:val="19"/>
              </w:rPr>
              <w:t>项目标准成本表加外键「项目ID」，且不为空</w:t>
            </w:r>
          </w:p>
        </w:tc>
      </w:tr>
      <w:tr>
        <w:tc>
          <w:tcPr>
            <w:tcW w:type="dxa" w:w="2494"/>
            <w:vAlign w:val="center"/>
          </w:tcPr>
          <w:p>
            <w:pPr>
              <w:spacing w:before="20" w:after="40" w:line="276" w:lineRule="auto"/>
              <w:jc w:val="left"/>
            </w:pPr>
            <w:r>
              <w:rPr>
                <w:rFonts w:ascii="Times New Roman" w:hAnsi="Times New Roman" w:eastAsia="宋体"/>
                <w:b w:val="0"/>
                <w:color w:val="000000"/>
                <w:sz w:val="19"/>
              </w:rPr>
              <w:t>成本口径版本—项目标准成本</w:t>
            </w:r>
          </w:p>
        </w:tc>
        <w:tc>
          <w:tcPr>
            <w:tcW w:type="dxa" w:w="1134"/>
            <w:vAlign w:val="center"/>
          </w:tcPr>
          <w:p>
            <w:pPr>
              <w:spacing w:before="20" w:after="40" w:line="276" w:lineRule="auto"/>
              <w:jc w:val="left"/>
            </w:pPr>
            <w:r>
              <w:rPr>
                <w:rFonts w:ascii="Times New Roman" w:hAnsi="Times New Roman" w:eastAsia="宋体"/>
                <w:b w:val="0"/>
                <w:color w:val="000000"/>
                <w:sz w:val="19"/>
              </w:rPr>
              <w:t>1 : *</w:t>
            </w:r>
          </w:p>
        </w:tc>
        <w:tc>
          <w:tcPr>
            <w:tcW w:type="dxa" w:w="5783"/>
            <w:vAlign w:val="center"/>
          </w:tcPr>
          <w:p>
            <w:pPr>
              <w:spacing w:before="20" w:after="40" w:line="276" w:lineRule="auto"/>
              <w:jc w:val="left"/>
            </w:pPr>
            <w:r>
              <w:rPr>
                <w:rFonts w:ascii="Times New Roman" w:hAnsi="Times New Roman" w:eastAsia="宋体"/>
                <w:b w:val="0"/>
                <w:color w:val="000000"/>
                <w:sz w:val="19"/>
              </w:rPr>
              <w:t>项目标准成本表加外键「版本ID」</w:t>
            </w:r>
          </w:p>
        </w:tc>
      </w:tr>
    </w:tbl>
    <w:p>
      <w:pPr>
        <w:spacing w:after="120" w:line="120" w:lineRule="exact"/>
      </w:pPr>
      <w:r>
        <w:rPr>
          <w:rFonts w:ascii="Times New Roman" w:hAnsi="Times New Roman" w:eastAsia="宋体"/>
          <w:b w:val="0"/>
          <w:color w:val="000000"/>
          <w:sz w:val="2"/>
        </w:rPr>
      </w:r>
    </w:p>
    <w:p>
      <w:pPr>
        <w:pStyle w:val="4"/>
      </w:pPr>
      <w:r>
        <w:t>7.4 主键、范式与冗余</w:t>
      </w:r>
    </w:p>
    <w:p>
      <w:pPr>
        <w:spacing w:before="0" w:after="140" w:line="324" w:lineRule="auto"/>
      </w:pPr>
      <w:r>
        <w:rPr>
          <w:rFonts w:ascii="Times New Roman" w:hAnsi="Times New Roman" w:eastAsia="宋体"/>
          <w:b w:val="0"/>
          <w:color w:val="000000"/>
          <w:sz w:val="21"/>
        </w:rPr>
        <w:t>有三处值得说明。一是「接诊安排」：门店与牙医之间是多对多——案例明确说牙医不专属任何门店、按技能在多个门店轮转，因此另建关联表。这张表有自己的代理主键「接诊安排ID」，门店与牙医的标识作为外键，预约引用一条接诊安排，接诊牙医与就诊门店由此确定，正好落实案例里「通话过程中安排一位牙医接诊」的要求；代理键也避免了把门店编号、员工编号这类带领域含义、可能变化的字段当主键。二是「耗材领用」：治疗项目与耗材批号之间同样多对多，另建关联表并给出代理主键，「用量」落在该表上；耗材批号带采购单价，两者相乘即可归集每次治疗的医疗用品成本，这是激励制度算净利润的输入。三是「就诊」表里不再重复存放患者、门店与牙医：它们沿「预约—接诊安排」即可得到，重复存放会造成传递依赖，正好违反第三范式。三处都能在类图上找到对应。结算单里的「已收金额」与治疗项目里的「治疗金额」属于可计算的冗余列，课件提醒非规范化要慎用，本设计保留它们是为了检索与对账方便，取值始终由明细算出，不作为唯一数据来源；结算单的「未收金额」因此不落库，由结算单总价减去已收金额算出。</w:t>
      </w:r>
    </w:p>
    <w:p w14:paraId="0A92B8BA">
      <w:pPr>
        <w:pStyle w:val="3"/>
      </w:pPr>
      <w:r>
        <w:t>八、后续阶段与经营指标</w:t>
      </w:r>
    </w:p>
    <w:p w14:paraId="0AC464C2">
      <w:pPr>
        <w:spacing w:after="120" w:line="324" w:lineRule="auto"/>
        <w:ind w:firstLine="420"/>
      </w:pPr>
      <w:r>
        <w:rPr>
          <w:rFonts w:ascii="Times New Roman" w:hAnsi="Times New Roman" w:eastAsia="宋体"/>
          <w:b w:val="0"/>
          <w:color w:val="000000"/>
          <w:sz w:val="21"/>
        </w:rPr>
        <w:t>以下内容不影响本次交付的六项成果，但属于连锁口腔经营中真实存在的需求，建议在设计阶段逐步纳入。</w:t>
      </w:r>
    </w:p>
    <w:p w14:paraId="54612376">
      <w:pPr>
        <w:pStyle w:val="16"/>
        <w:spacing w:after="80" w:line="312" w:lineRule="auto"/>
        <w:ind w:left="567"/>
      </w:pPr>
      <w:r>
        <w:rPr>
          <w:rFonts w:ascii="Times New Roman" w:hAnsi="Times New Roman" w:eastAsia="宋体"/>
          <w:b w:val="0"/>
          <w:color w:val="000000"/>
          <w:sz w:val="21"/>
        </w:rPr>
        <w:t>影像调阅：口内片、全景片与 CBCT 属于病历的一部分，需要按患者与牙位关联调阅，通常单独存储并与病历建立索引。</w:t>
      </w:r>
    </w:p>
    <w:p w14:paraId="22D87572">
      <w:pPr>
        <w:pStyle w:val="16"/>
        <w:spacing w:after="80" w:line="312" w:lineRule="auto"/>
        <w:ind w:left="567"/>
      </w:pPr>
      <w:r>
        <w:rPr>
          <w:rFonts w:ascii="Times New Roman" w:hAnsi="Times New Roman" w:eastAsia="宋体"/>
          <w:b w:val="0"/>
          <w:color w:val="000000"/>
          <w:sz w:val="21"/>
        </w:rPr>
        <w:t>合规与留痕：电子病历的修改要留痕，跨门店调阅患者病历要记录授权，这两项应作为设计约束明确下来。</w:t>
      </w:r>
    </w:p>
    <w:p w14:paraId="18660433">
      <w:pPr>
        <w:pStyle w:val="16"/>
        <w:spacing w:after="80" w:line="312" w:lineRule="auto"/>
        <w:ind w:left="567"/>
      </w:pPr>
      <w:r>
        <w:rPr>
          <w:rFonts w:ascii="Times New Roman" w:hAnsi="Times New Roman" w:eastAsia="宋体"/>
          <w:b w:val="0"/>
          <w:color w:val="000000"/>
          <w:sz w:val="21"/>
        </w:rPr>
        <w:t>椅位与资源排班：真实排班是椅位、牙医、助手的组合占用，还要处理急诊插单与迟到，可在维护接诊安排这一用例中扩展。</w:t>
      </w:r>
    </w:p>
    <w:p w14:paraId="35E2D42A">
      <w:pPr>
        <w:pStyle w:val="16"/>
        <w:spacing w:after="80" w:line="312" w:lineRule="auto"/>
        <w:ind w:left="567"/>
      </w:pPr>
      <w:r>
        <w:rPr>
          <w:rFonts w:ascii="Times New Roman" w:hAnsi="Times New Roman" w:eastAsia="宋体"/>
          <w:b w:val="0"/>
          <w:color w:val="000000"/>
          <w:sz w:val="21"/>
        </w:rPr>
        <w:t>经营指标：椅位使用率、初诊量、初诊成交率、客单价、复诊召回率、单椅月产出、耗材成本占比、应收账款与欠费。这些指标都建立在 UC-01 与 UC-02 的数据之上，数据源头做对之后可以逐个加入季度报告。</w:t>
      </w:r>
    </w:p>
    <w:p w14:paraId="27E73B15">
      <w:pPr>
        <w:pStyle w:val="3"/>
      </w:pPr>
      <w:r>
        <w:t>附录　案例与材料来源</w:t>
      </w:r>
    </w:p>
    <w:p w14:paraId="6953DAD6">
      <w:pPr>
        <w:pStyle w:val="16"/>
        <w:spacing w:after="80" w:line="312" w:lineRule="auto"/>
        <w:ind w:left="567"/>
      </w:pPr>
      <w:r>
        <w:rPr>
          <w:rFonts w:ascii="Times New Roman" w:hAnsi="Times New Roman" w:eastAsia="宋体"/>
          <w:b w:val="0"/>
          <w:color w:val="000000"/>
          <w:sz w:val="21"/>
        </w:rPr>
        <w:t>案例正文：安德鲁牙科连锁店：数据建模，案例编号 W44694，Ivey Business School Foundation。</w:t>
      </w:r>
    </w:p>
    <w:p w14:paraId="488214CB">
      <w:pPr>
        <w:pStyle w:val="16"/>
        <w:spacing w:after="80" w:line="312" w:lineRule="auto"/>
        <w:ind w:left="567"/>
      </w:pPr>
      <w:r>
        <w:rPr>
          <w:rFonts w:ascii="Times New Roman" w:hAnsi="Times New Roman" w:eastAsia="宋体"/>
          <w:b w:val="0"/>
          <w:color w:val="000000"/>
          <w:sz w:val="21"/>
        </w:rPr>
        <w:t>课程材料：系统分析与设计课程课件（2026 年 9 月版）。</w:t>
      </w:r>
      <w:bookmarkStart w:id="0" w:name="_GoBack"/>
      <w:bookmarkEnd w:id="0"/>
    </w:p>
    <w:sectPr>
      <w:footerReference r:id="rId5" w:type="default"/>
      <w:headerReference w:type="default" r:id="rId21"/>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8A474">
    <w:pPr>
      <w:pStyle w:val="24"/>
      <w:jc w:val="center"/>
    </w:pPr>
    <w:r>
      <w:rPr>
        <w:rFonts w:ascii="Times New Roman" w:hAnsi="Times New Roman" w:eastAsia="宋体"/>
        <w:b w:val="0"/>
        <w:color w:val="6E6E6E"/>
        <w:sz w:val="18"/>
      </w:rPr>
      <w:fldChar w:fldCharType="begin"/>
    </w:r>
    <w:r>
      <w:rPr>
        <w:rFonts w:ascii="Times New Roman" w:hAnsi="Times New Roman" w:eastAsia="宋体"/>
        <w:b w:val="0"/>
        <w:color w:val="6E6E6E"/>
        <w:sz w:val="18"/>
      </w:rPr>
      <w:instrText xml:space="preserve">PAGE</w:instrText>
    </w:r>
    <w:r>
      <w:rPr>
        <w:rFonts w:ascii="Times New Roman" w:hAnsi="Times New Roman" w:eastAsia="宋体"/>
        <w:b w:val="0"/>
        <w:color w:val="6E6E6E"/>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792C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324" w:lineRule="auto"/>
    </w:pPr>
    <w:rPr>
      <w:rFonts w:ascii="Times New Roman" w:hAnsi="Times New Roman" w:eastAsia="宋体" w:cs="Times New Roman"/>
      <w:color w:val="000000"/>
      <w:sz w:val="21"/>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25"/>
      <w:szCs w:val="26"/>
    </w:rPr>
  </w:style>
  <w:style w:type="paragraph" w:styleId="5">
    <w:name w:val="heading 3"/>
    <w:basedOn w:val="1"/>
    <w:next w:val="1"/>
    <w:link w:val="140"/>
    <w:unhideWhenUsed/>
    <w:qFormat/>
    <w:uiPriority w:val="9"/>
    <w:pPr>
      <w:keepNext/>
      <w:keepLines/>
      <w:spacing w:before="200" w:after="8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2111</Words>
  <Characters>2186</Characters>
  <Lines>0</Lines>
  <Paragraphs>0</Paragraphs>
  <TotalTime>5</TotalTime>
  <ScaleCrop>false</ScaleCrop>
  <LinksUpToDate>false</LinksUpToDate>
  <CharactersWithSpaces>2235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cp:lastModifiedBy/>
  <dcterms:modified xsi:type="dcterms:W3CDTF">2026-10-09T17:33:35Z</dcterms:modified>
  <cp:revision>1</cp:revision>
  <cp:category/>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3" name="KSOProductBuildVer">
    <vt:lpwstr>2052-12.1.0.28505</vt:lpwstr>
  </property>
  <property fmtid="{D5CDD505-2E9C-101B-9397-08002B2CF9AE}" pid="4" name="ICV">
    <vt:lpwstr>0C333ADCC0E848D8A145B0E63EB0B122_12</vt:lpwstr>
  </property>
</Properties>
</file>