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20A39E"/>
          <w:sz w:val="34"/>
        </w:rPr>
        <w:t>ដែន  ·  DAEN</w:t>
      </w:r>
    </w:p>
    <w:p>
      <w:pPr>
        <w:pStyle w:val="Title"/>
        <w:spacing w:before="440"/>
        <w:jc w:val="center"/>
      </w:pPr>
      <w:r>
        <w:t>DAEN 产品需求、边界、技术与品牌方案</w:t>
      </w:r>
    </w:p>
    <w:p>
      <w:pPr>
        <w:jc w:val="center"/>
      </w:pPr>
      <w:r>
        <w:rPr>
          <w:color w:val="596773"/>
          <w:sz w:val="30"/>
        </w:rPr>
        <w:t>V1.0  |  Connect Every Place.</w:t>
      </w:r>
    </w:p>
    <w:p>
      <w:pPr>
        <w:spacing w:before="480"/>
        <w:jc w:val="center"/>
      </w:pPr>
      <w:r>
        <w:rPr>
          <w:color w:val="20A39E"/>
          <w:sz w:val="20"/>
        </w:rPr>
        <w:t>产品定位  ·  MVP 范围  ·  技术蓝图  ·  品牌系统</w:t>
      </w:r>
    </w:p>
    <w:p>
      <w:pPr>
        <w:spacing w:before="2000"/>
        <w:jc w:val="center"/>
      </w:pPr>
      <w:r>
        <w:rPr>
          <w:color w:val="596773"/>
          <w:sz w:val="20"/>
        </w:rPr>
        <w:t>方案属性：讨论稿 / 可编辑基线</w:t>
        <w:br/>
        <w:t>版本日期：2026 年 10 月 5 日</w:t>
      </w:r>
    </w:p>
    <w:p>
      <w:r>
        <w:br w:type="page"/>
      </w:r>
    </w:p>
    <w:p>
      <w:pPr>
        <w:pStyle w:val="Heading1"/>
      </w:pPr>
      <w:r>
        <w:t>文档说明与决策状态</w:t>
      </w:r>
    </w:p>
    <w:p>
      <w:r>
        <w:t>本方案把当前对话中明确表达的产品定位转成可讨论、可拆解的 V1.0 产品与技术基线。只有对话直接支持的事项标为“已确定”；产品形态、目标市场、技术与路线选择若尚未由负责人确认，则标为“假设/建议”；尚未进入当前交付边界的能力标为“后续规划”。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7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324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525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本文件中的用法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已确定需求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用户在引用对话或本次需求中明确提出。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可作为当前需求基线，但仍需在正式立项时确认验收责任人。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为了形成完整方案所作的产品、架构或设计建议。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供评审和试点验证；未经决策，不视为承诺或既定事实。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有战略关联但不属于 MVP 必需交付。</w:t>
            </w:r>
          </w:p>
        </w:tc>
        <w:tc>
          <w:tcPr>
            <w:tcW w:type="dxa" w:w="52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仅保留方向与触发条件，不作为当前开发范围。</w:t>
            </w:r>
          </w:p>
        </w:tc>
      </w:tr>
    </w:tbl>
    <w:p>
      <w:pPr>
        <w:spacing w:after="20"/>
      </w:pPr>
    </w:p>
    <w:p>
      <w:pPr>
        <w:pStyle w:val="Heading2"/>
      </w:pPr>
      <w:r>
        <w:t>当前可确认的基线</w:t>
      </w:r>
    </w:p>
    <w:p>
      <w:pPr>
        <w:pStyle w:val="ListBullet"/>
        <w:spacing w:after="60"/>
      </w:pPr>
      <w:r>
        <w:t>已确定：DAEN 的产品表达为 AI Native Organization Operating System，面向人类员工、AI Agent、项目、工作流、知识、工具、模型与 Runtime 的协同运行。</w:t>
      </w:r>
    </w:p>
    <w:p>
      <w:pPr>
        <w:pStyle w:val="ListBullet"/>
        <w:spacing w:after="60"/>
      </w:pPr>
      <w:r>
        <w:t>已确定：Virtual AI Office 是组织运行引擎之上的可视化交互层，不是独立的装饰大屏。</w:t>
      </w:r>
    </w:p>
    <w:p>
      <w:pPr>
        <w:pStyle w:val="ListBullet"/>
        <w:spacing w:after="60"/>
      </w:pPr>
      <w:r>
        <w:t>已确定：品牌名为 ដែន / DAEN / 域联，口号为 Connect Every Place.；本次明确要求控制 MVP，不把地图 App、全国自有底图、复杂微服务或 Kubernetes 混入当前目标。</w:t>
      </w:r>
    </w:p>
    <w:p>
      <w:pPr>
        <w:pStyle w:val="ListBullet"/>
        <w:spacing w:after="60"/>
      </w:pPr>
      <w:r>
        <w:t>引用对话补充的方向：Geo Core 是地理位置基础设施，而不是地图 App。此条可视为范围原则；具体地理业务仍需验证。</w:t>
      </w:r>
    </w:p>
    <w:p>
      <w:pPr>
        <w:pStyle w:val="Heading2"/>
      </w:pPr>
      <w:r>
        <w:t>方案结论摘要</w:t>
      </w:r>
    </w:p>
    <w:p>
      <w:r>
        <w:t>建议先验证一个组织内的“成员 / Agent → 项目与任务 → 工作流执行 → 结果与审计”闭环。MVP 用模块化单体、关系数据库、对象存储、后台队列和托管地图 / 地理编码服务。地图能力先服务于 Place 的引用、权限和上下文；不建设面向大众的地图产品，也不建设全国底图。</w:t>
      </w:r>
    </w:p>
    <w:p>
      <w:pPr>
        <w:pStyle w:val="Heading1"/>
      </w:pPr>
      <w:r>
        <w:t>一、项目背景与产品定位</w:t>
      </w:r>
    </w:p>
    <w:p>
      <w:pPr>
        <w:pStyle w:val="Heading2"/>
      </w:pPr>
      <w:r>
        <w:t>1.1 背景</w:t>
      </w:r>
    </w:p>
    <w:p>
      <w:r>
        <w:t>组织开始把 AI Agent、自动化工作流和外部工具纳入日常运营，但角色、任务、知识、授权和执行结果分散在不同系统中，导致管理者难以看清“谁在做什么、基于什么资料、使用了哪些权限、结果如何复核”。DAEN 的机会假设是提供一个统一的组织运行界面与基础运行层，把人、Agent、任务、工作流和场所上下文连接起来。</w:t>
      </w:r>
    </w:p>
    <w:p>
      <w:r>
        <w:t>以上问题描述是产品问题假设，引用对话未提供客户访谈、现有系统盘点或付费证据。V1.0 应被视为产品方案基线，而不是市场需求已获验证的结论。</w:t>
      </w:r>
    </w:p>
    <w:p>
      <w:pPr>
        <w:pStyle w:val="Heading2"/>
      </w:pPr>
      <w:r>
        <w:t>1.2 定位</w:t>
      </w:r>
    </w:p>
    <w:p>
      <w:r>
        <w:t>DAEN = AI Native Organization Operating System：面向团队和组织，让人类成员与 AI Agent 在统一的组织、项目、工作流、知识、工具和运行环境中协同完成工作。</w:t>
      </w:r>
    </w:p>
    <w:p>
      <w:r>
        <w:t>品牌表达：ដែន / DAEN / 域联；Connect Every Place. 这里的 Place 既可指组织中的数字工作空间，也可扩展为物理场所与服务节点。后者属于待验证的地理场景延展，不应从口号直接推导为地图产品。</w:t>
      </w:r>
    </w:p>
    <w:p>
      <w:pPr>
        <w:pStyle w:val="Heading2"/>
      </w:pPr>
      <w:r>
        <w:t>1.3 问题与结果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对象</w:t>
            </w:r>
          </w:p>
        </w:tc>
        <w:tc>
          <w:tcPr>
            <w:tcW w:type="dxa" w:w="360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当前可能的摩擦（假设）</w:t>
            </w:r>
          </w:p>
        </w:tc>
        <w:tc>
          <w:tcPr>
            <w:tcW w:type="dxa" w:w="482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DAEN 希望提供的结果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组织负责人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AI 使用分散，权限与责任不清，结果难追溯。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在组织边界内配置成员、Agent、任务和授权，并审阅执行记录。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团队成员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任务、上下文、工具和交接信息散落。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在项目与任务上下文中协作，按权限调用工具并交接结果。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Agent / 自动化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缺少可控身份、任务边界、凭据隔离与失败处置。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以受限身份执行明确任务，记录输入、工具调用、审批和输出。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有地点上下文的运营团队（待验证）</w:t>
            </w:r>
          </w:p>
        </w:tc>
        <w:tc>
          <w:tcPr>
            <w:tcW w:type="dxa" w:w="36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地点资料和组织工作流分离。</w:t>
            </w:r>
          </w:p>
        </w:tc>
        <w:tc>
          <w:tcPr>
            <w:tcW w:type="dxa" w:w="48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通过 Place / Geo Core 把地点作为业务对象关联到任务和流程。</w:t>
            </w:r>
          </w:p>
        </w:tc>
      </w:tr>
    </w:tbl>
    <w:p>
      <w:pPr>
        <w:spacing w:after="20"/>
      </w:pPr>
    </w:p>
    <w:p>
      <w:pPr>
        <w:pStyle w:val="Heading1"/>
      </w:pPr>
      <w:r>
        <w:t>二、使命、愿景与核心价值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62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方案表述</w:t>
            </w:r>
          </w:p>
        </w:tc>
        <w:tc>
          <w:tcPr>
            <w:tcW w:type="dxa" w:w="201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使命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让组织中的人、AI 与工作发生连接，让协作可理解、可执行、可追溯。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愿景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成为连接数字工作空间与真实服务场所的组织运行基础设施。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核心价值一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组织化：成员、Agent、项目、任务与知识共享一个权限边界。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从定位推导的产品原则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核心价值二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可控执行：先授权、再运行；关键动作可审批、可暂停、可撤销。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核心价值三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可追溯：任务、工具调用、数据来源与执行结果形成审计链。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核心价值四</w:t>
            </w:r>
          </w:p>
        </w:tc>
        <w:tc>
          <w:tcPr>
            <w:tcW w:type="dxa" w:w="66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地点可连接：Place 是可被引用和关联的业务对象，地图服务只是可替换的呈现与地理能力。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范围原则 + 建议</w:t>
            </w:r>
          </w:p>
        </w:tc>
      </w:tr>
    </w:tbl>
    <w:p>
      <w:pPr>
        <w:spacing w:after="20"/>
      </w:pPr>
    </w:p>
    <w:p>
      <w:pPr>
        <w:pStyle w:val="Heading1"/>
      </w:pPr>
      <w:r>
        <w:t>三、目标用户与核心场景</w:t>
      </w:r>
    </w:p>
    <w:p>
      <w:r>
        <w:t>初期目标用户应以可接触、可控制数据和流程的小型团队或业务单元为对象。下列细分是待验证的客户假设，不代表已确定市场。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角色 / 用户</w:t>
            </w:r>
          </w:p>
        </w:tc>
        <w:tc>
          <w:tcPr>
            <w:tcW w:type="dxa" w:w="439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需要完成的工作</w:t>
            </w:r>
          </w:p>
        </w:tc>
        <w:tc>
          <w:tcPr>
            <w:tcW w:type="dxa" w:w="38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MVP 价值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组织所有者 / 管理员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建立组织，邀请成员，配置角色与 Agent，管理连接器。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组织空间、成员角色、Agent 注册与权限管理。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项目负责人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拆解项目任务、分派人员 / Agent、查看进展、处理阻塞。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项目、任务、状态流转、活动记录与基础工作流。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执行成员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接收任务、补充上下文、提交结果、请求审批或转交。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任务工作台、评论、附件、审批请求与交接记录。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AI Agent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在限定任务、数据范围和工具许可内执行。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Agent 身份、运行记录、受限工具调用及人工确认点。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地点运营人员（候选）</w:t>
            </w:r>
          </w:p>
        </w:tc>
        <w:tc>
          <w:tcPr>
            <w:tcW w:type="dxa" w:w="439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维护场所资料，把地点关联到工作任务或流程。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 记录、地址 / 坐标、来源和基础查询；仅在试点需要时进入 MVP。</w:t>
            </w:r>
          </w:p>
        </w:tc>
      </w:tr>
    </w:tbl>
    <w:p>
      <w:pPr>
        <w:spacing w:after="20"/>
      </w:pPr>
    </w:p>
    <w:p>
      <w:pPr>
        <w:pStyle w:val="Heading2"/>
      </w:pPr>
      <w:r>
        <w:t>3.1 优先场景（建议排序）</w:t>
      </w:r>
    </w:p>
    <w:p>
      <w:pPr>
        <w:pStyle w:val="ListNumber"/>
        <w:spacing w:after="60"/>
      </w:pPr>
      <w:r>
        <w:t>组织内任务交付：负责人创建任务、指定成员或 Agent、提供资料与工具权限，接收结构化结果并复核。</w:t>
      </w:r>
    </w:p>
    <w:p>
      <w:pPr>
        <w:pStyle w:val="ListNumber"/>
        <w:spacing w:after="60"/>
      </w:pPr>
      <w:r>
        <w:t>Agent 受控执行：Agent 领取任务，在明确预算 / 工具范围内执行；遇到高风险动作进入人工审批；所有步骤留痕。</w:t>
      </w:r>
    </w:p>
    <w:p>
      <w:pPr>
        <w:pStyle w:val="ListNumber"/>
        <w:spacing w:after="60"/>
      </w:pPr>
      <w:r>
        <w:t>项目状态可见：成员、Agent、任务状态、阻塞与最近活动汇总在工作台和 Virtual AI Office 中。</w:t>
      </w:r>
    </w:p>
    <w:p>
      <w:pPr>
        <w:pStyle w:val="ListNumber"/>
        <w:spacing w:after="60"/>
      </w:pPr>
      <w:r>
        <w:t>地点关联工作（条件场景）：为任务选择组织 Places，记录坐标或外部地图引用；只在客户流程明确依赖地点时启用。</w:t>
      </w:r>
    </w:p>
    <w:p>
      <w:pPr>
        <w:pStyle w:val="Heading2"/>
      </w:pPr>
      <w:r>
        <w:t>3.2 需求验证问题</w:t>
      </w:r>
    </w:p>
    <w:p>
      <w:pPr>
        <w:pStyle w:val="ListBullet"/>
        <w:spacing w:after="60"/>
      </w:pPr>
      <w:r>
        <w:t>谁是实际付款人，购买的是团队协作、Agent 治理，还是特定垂直流程？</w:t>
      </w:r>
    </w:p>
    <w:p>
      <w:pPr>
        <w:pStyle w:val="ListBullet"/>
        <w:spacing w:after="60"/>
      </w:pPr>
      <w:r>
        <w:t>一个试点组织每周有多少任务依赖 Agent？发生错误或权限越界的成本是什么？</w:t>
      </w:r>
    </w:p>
    <w:p>
      <w:pPr>
        <w:pStyle w:val="ListBullet"/>
        <w:spacing w:after="60"/>
      </w:pPr>
      <w:r>
        <w:t>目标组织是否需要把真实地址、坐标或现场人员接入流程？地点数据由谁维护？</w:t>
      </w:r>
    </w:p>
    <w:p>
      <w:pPr>
        <w:pStyle w:val="ListBullet"/>
        <w:spacing w:after="60"/>
      </w:pPr>
      <w:r>
        <w:t>相较现有项目管理、自动化和 AI 工作台，DAEN 能否显著降低切换成本或风险？</w:t>
      </w:r>
    </w:p>
    <w:p>
      <w:pPr>
        <w:pStyle w:val="Heading1"/>
      </w:pPr>
      <w:r>
        <w:t>四、产品边界与非目标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范围类别</w:t>
            </w:r>
          </w:p>
        </w:tc>
        <w:tc>
          <w:tcPr>
            <w:tcW w:type="dxa" w:w="640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纳入 / 排除边界</w:t>
            </w:r>
          </w:p>
        </w:tc>
        <w:tc>
          <w:tcPr>
            <w:tcW w:type="dxa" w:w="201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组织运行核心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组织、成员、角色、Agent、项目、任务、工作流、知识引用、工具连接、运行记录。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已确定方向；具体 MVP 切片为建议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Virtual AI Office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桌面 / 网页端组织运行可视化与导航，反映真实对象和状态。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已确定为交互层定位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Geo Core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地址、坐标、Place 引用、地理查询适配；服务 DAEN 业务。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已确定“基础设施而非地图 App”；细节为建议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地图 App / 大众导航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不做面向消费者的地图、导航、路线规划和用户贡献地图。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明确非目标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全国自有底图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不采集、生产或维护全国全量道路与兴趣点底图；通过服务适配器调用托管供应商。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明确非目标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微服务 / Kubernetes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MVP 不拆复杂微服务，不建设 Kubernetes 平台。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明确非目标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全自主 Agent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不允许 Agent 无边界地访问全部组织数据、任意工具或自动完成不可逆操作。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建议边界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企业级平台化</w:t>
            </w:r>
          </w:p>
        </w:tc>
        <w:tc>
          <w:tcPr>
            <w:tcW w:type="dxa" w:w="64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多云、复杂租户隔离、跨区容灾、插件市场、计费与 SLA 平台化不进入 MVP。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</w:tr>
    </w:tbl>
    <w:p>
      <w:pPr>
        <w:spacing w:after="20"/>
      </w:pPr>
    </w:p>
    <w:p>
      <w:pPr>
        <w:pStyle w:val="Heading2"/>
      </w:pPr>
      <w:r>
        <w:t>4.1 MVP 范围闸门</w:t>
      </w:r>
    </w:p>
    <w:p>
      <w:r>
        <w:t>新增功能只有在它支撑“创建并交付一个可审计任务”闭环，或是当前试点的明确阻塞项时，才进入 MVP。任何需要独立地图用户增长、全国数据运营、复杂基础设施团队或大规模生态供给的工作，都需另立阶段评审。</w:t>
      </w:r>
    </w:p>
    <w:p>
      <w:pPr>
        <w:pStyle w:val="Heading1"/>
      </w:pPr>
      <w:r>
        <w:t>五、核心产品架构与功能模块</w:t>
      </w:r>
    </w:p>
    <w:p>
      <w:r>
        <w:t>产品分为组织运行核心、执行与集成能力、地理位置能力、可视化交互层和平台基础能力。MVP 先以单一应用内部的模块边界承载；模块划分不等于微服务拆分。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0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层 / 模块</w:t>
            </w:r>
          </w:p>
        </w:tc>
        <w:tc>
          <w:tcPr>
            <w:tcW w:type="dxa" w:w="446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职责</w:t>
            </w:r>
          </w:p>
        </w:tc>
        <w:tc>
          <w:tcPr>
            <w:tcW w:type="dxa" w:w="381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MVP 建议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组织与身份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组织、成员、角色、邀请、Agent 身份与状态。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必须：单组织/租户模型与 RBAC 起步；内部采用 tenant_id 预留隔离。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项目与任务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项目、任务、依赖、状态、评论、附件、交接。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必须：可创建、分配、推进、提交、复核、关闭。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工作流与运行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触发条件、步骤、执行状态、重试、取消、人工审批。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基础串行工作流；复杂编排放后续。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知识与上下文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文档/链接引用、版本、任务上下文与访问校验。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先引用既有文件或链接；检索增强和知识图谱后置。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工具与模型连接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工具定义、凭据引用、模型提供方适配、调用记录。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少量服务端连接器；密钥外置；逐工具授权。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运行控制台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Agent 执行队列、状态、错误、预算、审批和暂停。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必须具备操作可见性和人工介入。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Geo Core / Places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 数据对象、地址与坐标、外部地理服务适配。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最小数据对象/引用接口；仅按试点需要开放录入与搜索。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Virtual AI Office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组织、项目、成员 / Agent、任务状态的空间化视图。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二维网页工作台优先；用真实数据驱动；可切回列表视图。</w:t>
            </w:r>
          </w:p>
        </w:tc>
      </w:tr>
      <w:tr>
        <w:trPr>
          <w:cantSplit/>
        </w:trPr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平台基础能力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通知、审计、可观测性、租户配置、备份恢复。</w:t>
            </w:r>
          </w:p>
        </w:tc>
        <w:tc>
          <w:tcPr>
            <w:tcW w:type="dxa" w:w="38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单一区域、托管服务、结构化日志与基础告警。</w:t>
            </w:r>
          </w:p>
        </w:tc>
      </w:tr>
    </w:tbl>
    <w:p>
      <w:pPr>
        <w:spacing w:after="20"/>
      </w:pPr>
    </w:p>
    <w:p>
      <w:pPr>
        <w:pStyle w:val="Heading1"/>
      </w:pPr>
      <w:r>
        <w:t>六、Virtual AI Office 在整体产品中的位置</w:t>
      </w:r>
    </w:p>
    <w:p>
      <w:r>
        <w:t>Virtual AI Office 是 DAEN 的可视化交互与空间导航层。它展示组织运行状态并让用户进入真实对象；组织、项目、任务、权限、流程和 Agent Runtime 才是权威业务层。办公室里的工位、房间或移动动画不能替代数据状态，也不能制造“Agent 正在工作”的虚假反馈。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交互对象</w:t>
            </w:r>
          </w:p>
        </w:tc>
        <w:tc>
          <w:tcPr>
            <w:tcW w:type="dxa" w:w="345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映射的真实对象</w:t>
            </w:r>
          </w:p>
        </w:tc>
        <w:tc>
          <w:tcPr>
            <w:tcW w:type="dxa" w:w="468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可用操作 / 状态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办公室 / 团队区域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组织、部门或项目空间。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进入空间、过滤项目、查看角色与运行状态。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员工 / Agent 形象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Member / Agent 身份对象。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查看在线/可用/忙碌/暂停状态、当前任务与权限摘要。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桌面 / 任务卡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Task / Run。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打开详情、查看输出、批准 / 拒绝高风险动作、暂停或重试。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房间 / 工作区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Project / Workflow。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按项目或流程查看进度、队列和阻塞。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地点节点</w:t>
            </w:r>
          </w:p>
        </w:tc>
        <w:tc>
          <w:tcPr>
            <w:tcW w:type="dxa" w:w="345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Place。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查看地址、来源、坐标与关联任务；在授权范围内跳转外部地图。</w:t>
            </w:r>
          </w:p>
        </w:tc>
      </w:tr>
    </w:tbl>
    <w:p>
      <w:pPr>
        <w:spacing w:after="20"/>
      </w:pPr>
    </w:p>
    <w:p>
      <w:pPr>
        <w:pStyle w:val="Heading2"/>
      </w:pPr>
      <w:r>
        <w:t>6.1 MVP 交互要求</w:t>
      </w:r>
    </w:p>
    <w:p>
      <w:pPr>
        <w:pStyle w:val="ListBullet"/>
        <w:spacing w:after="60"/>
      </w:pPr>
      <w:r>
        <w:t>默认提供列表 / 看板等高效工作视图；Office 视图是附加导航，不成为唯一入口。</w:t>
      </w:r>
    </w:p>
    <w:p>
      <w:pPr>
        <w:pStyle w:val="ListBullet"/>
        <w:spacing w:after="60"/>
      </w:pPr>
      <w:r>
        <w:t>每个可点击元素必须进入可操作的真实对象详情，并显示最后更新时间与状态来源。</w:t>
      </w:r>
    </w:p>
    <w:p>
      <w:pPr>
        <w:pStyle w:val="ListBullet"/>
        <w:spacing w:after="60"/>
      </w:pPr>
      <w:r>
        <w:t>明确区分可用、运行中、等待审批、失败、暂停、已完成；断线或数据过期时显示更新时间。</w:t>
      </w:r>
    </w:p>
    <w:p>
      <w:pPr>
        <w:pStyle w:val="ListBullet"/>
        <w:spacing w:after="60"/>
      </w:pPr>
      <w:r>
        <w:t>低带宽、窄屏和辅助技术下仍可完成核心任务，不把重要权限控制藏在空间动画中。</w:t>
      </w:r>
    </w:p>
    <w:p>
      <w:pPr>
        <w:pStyle w:val="Heading1"/>
      </w:pPr>
      <w:r>
        <w:t>七、DAEN ID、Places、Access、Route、Mobility、Logistics、API / Cloud 能力层</w:t>
      </w:r>
    </w:p>
    <w:p>
      <w:r>
        <w:t>下列名称按能力域定义为产品架构建议。除 DAEN、品牌和地点基础设施方向外，其余均不视为用户已经确认的正式产品模块或承诺。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51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能力域</w:t>
            </w:r>
          </w:p>
        </w:tc>
        <w:tc>
          <w:tcPr>
            <w:tcW w:type="dxa" w:w="38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建议定义</w:t>
            </w:r>
          </w:p>
        </w:tc>
        <w:tc>
          <w:tcPr>
            <w:tcW w:type="dxa" w:w="396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MVP 边界</w:t>
            </w:r>
          </w:p>
        </w:tc>
        <w:tc>
          <w:tcPr>
            <w:tcW w:type="dxa" w:w="129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状态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DAEN ID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统一标识组织、成员、Agent、应用和 Place 的身份 / 引用体系。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内部 UUID；用户可读 slug；不建设跨组织公共身份网络。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组织可管理和引用的地点对象，可关联项目、任务、资产或服务。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地址、经纬度、来源、组织归属、可见性；无地图编辑器。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方向有依据，模型建议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Access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基于组织、角色、资源与动作的授权、审批和审计。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RBAC + 资源归属；Agent 单独授权；敏感动作需人工确认。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假设 / 建议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Route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地点间路线计算、工作任务路由或工作流分派的适配能力。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MVP 不做自建导航引擎；仅外部链接 / 可选供应商适配。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Mobility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人员、车辆、移动设备或现场任务状态的连接能力。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不实时追踪个人；试点无硬需求时不实现。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Logistics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配送、调度、库存 / 资产或服务网络工作流。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不进入通用 MVP；未来作为行业工作流包验证。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后续规划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API / Cloud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稳定 API、Webhook、连接器及托管运行环境。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先内部 API 与必要 webhook；单区域托管部署。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渐进实施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Geo Core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地址标准化、坐标、地理查询与地图提供商适配。</w:t>
            </w:r>
          </w:p>
        </w:tc>
        <w:tc>
          <w:tcPr>
            <w:tcW w:type="dxa" w:w="39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采用供应商抽象和来源标记，不托管全国地图数据。</w:t>
            </w:r>
          </w:p>
        </w:tc>
        <w:tc>
          <w:tcPr>
            <w:tcW w:type="dxa" w:w="12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已确定边界，细节建议</w:t>
            </w:r>
          </w:p>
        </w:tc>
      </w:tr>
    </w:tbl>
    <w:p>
      <w:pPr>
        <w:spacing w:after="20"/>
      </w:pPr>
    </w:p>
    <w:p>
      <w:pPr>
        <w:pStyle w:val="Heading1"/>
      </w:pPr>
      <w:r>
        <w:t>八、MVP / V1 / V2 / Phase 3 路线图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15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67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目标与交付</w:t>
            </w:r>
          </w:p>
        </w:tc>
        <w:tc>
          <w:tcPr>
            <w:tcW w:type="dxa" w:w="20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明确不做</w:t>
            </w:r>
          </w:p>
        </w:tc>
        <w:tc>
          <w:tcPr>
            <w:tcW w:type="dxa" w:w="223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建议验收信号</w:t>
            </w:r>
          </w:p>
        </w:tc>
        <w:tc>
          <w:tcPr>
            <w:tcW w:type="dxa" w:w="151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MVP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单组织试点；成员/Agent 身份、项目/任务、基础串行工作流、工具授权、人工审批、运行记录、审计；Office 视图可选；Place 最小对象仅在试点必要时启用。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公众地图、路线引擎、全自动 Agent、多租户自助注册、全国底图、微服务/K8s。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至少一个真实团队持续用闭环交付任务；结果可复核；权限和失败路径可演练。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建议范围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V1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多团队协作、模板化流程、任务依赖、搜索、连接器管理、基础通知与用量统计；改善 Office 视图。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复杂跨区容灾、开放插件市场、全套地理运营产品。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复用流程产生重复使用；管理员可自行管理权限和连接器。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后续规划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V2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多组织租户、可配置工作流、API/Webhook、扩展审计、可选 Places/Geo Core 集成、有限合作伙伴连接器。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无验证的全国地图网络、任意自治 Agent。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多个组织部署可重复；隔离、安全和支持成本有实证。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后续规划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Phase 3</w:t>
            </w:r>
          </w:p>
        </w:tc>
        <w:tc>
          <w:tcPr>
            <w:tcW w:type="dxa" w:w="367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根据市场证据扩展 Route、Mobility、Logistics、边缘/区域部署或行业方案；按规模需要拆服务。</w:t>
            </w:r>
          </w:p>
        </w:tc>
        <w:tc>
          <w:tcPr>
            <w:tcW w:type="dxa" w:w="20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预先承诺平台化或全国覆盖。</w:t>
            </w:r>
          </w:p>
        </w:tc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明确需求密度、付款方、单位经济和运维团队能力后单项立项。</w:t>
            </w:r>
          </w:p>
        </w:tc>
        <w:tc>
          <w:tcPr>
            <w:tcW w:type="dxa" w:w="151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远期规划</w:t>
            </w:r>
          </w:p>
        </w:tc>
      </w:tr>
    </w:tbl>
    <w:p>
      <w:pPr>
        <w:spacing w:after="20"/>
      </w:pPr>
    </w:p>
    <w:p>
      <w:pPr>
        <w:pStyle w:val="Heading2"/>
      </w:pPr>
      <w:r>
        <w:t>8.1 MVP 成功标准（待试点确认）</w:t>
      </w:r>
    </w:p>
    <w:p>
      <w:pPr>
        <w:pStyle w:val="ListBullet"/>
        <w:spacing w:after="60"/>
      </w:pPr>
      <w:r>
        <w:t>闭环完整率：创建 → 分派 → 执行 → 复核 → 关闭的任务占比。</w:t>
      </w:r>
    </w:p>
    <w:p>
      <w:pPr>
        <w:pStyle w:val="ListBullet"/>
        <w:spacing w:after="60"/>
      </w:pPr>
      <w:r>
        <w:t>可审计率：抽样任务能还原身份、上下文引用、授权、工具调用、审批和输出。</w:t>
      </w:r>
    </w:p>
    <w:p>
      <w:pPr>
        <w:pStyle w:val="ListBullet"/>
        <w:spacing w:after="60"/>
      </w:pPr>
      <w:r>
        <w:t>人工介入质量：高风险动作均在执行前获得批准；失败、取消和重试状态准确。</w:t>
      </w:r>
    </w:p>
    <w:p>
      <w:pPr>
        <w:pStyle w:val="ListBullet"/>
        <w:spacing w:after="60"/>
      </w:pPr>
      <w:r>
        <w:t>使用价值：负责人和执行成员愿意在连续数周的真实工作中重复使用。</w:t>
      </w:r>
    </w:p>
    <w:p>
      <w:pPr>
        <w:pStyle w:val="ListBullet"/>
        <w:spacing w:after="60"/>
      </w:pPr>
      <w:r>
        <w:t>成本边界：单个完成任务的模型、工具、基础设施和人工复核成本可测。</w:t>
      </w:r>
    </w:p>
    <w:p>
      <w:r>
        <w:t>阈值需在试点前按具体客户任务设定。本文件不虚构转化率、活跃用户数或收入目标。</w:t>
      </w:r>
    </w:p>
    <w:p>
      <w:pPr>
        <w:pStyle w:val="Heading1"/>
      </w:pPr>
      <w:r>
        <w:t>九、技术架构与技术选型</w:t>
      </w:r>
    </w:p>
    <w:p>
      <w:pPr>
        <w:pStyle w:val="Heading2"/>
      </w:pPr>
      <w:r>
        <w:t>9.1 MVP 参考架构</w:t>
      </w:r>
    </w:p>
    <w:p>
      <w:r>
        <w:t>Web Client（工作台 / Office） → API / Application（模块化单体） → PostgreSQL（事务数据） + 对象存储（附件） + Queue / Worker（异步执行） → 模型与工具适配器 / Geo Provider。身份校验、策略授权、审计事件贯穿 API 与 Worker。</w:t>
      </w:r>
    </w:p>
    <w:p>
      <w:pPr>
        <w:pStyle w:val="Heading2"/>
      </w:pPr>
      <w:r>
        <w:t>9.2 建议技术选择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80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38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MVP 选型建议</w:t>
            </w:r>
          </w:p>
        </w:tc>
        <w:tc>
          <w:tcPr>
            <w:tcW w:type="dxa" w:w="460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选择理由 / 约束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Web 前端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TypeScript + React / Next.js；图形层优先 DOM / SVG。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生态成熟；Office 可渐进增强；关键操作仍可访问。具体框架须结合团队能力确认。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后端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TypeScript 或 Python 的模块化单体；选择团队熟悉的一种作为主栈。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减少早期服务运维；模块边界清楚后可按负载拆分。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主数据库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托管 PostgreSQL。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事务、关系约束、JSON 字段与地理扩展选项兼具；MVP 不必立即引入专用图数据库。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任务队列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托管队列或轻量 Redis 队列 + 独立 Worker。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耗时 Agent 运行与 Web 请求解耦；要求幂等、重试和死信处理。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对象存储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兼容 S3 的托管对象存储。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附件与导出文件不放数据库；使用短时签名链接和病毒扫描策略。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地图 / 地理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可替换的地图与地理编码 Provider Adapter。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MVP 依赖托管服务；Provider 可配置；记录数据来源、精度和许可约束。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可观测性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结构化日志、错误追踪、指标与分布式 trace；托管服务优先。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以任务 / run_id / tenant_id 关联日志；敏感内容脱敏。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部署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单区域托管容器或应用平台；托管数据库、队列和对象存储。</w:t>
            </w:r>
          </w:p>
        </w:tc>
        <w:tc>
          <w:tcPr>
            <w:tcW w:type="dxa" w:w="460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简化运维；按实际用户量扩容应用与 Worker；不引入 Kubernetes。</w:t>
            </w:r>
          </w:p>
        </w:tc>
      </w:tr>
    </w:tbl>
    <w:p>
      <w:pPr>
        <w:spacing w:after="20"/>
      </w:pPr>
    </w:p>
    <w:p>
      <w:pPr>
        <w:pStyle w:val="Heading2"/>
      </w:pPr>
      <w:r>
        <w:t>9.3 架构演进原则</w:t>
      </w:r>
    </w:p>
    <w:p>
      <w:pPr>
        <w:pStyle w:val="ListBullet"/>
        <w:spacing w:after="60"/>
      </w:pPr>
      <w:r>
        <w:t>先按领域模块分层、定义接口与事件，部署保持简单。</w:t>
      </w:r>
    </w:p>
    <w:p>
      <w:pPr>
        <w:pStyle w:val="ListBullet"/>
        <w:spacing w:after="60"/>
      </w:pPr>
      <w:r>
        <w:t>当模块出现独立扩缩容、隔离、发布节奏或团队责任的真实需求时，再拆服务。</w:t>
      </w:r>
    </w:p>
    <w:p>
      <w:pPr>
        <w:pStyle w:val="ListBullet"/>
        <w:spacing w:after="60"/>
      </w:pPr>
      <w:r>
        <w:t>Agent Runtime 和外部工具调用放在 Worker 边界，设置超时、预算、并发上限、重试上限与取消信号。</w:t>
      </w:r>
    </w:p>
    <w:p>
      <w:pPr>
        <w:pStyle w:val="ListBullet"/>
        <w:spacing w:after="60"/>
      </w:pPr>
      <w:r>
        <w:t>地理服务只通过 Provider Adapter 接入；业务对象不绑定某一家地图厂商的数据模型。</w:t>
      </w:r>
    </w:p>
    <w:p>
      <w:pPr>
        <w:pStyle w:val="Heading1"/>
      </w:pPr>
      <w:r>
        <w:t>十、数据模型与核心对象</w:t>
      </w:r>
    </w:p>
    <w:p>
      <w:r>
        <w:t>核心数据均带组织范围（tenant_id / organization_id）和创建、更新时间；业务记录使用稳定 UUID。以下为概念模型，不是最终数据库迁移脚本。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94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对象</w:t>
            </w:r>
          </w:p>
        </w:tc>
        <w:tc>
          <w:tcPr>
            <w:tcW w:type="dxa" w:w="446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关键字段 / 关系</w:t>
            </w:r>
          </w:p>
        </w:tc>
        <w:tc>
          <w:tcPr>
            <w:tcW w:type="dxa" w:w="38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7"/>
              </w:rPr>
              <w:t>关键规则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Organization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id, name, slug, plan/status, settings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所有业务对象明确组织归属；跨组织默认隔离。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User / Membership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user_id, organization_id, role, status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用户身份与组织成员关系分开；支持邀请与撤销。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Agent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id, organization_id, name, runtime_type, status, policy_id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Agent 使用独立身份与工具许可；不共享管理员会话。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Project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id, organization_id, owner_id, name, status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对成员、任务、知识引用和可选 Places 提供上下文边界。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Task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id, project_id, assignee_type/id, status, priority, due_at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状态变化留事件；关闭需结果摘要或明确取消原因。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Workflow / WorkflowRun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definition_version, trigger, state, started_at, ended_at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运行引用不可变定义版本；执行重试使用 attempt/idempotency key。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Tool / Connector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provider, scopes, credential_ref, status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密钥仅存秘密管理器；数据库只保存引用与许可范围。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Approval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run_id, action, requested_by, reviewer, decision, decided_at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批准与实际执行动作关联；超时默认不批准。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KnowledgeReference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resource_uri, version/hash, access_scope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任务读取时重新校验用户/Agent 是否可访问原资料。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Place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id, organization_id, name, address, lat/lon, source, precision, visibility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坐标可空；保留来源、精度、更新时间；不声称数据必然准确。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AuditEvent</w:t>
            </w:r>
          </w:p>
        </w:tc>
        <w:tc>
          <w:tcPr>
            <w:tcW w:type="dxa" w:w="44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actor, action, resource, outcome, occurred_at, trace_id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7"/>
              </w:rPr>
              <w:t>追加写入；限制访问；记录策略决策与人工审批。</w:t>
            </w:r>
          </w:p>
        </w:tc>
      </w:tr>
    </w:tbl>
    <w:p>
      <w:pPr>
        <w:spacing w:after="20"/>
      </w:pPr>
    </w:p>
    <w:p>
      <w:pPr>
        <w:pStyle w:val="Heading2"/>
      </w:pPr>
      <w:r>
        <w:t>10.1 初期关系</w:t>
      </w:r>
    </w:p>
    <w:p>
      <w:r>
        <w:t>Organization 1—N Membership / Agent / Project / Place；Project 1—N Task；Task 1—N WorkflowRun / Approval / AuditEvent；Agent 或 User 可作为 Task assignee；WorkflowRun 可调用多个 Tool，并生成可追溯输出。Place 与 Project / Task 采用显式关联表，避免将地点硬编码在任务文本中。</w:t>
      </w:r>
    </w:p>
    <w:p>
      <w:pPr>
        <w:pStyle w:val="Heading1"/>
      </w:pPr>
      <w:r>
        <w:t>十一、主要 API 与事件流</w:t>
      </w:r>
    </w:p>
    <w:p>
      <w:pPr>
        <w:pStyle w:val="Heading2"/>
      </w:pPr>
      <w:r>
        <w:t>11.1 API 设计原则</w:t>
      </w:r>
    </w:p>
    <w:p>
      <w:pPr>
        <w:pStyle w:val="ListBullet"/>
        <w:spacing w:after="60"/>
      </w:pPr>
      <w:r>
        <w:t>统一版本前缀 /api/v1；JSON；稳定错误码；分页与幂等键；请求携带 request_id / trace_id。</w:t>
      </w:r>
    </w:p>
    <w:p>
      <w:pPr>
        <w:pStyle w:val="ListBullet"/>
        <w:spacing w:after="60"/>
      </w:pPr>
      <w:r>
        <w:t>身份认证与组织授权分离；每次资源读取和动作执行都进行服务端权限校验。</w:t>
      </w:r>
    </w:p>
    <w:p>
      <w:pPr>
        <w:pStyle w:val="ListBullet"/>
        <w:spacing w:after="60"/>
      </w:pPr>
      <w:r>
        <w:t>Agent 工具 API 必须绑定 run_id、允许的工具与参数 schema，并执行超时和速率限制。</w:t>
      </w:r>
    </w:p>
    <w:p>
      <w:pPr>
        <w:pStyle w:val="ListBullet"/>
        <w:spacing w:after="60"/>
      </w:pPr>
      <w:r>
        <w:t>Webhooks 签名、时间戳、防重放；敏感 payload 只发送资源引用和必要字段。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72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领域</w:t>
            </w:r>
          </w:p>
        </w:tc>
        <w:tc>
          <w:tcPr>
            <w:tcW w:type="dxa" w:w="468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示例端点（建议）</w:t>
            </w:r>
          </w:p>
        </w:tc>
        <w:tc>
          <w:tcPr>
            <w:tcW w:type="dxa" w:w="388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 / 成员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GET/POST /api/v1/organizations/{id}/members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邀请、角色变更、移除；管理员操作记录审计。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Agent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GET/POST /api/v1/agents；POST /api/v1/agents/{id}/pause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注册、授权摘要、状态控制；实际执行经 Worker。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项目 / 任务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GET/POST /api/v1/projects；GET/POST /api/v1/tasks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创建、分配、状态变更、结果提交与评论。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运行 / 审批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POST /api/v1/tasks/{id}/runs；POST /api/v1/approvals/{id}/decision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启动运行、批准 / 拒绝、取消或重试。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Places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GET/POST /api/v1/places；GET /api/v1/places/search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组织范围内地点 CRUD / 搜索；Geo Provider 可选。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审计 / 事件</w:t>
            </w:r>
          </w:p>
        </w:tc>
        <w:tc>
          <w:tcPr>
            <w:tcW w:type="dxa" w:w="468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GET /api/v1/audit-events；Webhook subscriptions</w:t>
            </w:r>
          </w:p>
        </w:tc>
        <w:tc>
          <w:tcPr>
            <w:tcW w:type="dxa" w:w="388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授权范围内查询审计；事件订阅需签名。</w:t>
            </w:r>
          </w:p>
        </w:tc>
      </w:tr>
    </w:tbl>
    <w:p>
      <w:pPr>
        <w:spacing w:after="20"/>
      </w:pPr>
    </w:p>
    <w:p>
      <w:pPr>
        <w:pStyle w:val="Heading2"/>
      </w:pPr>
      <w:r>
        <w:t>11.2 任务运行事件流</w:t>
      </w:r>
    </w:p>
    <w:p>
      <w:pPr>
        <w:pStyle w:val="ListNumber"/>
        <w:spacing w:after="60"/>
      </w:pPr>
      <w:r>
        <w:t>客户端创建任务并指定负责人 / Agent 与上下文引用。</w:t>
      </w:r>
    </w:p>
    <w:p>
      <w:pPr>
        <w:pStyle w:val="ListNumber"/>
        <w:spacing w:after="60"/>
      </w:pPr>
      <w:r>
        <w:t>API 校验组织成员身份、任务权限、知识访问和工具策略；写入 TaskCreated。</w:t>
      </w:r>
    </w:p>
    <w:p>
      <w:pPr>
        <w:pStyle w:val="ListNumber"/>
        <w:spacing w:after="60"/>
      </w:pPr>
      <w:r>
        <w:t>用户或工作流启动执行，API 创建 WorkflowRun 并投递队列；返回 run_id。</w:t>
      </w:r>
    </w:p>
    <w:p>
      <w:pPr>
        <w:pStyle w:val="ListNumber"/>
        <w:spacing w:after="60"/>
      </w:pPr>
      <w:r>
        <w:t>Worker 按不可变策略快照执行步骤；每次工具调用先授权并记录 ToolCallRequested / ToolCallCompleted。</w:t>
      </w:r>
    </w:p>
    <w:p>
      <w:pPr>
        <w:pStyle w:val="ListNumber"/>
        <w:spacing w:after="60"/>
      </w:pPr>
      <w:r>
        <w:t>遇到需审批动作时暂停该步骤，发出 ApprovalRequested；未批准不得继续。</w:t>
      </w:r>
    </w:p>
    <w:p>
      <w:pPr>
        <w:pStyle w:val="ListNumber"/>
        <w:spacing w:after="60"/>
      </w:pPr>
      <w:r>
        <w:t>成功后写入结果与 RunCompleted；失败、超时或取消分别落状态并触发通知。</w:t>
      </w:r>
    </w:p>
    <w:p>
      <w:pPr>
        <w:pStyle w:val="ListNumber"/>
        <w:spacing w:after="60"/>
      </w:pPr>
      <w:r>
        <w:t>界面订阅或拉取状态；AuditEvent 追加记录关键决策、审批与状态变化。</w:t>
      </w:r>
    </w:p>
    <w:p>
      <w:r>
        <w:t>建议事件包括：TaskCreated、TaskAssigned、RunStarted、ToolCallRequested、ApprovalRequested、ApprovalDecided、RunStepCompleted、RunFailed、RunCancelled、TaskCompleted、PlaceUpdated。所有事件携带 event_id、organization_id、occurred_at、actor_id、resource_id、correlation_id。</w:t>
      </w:r>
    </w:p>
    <w:p>
      <w:pPr>
        <w:pStyle w:val="Heading1"/>
      </w:pPr>
      <w:r>
        <w:t>十二、权限、安全、审计与可观测性</w:t>
      </w:r>
    </w:p>
    <w:p>
      <w:pPr>
        <w:pStyle w:val="Heading2"/>
      </w:pPr>
      <w:r>
        <w:t>12.1 权限模型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232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控制面</w:t>
            </w:r>
          </w:p>
        </w:tc>
        <w:tc>
          <w:tcPr>
            <w:tcW w:type="dxa" w:w="806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MVP 规则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组织隔离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每个查询按组织范围过滤；后台任务在消息中携带并验证组织 ID；默认拒绝跨组织访问。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角色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Owner / Admin、Manager、Member、Agent Service Identity 起步；权限用动作与资源策略表达。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Agent 最小权限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每个 Agent 按任务授权数据范围、工具、参数约束、预算和有效期；不继承发起人的全部权限。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高风险操作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支付、删除、外部发布、对外消息、权限提升等可配置为人工审批；MVP 默认对不可逆外部动作要求确认。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凭据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使用云秘密管理服务；不回传前端；支持轮换、撤销和按连接器分权。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访问撤销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成员移除或连接器撤销立即阻止新请求；运行中任务按策略暂停或安全终止。</w:t>
            </w:r>
          </w:p>
        </w:tc>
      </w:tr>
    </w:tbl>
    <w:p>
      <w:pPr>
        <w:spacing w:after="20"/>
      </w:pPr>
    </w:p>
    <w:p>
      <w:pPr>
        <w:pStyle w:val="Heading2"/>
      </w:pPr>
      <w:r>
        <w:t>12.2 审计与可观测性</w:t>
      </w:r>
    </w:p>
    <w:p>
      <w:pPr>
        <w:pStyle w:val="ListBullet"/>
        <w:spacing w:after="60"/>
      </w:pPr>
      <w:r>
        <w:t>审计记录：身份、资源、动作、策略结论、结果、时间、来源、关联 run_id。审计日志追加写入，普通管理员不可修改历史记录。</w:t>
      </w:r>
    </w:p>
    <w:p>
      <w:pPr>
        <w:pStyle w:val="ListBullet"/>
        <w:spacing w:after="60"/>
      </w:pPr>
      <w:r>
        <w:t>日志脱敏：不记录完整秘密、认证 token、原始个人敏感资料或不必要的提示全文；只保存必要摘要和内容哈希 / 引用。</w:t>
      </w:r>
    </w:p>
    <w:p>
      <w:pPr>
        <w:pStyle w:val="ListBullet"/>
        <w:spacing w:after="60"/>
      </w:pPr>
      <w:r>
        <w:t>指标：任务完成率、队列延迟、运行耗时、工具错误率、审批等待时间、重试率、模型与工具成本。</w:t>
      </w:r>
    </w:p>
    <w:p>
      <w:pPr>
        <w:pStyle w:val="ListBullet"/>
        <w:spacing w:after="60"/>
      </w:pPr>
      <w:r>
        <w:t>告警：队列堆积、重复失败、越权拒绝异常升高、Provider 故障、成本预算超限、备份失败。</w:t>
      </w:r>
    </w:p>
    <w:p>
      <w:pPr>
        <w:pStyle w:val="ListBullet"/>
        <w:spacing w:after="60"/>
      </w:pPr>
      <w:r>
        <w:t>运行安全：速率限制、输入校验、提示注入防护、工具 allowlist、网络出口控制、内容过滤与人工升级路径。</w:t>
      </w:r>
    </w:p>
    <w:p>
      <w:pPr>
        <w:pStyle w:val="Heading1"/>
      </w:pPr>
      <w:r>
        <w:t>十三、部署方案与扩展策略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144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432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部署形态</w:t>
            </w:r>
          </w:p>
        </w:tc>
        <w:tc>
          <w:tcPr>
            <w:tcW w:type="dxa" w:w="432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扩展方式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MVP 试点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一个区域；前端与模块化 API；独立 Worker；托管 PostgreSQL、对象存储、队列、秘密管理和日志。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按 Web 请求与任务并发分别扩容；备份并演练恢复。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V1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生产环境与预发布环境隔离；自动化发布、迁移管理、告警与访问审查。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Worker 按运行类型 / 优先级分队列；为重任务限制并发和预算。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V2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多组织租户、独立客户配置；评估专属实例或数据驻留需求。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按实测热点拆模块；引入更严格的租户隔离验证与容量规划。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Phase 3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若客户或合规要求明确，再评估多区域、专属部署、边缘接入或 Kubernetes。</w:t>
            </w:r>
          </w:p>
        </w:tc>
        <w:tc>
          <w:tcPr>
            <w:tcW w:type="dxa" w:w="432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基于 SLA、数据驻留、运维团队和成本模型决策。</w:t>
            </w:r>
          </w:p>
        </w:tc>
      </w:tr>
    </w:tbl>
    <w:p>
      <w:pPr>
        <w:spacing w:after="20"/>
      </w:pPr>
    </w:p>
    <w:p>
      <w:r>
        <w:t>扩展顺序：单体内模块化 → 读写与 Worker 负载隔离 → 针对实测瓶颈做数据库 / 队列扩展 → 只拆有独立扩缩容或治理需求的服务。避免以“未来可能很大”为理由提前承担分布式事务、服务网格和集群运维成本。</w:t>
      </w:r>
    </w:p>
    <w:p>
      <w:pPr>
        <w:pStyle w:val="Heading1"/>
      </w:pPr>
      <w:r>
        <w:t>十四、Logo 与品牌设计系统</w:t>
      </w:r>
    </w:p>
    <w:p>
      <w:pPr>
        <w:pStyle w:val="Heading2"/>
      </w:pPr>
      <w:r>
        <w:t>14.1 名称与表达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元素</w:t>
            </w:r>
          </w:p>
        </w:tc>
        <w:tc>
          <w:tcPr>
            <w:tcW w:type="dxa" w:w="806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方案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高棉文名称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ដែន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英文名称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DAEN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中文名称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域联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口号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Connect Every Place.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品牌个性</w:t>
            </w:r>
          </w:p>
        </w:tc>
        <w:tc>
          <w:tcPr>
            <w:tcW w:type="dxa" w:w="806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连接、可信、清晰、克制；兼具数字组织与地点基础设施的开放感。</w:t>
            </w:r>
          </w:p>
        </w:tc>
      </w:tr>
    </w:tbl>
    <w:p>
      <w:pPr>
        <w:spacing w:after="20"/>
      </w:pPr>
    </w:p>
    <w:p>
      <w:r>
        <w:t>拼写规范：首次出现使用“ដែន / DAEN / 域联”；产品界面主品牌优先使用 DAEN，面向柬埔寨本地用户的材料可并列展示高棉文。高棉文字体必须覆盖 Khmer 字符并实际校验字形，不以拉丁字库替代。</w:t>
      </w:r>
    </w:p>
    <w:p>
      <w:pPr>
        <w:pStyle w:val="Heading2"/>
      </w:pPr>
      <w:r>
        <w:t>14.2 三套 Logo 方向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94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方向</w:t>
            </w:r>
          </w:p>
        </w:tc>
        <w:tc>
          <w:tcPr>
            <w:tcW w:type="dxa" w:w="338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符号逻辑</w:t>
            </w:r>
          </w:p>
        </w:tc>
        <w:tc>
          <w:tcPr>
            <w:tcW w:type="dxa" w:w="302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优点与风险</w:t>
            </w:r>
          </w:p>
        </w:tc>
        <w:tc>
          <w:tcPr>
            <w:tcW w:type="dxa" w:w="1944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6"/>
              </w:rPr>
              <w:t>建议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A. 连接之域（推荐）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以四个节点围绕一个开放中心，通过留白构成抽象空间 / 领域；四向连接表达 people、agents、work、places。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结构简单、适合小尺寸和动效；需避免看起来像通用网络图标。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主方案：用不完全闭合的圆角菱形 / 方域，右侧留出连接开口，内部两条路径在中心相接。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B. DAEN 字母路径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将 D 的竖向与弧线转成路线 / 门廊，再由 A/E/N 的几何线段延展成连接路径。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英文识别强、适合开发者工具；小尺寸可能变成普通字母组合。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适合产品子品牌或开发者门户；不建议作为唯一主符号。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C. 多层空间窗</w:t>
            </w:r>
          </w:p>
        </w:tc>
        <w:tc>
          <w:tcPr>
            <w:tcW w:type="dxa" w:w="338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用三个错位方框 / 窗格表示组织、项目与真实地点的层级连接。</w:t>
            </w:r>
          </w:p>
        </w:tc>
        <w:tc>
          <w:tcPr>
            <w:tcW w:type="dxa" w:w="302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可表达空间和组织层次；细节过多时容易像地图图层或房地产标志。</w:t>
            </w:r>
          </w:p>
        </w:tc>
        <w:tc>
          <w:tcPr>
            <w:tcW w:type="dxa" w:w="1944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6"/>
              </w:rPr>
              <w:t>适合 Virtual AI Office 的视觉语言，不建议做主品牌首发标志。</w:t>
            </w:r>
          </w:p>
        </w:tc>
      </w:tr>
    </w:tbl>
    <w:p>
      <w:pPr>
        <w:spacing w:after="20"/>
      </w:pPr>
    </w:p>
    <w:p>
      <w:pPr>
        <w:pStyle w:val="Heading2"/>
      </w:pPr>
      <w:r>
        <w:t>14.3 推荐主方案细化</w:t>
      </w:r>
    </w:p>
    <w:p>
      <w:r>
        <w:t>符号采用 24×24 网格：外轮廓为圆角方域，四个方向各留一个短开口；中间以两条弧线交汇形成连接核心，节点数量控制在四个以内。轮廓保持单线粗细，避免针脚、定位针尖或道路网形状，以免被误认成地图导航品牌。符号应能在 16 px 下仍保留“开放边界 + 中央连接”轮廓。</w:t>
      </w:r>
    </w:p>
    <w:p>
      <w:r>
        <w:t>字标使用现代无衬线几何字体。拉丁建议选用 Inter、Manrope 或同类开源字体；中文选择清晰的现代黑体；高棉文使用 Noto Sans Khmer 等有完整 Khmer 覆盖的字体。最终商用前需检查字体许可、字距、字形覆盖和小尺寸渲染。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3331"/>
        <w:gridCol w:w="3331"/>
        <w:gridCol w:w="3331"/>
      </w:tblGrid>
      <w:tr>
        <w:trPr>
          <w:tblHeader w:val="true"/>
          <w:cantSplit/>
        </w:trPr>
        <w:tc>
          <w:tcPr>
            <w:tcW w:type="dxa" w:w="216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颜色角色</w:t>
            </w:r>
          </w:p>
        </w:tc>
        <w:tc>
          <w:tcPr>
            <w:tcW w:type="dxa" w:w="201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建议色值</w:t>
            </w:r>
          </w:p>
        </w:tc>
        <w:tc>
          <w:tcPr>
            <w:tcW w:type="dxa" w:w="676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DAEN Navy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#17324D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主文字、深色背景、可信与稳定。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 Teal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#20A39E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主识别色、连接节点、交互强调。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Signal Gold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#E7B85B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仅用于审批、重点状态或少量视觉细节。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Mist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#EAF3F5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浅色背景、空间与卡片辅助色。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Ink / White</w:t>
            </w:r>
          </w:p>
        </w:tc>
        <w:tc>
          <w:tcPr>
            <w:tcW w:type="dxa" w:w="201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#17212B / #FFFFFF</w:t>
            </w:r>
          </w:p>
        </w:tc>
        <w:tc>
          <w:tcPr>
            <w:tcW w:type="dxa" w:w="67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正文、反白和留白。</w:t>
            </w:r>
          </w:p>
        </w:tc>
      </w:tr>
    </w:tbl>
    <w:p>
      <w:pPr>
        <w:spacing w:after="20"/>
      </w:pPr>
    </w:p>
    <w:p>
      <w:pPr>
        <w:pStyle w:val="Heading2"/>
      </w:pPr>
      <w:r>
        <w:t>14.4 应用规范</w:t>
      </w:r>
    </w:p>
    <w:p>
      <w:pPr>
        <w:pStyle w:val="ListBullet"/>
        <w:spacing w:after="60"/>
      </w:pPr>
      <w:r>
        <w:t>主标：符号 + DAEN 字标；完整品牌锁定可加高棉文 ដែន 与中文“域联”，口号只用于品牌材料，不塞入小型产品标。</w:t>
      </w:r>
    </w:p>
    <w:p>
      <w:pPr>
        <w:pStyle w:val="ListBullet"/>
        <w:spacing w:after="60"/>
      </w:pPr>
      <w:r>
        <w:t>App icon：仅使用连接之域符号，深海军蓝底配青绿色符号；留足至少 15% 安全边距，避免细线。</w:t>
      </w:r>
    </w:p>
    <w:p>
      <w:pPr>
        <w:pStyle w:val="ListBullet"/>
        <w:spacing w:after="60"/>
      </w:pPr>
      <w:r>
        <w:t>Favicon：简化为开放方域 + 中央节点；16 px 版本去掉小节点和字标，提供 SVG 与多尺寸 PNG。</w:t>
      </w:r>
    </w:p>
    <w:p>
      <w:pPr>
        <w:pStyle w:val="ListBullet"/>
        <w:spacing w:after="60"/>
      </w:pPr>
      <w:r>
        <w:t>浅底：深海军蓝符号 / 字标，青绿色节点。深底：白色字标、青绿色符号；避免纯青绿细线叠在复杂照片上。</w:t>
      </w:r>
    </w:p>
    <w:p>
      <w:pPr>
        <w:pStyle w:val="ListBullet"/>
        <w:spacing w:after="60"/>
      </w:pPr>
      <w:r>
        <w:t>单色版本：黑、白各一版；确保打印、低色深和无障碍对比下仍可辨认。</w:t>
      </w:r>
    </w:p>
    <w:p>
      <w:pPr>
        <w:pStyle w:val="Heading2"/>
      </w:pPr>
      <w:r>
        <w:t>14.5 禁用规范</w:t>
      </w:r>
    </w:p>
    <w:p>
      <w:pPr>
        <w:pStyle w:val="ListBullet"/>
        <w:spacing w:after="60"/>
      </w:pPr>
      <w:r>
        <w:t>不得拉伸、倾斜、旋转或任意改变节点位置、路径粗细和符号留白。</w:t>
      </w:r>
    </w:p>
    <w:p>
      <w:pPr>
        <w:pStyle w:val="ListBullet"/>
        <w:spacing w:after="60"/>
      </w:pPr>
      <w:r>
        <w:t>不得用渐变、阴影、发光、立体效果或纹理替代主色版本。</w:t>
      </w:r>
    </w:p>
    <w:p>
      <w:pPr>
        <w:pStyle w:val="ListBullet"/>
        <w:spacing w:after="60"/>
      </w:pPr>
      <w:r>
        <w:t>不得在低对比背景、复杂照片或拥挤图形上直接放置；需要时先使用干净底板。</w:t>
      </w:r>
    </w:p>
    <w:p>
      <w:pPr>
        <w:pStyle w:val="ListBullet"/>
        <w:spacing w:after="60"/>
      </w:pPr>
      <w:r>
        <w:t>不得将“Connect Every Place.”改写、拆字或压缩到无法阅读；不得把路线 / 地图针尖未经验证地加入主标。</w:t>
      </w:r>
    </w:p>
    <w:p>
      <w:pPr>
        <w:pStyle w:val="ListBullet"/>
        <w:spacing w:after="60"/>
      </w:pPr>
      <w:r>
        <w:t>不得使用缺少 Khmer 覆盖的字体替代 ដែន，也不得把品牌标志拼接成不同字形系统。</w:t>
      </w:r>
    </w:p>
    <w:p>
      <w:pPr>
        <w:pStyle w:val="Heading1"/>
      </w:pPr>
      <w:r>
        <w:t>附录 A：需求状态总表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144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3096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已确定需求</w:t>
            </w:r>
          </w:p>
        </w:tc>
        <w:tc>
          <w:tcPr>
            <w:tcW w:type="dxa" w:w="3240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假设 / 建议</w:t>
            </w:r>
          </w:p>
        </w:tc>
        <w:tc>
          <w:tcPr>
            <w:tcW w:type="dxa" w:w="3168"/>
            <w:shd w:fill="17324D"/>
            <w:vAlign w:val="center"/>
            <w:tcMar>
              <w:top w:w="120" w:type="dxa"/>
              <w:start w:w="110" w:type="dxa"/>
              <w:bottom w:w="120" w:type="dxa"/>
              <w:end w:w="110" w:type="dxa"/>
            </w:tcMar>
          </w:tcPr>
          <w:p>
            <w:r>
              <w:rPr>
                <w:b/>
                <w:color w:val="FFFFFF"/>
                <w:sz w:val="18"/>
              </w:rPr>
              <w:t>后续规划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定位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AI Native Organization Operating System。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以团队可控 Agent 任务交付作为首个价值闭环。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形成跨行业组织运行平台。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Virtual AI Office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属于核心产品表达中的可视化交互层。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二维、数据驱动、列表视图并存。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沉浸式空间 / 实时协作。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Geo Core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是位置基础设施，不是地图 App。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Place 基础对象、Provider Adapter。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Route、Mobility、Logistics。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MVP 边界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不做地图 App、全国自有底图、复杂微服务、Kubernetes。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模块化单体 + 托管服务 + 单区域。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  <w:shd w:fill="F5F8FA"/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按已验证规模和客户要求演进。</w:t>
            </w:r>
          </w:p>
        </w:tc>
      </w:tr>
      <w:tr>
        <w:trPr>
          <w:cantSplit/>
        </w:trPr>
        <w:tc>
          <w:tcPr>
            <w:tcW w:type="dxa" w:w="14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品牌</w:t>
            </w:r>
          </w:p>
        </w:tc>
        <w:tc>
          <w:tcPr>
            <w:tcW w:type="dxa" w:w="3096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ដែន / DAEN / 域联；Connect Every Place.；需至少三套 Logo 并推荐一套。</w:t>
            </w:r>
          </w:p>
        </w:tc>
        <w:tc>
          <w:tcPr>
            <w:tcW w:type="dxa" w:w="3240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推荐“连接之域”作为主视觉方向。</w:t>
            </w:r>
          </w:p>
        </w:tc>
        <w:tc>
          <w:tcPr>
            <w:tcW w:type="dxa" w:w="3168"/>
            <w:vAlign w:val="center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after="40" w:line="252" w:lineRule="auto"/>
            </w:pPr>
            <w:r>
              <w:rPr>
                <w:rFonts w:ascii="Aptos" w:hAnsi="Aptos" w:eastAsia="Microsoft YaHei"/>
                <w:sz w:val="18"/>
              </w:rPr>
              <w:t>商标检索、完整品牌手册、动效与字体采购。</w:t>
            </w:r>
          </w:p>
        </w:tc>
      </w:tr>
    </w:tbl>
    <w:p>
      <w:pPr>
        <w:spacing w:after="20"/>
      </w:pPr>
    </w:p>
    <w:p>
      <w:pPr>
        <w:pStyle w:val="Heading1"/>
      </w:pPr>
      <w:r>
        <w:t>附录 B：立项前待确认事项</w:t>
      </w:r>
    </w:p>
    <w:p>
      <w:pPr>
        <w:pStyle w:val="ListNumber"/>
        <w:spacing w:after="60"/>
      </w:pPr>
      <w:r>
        <w:t>首个试点组织、行业、国家 / 城市以及实际购买者。</w:t>
      </w:r>
    </w:p>
    <w:p>
      <w:pPr>
        <w:pStyle w:val="ListNumber"/>
        <w:spacing w:after="60"/>
      </w:pPr>
      <w:r>
        <w:t>最重要的一个任务闭环和不可接受的失败结果。</w:t>
      </w:r>
    </w:p>
    <w:p>
      <w:pPr>
        <w:pStyle w:val="ListNumber"/>
        <w:spacing w:after="60"/>
      </w:pPr>
      <w:r>
        <w:t>是否需要 Place / Geo Core 才能完成该闭环；若需要，具体位置数据由谁提供和维护。</w:t>
      </w:r>
    </w:p>
    <w:p>
      <w:pPr>
        <w:pStyle w:val="ListNumber"/>
        <w:spacing w:after="60"/>
      </w:pPr>
      <w:r>
        <w:t>团队现有技术栈、部署约束、数据驻留和预算。</w:t>
      </w:r>
    </w:p>
    <w:p>
      <w:pPr>
        <w:pStyle w:val="ListNumber"/>
        <w:spacing w:after="60"/>
      </w:pPr>
      <w:r>
        <w:t>试点验收指标、持续使用周期、停项阈值与责任人。</w:t>
      </w:r>
    </w:p>
    <w:p>
      <w:pPr>
        <w:pStyle w:val="ListNumber"/>
        <w:spacing w:after="60"/>
      </w:pPr>
      <w:r>
        <w:t>主 Logo 方向审批、商标可用性、Khmer 字体与品牌资产制作责任。</w:t>
      </w:r>
    </w:p>
    <w:p>
      <w:r>
        <w:t>版本记录：V1.0，2026-10-05。依据为用户提供的 DAEN 对话预览与完整最近 10 轮记录，以及本次明确提出的范围、内容和品牌要求。未使用外部市场数据；技术选型及用户场景均为建议，需结合团队与试点复核。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79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6773"/>
        <w:sz w:val="16"/>
      </w:rPr>
      <w:t xml:space="preserve">DAEN V1.0  ·  2026-10-05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596773"/>
        <w:sz w:val="16"/>
      </w:rPr>
      <w:t>DAEN  /  产品与技术方案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 w:eastAsia="Microsoft YaHei"/>
      <w:color w:val="17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 Display" w:hAnsi="Aptos Display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 w:before="0"/>
      <w:contextualSpacing/>
    </w:pPr>
    <w:rPr>
      <w:rFonts w:asciiTheme="majorHAnsi" w:eastAsiaTheme="majorEastAsia" w:hAnsiTheme="majorHAnsi" w:cstheme="majorBidi" w:ascii="Aptos Display" w:hAnsi="Aptos Display" w:eastAsia="Microsoft YaHei"/>
      <w:b/>
      <w:color w:val="000000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DAEN 产品需求、边界、技术与品牌方案 V1.0</dc:title>
  <dc:subject>DAEN 产品需求与技术方案基线</dc:subject>
  <dc:creator>DAEN Product Planning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