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E686E" w:rsidRDefault="000654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2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RCET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1372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– Introductory Calculus for Electronics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</w:p>
    <w:p w14:paraId="00000002" w14:textId="77777777" w:rsidR="009E686E" w:rsidRDefault="000654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163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 Cr Monday through Friday, 11 – 11:50 AM, T&amp;T Room 333 </w:t>
      </w:r>
    </w:p>
    <w:p w14:paraId="00000003" w14:textId="77777777" w:rsidR="009E686E" w:rsidRDefault="000654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Instructor: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Tim Leishman </w:t>
      </w:r>
    </w:p>
    <w:p w14:paraId="00000004" w14:textId="77777777" w:rsidR="009E686E" w:rsidRDefault="000654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E-mail: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leistimo@isu.edu </w:t>
      </w:r>
    </w:p>
    <w:p w14:paraId="00000005" w14:textId="77777777" w:rsidR="009E686E" w:rsidRDefault="000654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Office: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T&amp;T 323 </w:t>
      </w:r>
    </w:p>
    <w:p w14:paraId="00000006" w14:textId="77777777" w:rsidR="009E686E" w:rsidRDefault="000654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Phone: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208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282-2886 </w:t>
      </w:r>
    </w:p>
    <w:p w14:paraId="00000007" w14:textId="77777777" w:rsidR="009E686E" w:rsidRDefault="000654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Office Hours: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 through F, 3:00 - 4:00 pm  </w:t>
      </w:r>
    </w:p>
    <w:p w14:paraId="00000008" w14:textId="77777777" w:rsidR="009E686E" w:rsidRDefault="000654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Required Text: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Technical Calculus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5th Edition, Dale Ewen, ET. Al.  </w:t>
      </w:r>
    </w:p>
    <w:p w14:paraId="00000009" w14:textId="77777777" w:rsidR="009E686E" w:rsidRDefault="000654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3" w:lineRule="auto"/>
        <w:ind w:left="1" w:right="280" w:firstLine="21"/>
        <w:rPr>
          <w:rFonts w:ascii="Verdana" w:eastAsia="Verdana" w:hAnsi="Verdana" w:cs="Verdana"/>
          <w:i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Course Description: </w:t>
      </w:r>
      <w:r>
        <w:rPr>
          <w:rFonts w:ascii="Verdana" w:eastAsia="Verdana" w:hAnsi="Verdana" w:cs="Verdana"/>
          <w:i/>
          <w:color w:val="000000"/>
          <w:highlight w:val="white"/>
        </w:rPr>
        <w:t xml:space="preserve">Correlations of algebraic, trigonometric and geographic </w:t>
      </w:r>
      <w:proofErr w:type="gramStart"/>
      <w:r>
        <w:rPr>
          <w:rFonts w:ascii="Verdana" w:eastAsia="Verdana" w:hAnsi="Verdana" w:cs="Verdana"/>
          <w:i/>
          <w:color w:val="000000"/>
          <w:highlight w:val="white"/>
        </w:rPr>
        <w:t xml:space="preserve">topics </w:t>
      </w:r>
      <w:r>
        <w:rPr>
          <w:rFonts w:ascii="Verdana" w:eastAsia="Verdana" w:hAnsi="Verdana" w:cs="Verdana"/>
          <w:i/>
          <w:color w:val="000000"/>
        </w:rPr>
        <w:t xml:space="preserve"> </w:t>
      </w:r>
      <w:r>
        <w:rPr>
          <w:rFonts w:ascii="Verdana" w:eastAsia="Verdana" w:hAnsi="Verdana" w:cs="Verdana"/>
          <w:i/>
          <w:color w:val="000000"/>
          <w:highlight w:val="white"/>
        </w:rPr>
        <w:t>as</w:t>
      </w:r>
      <w:proofErr w:type="gramEnd"/>
      <w:r>
        <w:rPr>
          <w:rFonts w:ascii="Verdana" w:eastAsia="Verdana" w:hAnsi="Verdana" w:cs="Verdana"/>
          <w:i/>
          <w:color w:val="000000"/>
          <w:highlight w:val="white"/>
        </w:rPr>
        <w:t xml:space="preserve"> well as logarithms and their applications. Algebraic calculus concepts </w:t>
      </w:r>
      <w:proofErr w:type="gramStart"/>
      <w:r>
        <w:rPr>
          <w:rFonts w:ascii="Verdana" w:eastAsia="Verdana" w:hAnsi="Verdana" w:cs="Verdana"/>
          <w:i/>
          <w:color w:val="000000"/>
          <w:highlight w:val="white"/>
        </w:rPr>
        <w:t xml:space="preserve">involving </w:t>
      </w:r>
      <w:r>
        <w:rPr>
          <w:rFonts w:ascii="Verdana" w:eastAsia="Verdana" w:hAnsi="Verdana" w:cs="Verdana"/>
          <w:i/>
          <w:color w:val="000000"/>
        </w:rPr>
        <w:t xml:space="preserve"> </w:t>
      </w:r>
      <w:r>
        <w:rPr>
          <w:rFonts w:ascii="Verdana" w:eastAsia="Verdana" w:hAnsi="Verdana" w:cs="Verdana"/>
          <w:i/>
          <w:color w:val="000000"/>
          <w:highlight w:val="white"/>
        </w:rPr>
        <w:t>differentiation</w:t>
      </w:r>
      <w:proofErr w:type="gramEnd"/>
      <w:r>
        <w:rPr>
          <w:rFonts w:ascii="Verdana" w:eastAsia="Verdana" w:hAnsi="Verdana" w:cs="Verdana"/>
          <w:i/>
          <w:color w:val="000000"/>
          <w:highlight w:val="white"/>
        </w:rPr>
        <w:t xml:space="preserve"> and integration and their applications to electronic circuits and </w:t>
      </w:r>
      <w:r>
        <w:rPr>
          <w:rFonts w:ascii="Verdana" w:eastAsia="Verdana" w:hAnsi="Verdana" w:cs="Verdana"/>
          <w:i/>
          <w:color w:val="000000"/>
        </w:rPr>
        <w:t xml:space="preserve"> </w:t>
      </w:r>
      <w:r>
        <w:rPr>
          <w:rFonts w:ascii="Verdana" w:eastAsia="Verdana" w:hAnsi="Verdana" w:cs="Verdana"/>
          <w:i/>
          <w:color w:val="000000"/>
          <w:highlight w:val="white"/>
        </w:rPr>
        <w:t xml:space="preserve">waveform analysis. Supports RCET 0251. PREREQ: RCET 0154B or equivalent. </w:t>
      </w:r>
      <w:r>
        <w:rPr>
          <w:rFonts w:ascii="Verdana" w:eastAsia="Verdana" w:hAnsi="Verdana" w:cs="Verdana"/>
          <w:i/>
          <w:color w:val="000000"/>
        </w:rPr>
        <w:t xml:space="preserve"> </w:t>
      </w:r>
    </w:p>
    <w:p w14:paraId="0000000A" w14:textId="77777777" w:rsidR="009E686E" w:rsidRDefault="000654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40" w:lineRule="auto"/>
        <w:ind w:left="1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Attendance  </w:t>
      </w:r>
    </w:p>
    <w:p w14:paraId="0000000B" w14:textId="77777777" w:rsidR="009E686E" w:rsidRDefault="000654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Department attendance policy will be enforced, refer to student handbook for more information.  </w:t>
      </w:r>
    </w:p>
    <w:p w14:paraId="0000000C" w14:textId="77777777" w:rsidR="009E686E" w:rsidRDefault="000654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Goals:  </w:t>
      </w:r>
    </w:p>
    <w:p w14:paraId="0000000D" w14:textId="77777777" w:rsidR="009E686E" w:rsidRDefault="000654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 w:right="707" w:hanging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 the completion of this course, the students will be able to demonstrate: an ability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 solve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problems in mathematics through Calculus I, and physics 1100; and,  the use of calculus methods, processes, and operations, as well as physical applications,  particularly those necessary for the understanding of electrical phenomena and those used  as tools for circuit analysis.  </w:t>
      </w:r>
    </w:p>
    <w:p w14:paraId="0000000E" w14:textId="77777777" w:rsidR="009E686E" w:rsidRDefault="000654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2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Course Policies:  </w:t>
      </w:r>
    </w:p>
    <w:p w14:paraId="0000000F" w14:textId="77777777" w:rsidR="009E686E" w:rsidRDefault="000654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5" w:firstLine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Assigned homework may be submitted in class due at the beginning of class on the assigned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day,  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submitted through Moodle as assigned, and will not be accepted late without 24-hour  prior approval from the instructor. Homework will be covered during the next class period.  Students will be selected at random to demonstrate their understanding of the material and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 process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solving the homework problems during class.  </w:t>
      </w:r>
    </w:p>
    <w:p w14:paraId="00000010" w14:textId="77777777" w:rsidR="009E686E" w:rsidRDefault="000654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Tests will be announced. Missed Tests will not be made up.  </w:t>
      </w:r>
    </w:p>
    <w:p w14:paraId="00000011" w14:textId="77777777" w:rsidR="009E686E" w:rsidRDefault="000654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0000012" w14:textId="77777777" w:rsidR="009E686E" w:rsidRDefault="000654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Grading:  </w:t>
      </w:r>
    </w:p>
    <w:p w14:paraId="00000013" w14:textId="77777777" w:rsidR="009E686E" w:rsidRDefault="000654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UNIT TESTS 50%  </w:t>
      </w:r>
    </w:p>
    <w:p w14:paraId="00000014" w14:textId="77777777" w:rsidR="009E686E" w:rsidRDefault="000654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HOMEWORK/CLASS PARTICIPATION 30%  </w:t>
      </w:r>
    </w:p>
    <w:p w14:paraId="00000015" w14:textId="77777777" w:rsidR="009E686E" w:rsidRDefault="000654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20%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6" w14:textId="77777777" w:rsidR="009E686E" w:rsidRDefault="000654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TOTAL 100%  </w:t>
      </w:r>
    </w:p>
    <w:p w14:paraId="00000017" w14:textId="77777777" w:rsidR="009E686E" w:rsidRDefault="009E68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8" w:right="269" w:firstLine="19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4757DBF" w:rsidR="009E686E" w:rsidRDefault="009E68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8" w:right="269" w:firstLine="19"/>
        <w:rPr>
          <w:rFonts w:ascii="Times New Roman" w:eastAsia="Times New Roman" w:hAnsi="Times New Roman" w:cs="Times New Roman"/>
          <w:sz w:val="24"/>
          <w:szCs w:val="24"/>
        </w:rPr>
      </w:pPr>
    </w:p>
    <w:p w14:paraId="5A66025E" w14:textId="1675C544" w:rsidR="00BA6F96" w:rsidRDefault="00BA6F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8" w:right="269" w:firstLine="19"/>
        <w:rPr>
          <w:rFonts w:ascii="Times New Roman" w:eastAsia="Times New Roman" w:hAnsi="Times New Roman" w:cs="Times New Roman"/>
          <w:sz w:val="24"/>
          <w:szCs w:val="24"/>
        </w:rPr>
      </w:pPr>
    </w:p>
    <w:p w14:paraId="3F1D7182" w14:textId="77777777" w:rsidR="00BA6F96" w:rsidRDefault="00BA6F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8" w:right="269" w:firstLine="19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9E686E" w:rsidRDefault="009E68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8" w:right="269" w:firstLine="19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9E686E" w:rsidRDefault="000654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8" w:right="269" w:firstLine="19"/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lastRenderedPageBreak/>
        <w:t xml:space="preserve">The RCET program is committed to providing an accessible learning environment </w:t>
      </w:r>
      <w:proofErr w:type="gram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for  students</w:t>
      </w:r>
      <w:proofErr w:type="gramEnd"/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 xml:space="preserve"> with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documented disabilities. If there are aspects of the instruction or design of </w:t>
      </w:r>
      <w:proofErr w:type="gram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this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course</w:t>
      </w:r>
      <w:proofErr w:type="gramEnd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 that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 xml:space="preserve">result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in disability-related barriers to your participation, please contact Disability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Services to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engage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 in a confidential conversation about the process for requesting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accommodations. Students are encouraged to register with Disability Services as soon as </w:t>
      </w:r>
      <w:proofErr w:type="gram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they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begin</w:t>
      </w:r>
      <w:proofErr w:type="gramEnd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 this course or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 the timeliest manner possible as accommodations are not provided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retroactively. More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 xml:space="preserve">information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can be found online at </w:t>
      </w:r>
      <w:r>
        <w:rPr>
          <w:rFonts w:ascii="Times New Roman" w:eastAsia="Times New Roman" w:hAnsi="Times New Roman" w:cs="Times New Roman"/>
          <w:i/>
          <w:color w:val="1155CC"/>
          <w:sz w:val="24"/>
          <w:szCs w:val="24"/>
          <w:highlight w:val="white"/>
          <w:u w:val="single"/>
        </w:rPr>
        <w:t>isu.edu/</w:t>
      </w:r>
      <w:proofErr w:type="spellStart"/>
      <w:r>
        <w:rPr>
          <w:rFonts w:ascii="Times New Roman" w:eastAsia="Times New Roman" w:hAnsi="Times New Roman" w:cs="Times New Roman"/>
          <w:i/>
          <w:color w:val="1155CC"/>
          <w:sz w:val="24"/>
          <w:szCs w:val="24"/>
          <w:highlight w:val="white"/>
          <w:u w:val="single"/>
        </w:rPr>
        <w:t>disabilityservices</w:t>
      </w:r>
      <w:proofErr w:type="spellEnd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  <w:u w:val="single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or </w:t>
      </w:r>
      <w:proofErr w:type="gram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by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contacting</w:t>
      </w:r>
      <w:proofErr w:type="gramEnd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 Disabilities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 xml:space="preserve">Services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at: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 xml:space="preserve"> </w:t>
      </w:r>
    </w:p>
    <w:p w14:paraId="0000001B" w14:textId="77777777" w:rsidR="009E686E" w:rsidRDefault="000654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8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Disability Services - Main Office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0000001C" w14:textId="77777777" w:rsidR="009E686E" w:rsidRDefault="000654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Rendezvous Complex, Room 125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0000001D" w14:textId="77777777" w:rsidR="009E686E" w:rsidRDefault="000654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921 South 8</w:t>
      </w:r>
      <w:r>
        <w:rPr>
          <w:rFonts w:ascii="Times New Roman" w:eastAsia="Times New Roman" w:hAnsi="Times New Roman" w:cs="Times New Roman"/>
          <w:color w:val="222222"/>
          <w:sz w:val="16"/>
          <w:szCs w:val="16"/>
          <w:vertAlign w:val="superscript"/>
        </w:rPr>
        <w:t xml:space="preserve">th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Avenue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0000001E" w14:textId="77777777" w:rsidR="009E686E" w:rsidRDefault="000654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Pocatello, ID 83209-8121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0000001F" w14:textId="77777777" w:rsidR="009E686E" w:rsidRDefault="000654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Stop 8121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00000020" w14:textId="77777777" w:rsidR="009E686E" w:rsidRDefault="000654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Phone: 208-282-3599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00000021" w14:textId="77777777" w:rsidR="009E686E" w:rsidRDefault="000654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Fax: 208-282-4617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00000022" w14:textId="77777777" w:rsidR="009E686E" w:rsidRDefault="000654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VP for ASL: 208-417-0620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00000023" w14:textId="77777777" w:rsidR="009E686E" w:rsidRDefault="000654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Email: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disabilityservices@health.isu.edu</w:t>
      </w:r>
    </w:p>
    <w:sectPr w:rsidR="009E686E">
      <w:pgSz w:w="12240" w:h="15840"/>
      <w:pgMar w:top="1423" w:right="1407" w:bottom="1805" w:left="144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86E"/>
    <w:rsid w:val="000654AA"/>
    <w:rsid w:val="00831FA6"/>
    <w:rsid w:val="009A497C"/>
    <w:rsid w:val="009E686E"/>
    <w:rsid w:val="00BA6F96"/>
    <w:rsid w:val="00DB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38D4A"/>
  <w15:docId w15:val="{DC319A0E-8161-42C8-BC6A-46DDE02B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Leishman</dc:creator>
  <cp:lastModifiedBy>Tim Leishman</cp:lastModifiedBy>
  <cp:revision>2</cp:revision>
  <cp:lastPrinted>2022-08-16T14:53:00Z</cp:lastPrinted>
  <dcterms:created xsi:type="dcterms:W3CDTF">2023-05-09T16:55:00Z</dcterms:created>
  <dcterms:modified xsi:type="dcterms:W3CDTF">2023-05-09T16:55:00Z</dcterms:modified>
</cp:coreProperties>
</file>