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37C8DFA5" w14:textId="57CED547" w:rsidR="00961EED" w:rsidRDefault="0032114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the Critical Frequency High of an amplifier circuit using Emitter, Shunt, &amp; Series Peaking. </w:t>
      </w:r>
    </w:p>
    <w:p w14:paraId="7EED3E01" w14:textId="6FE81201" w:rsidR="00321148" w:rsidRDefault="0032114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and show calculations for each circuit modification.</w:t>
      </w:r>
    </w:p>
    <w:p w14:paraId="3507A8C6" w14:textId="2C1DBDA7" w:rsidR="00321148" w:rsidRDefault="0032114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and document the results of each circuit modification.</w:t>
      </w:r>
    </w:p>
    <w:p w14:paraId="0C016818" w14:textId="22226134" w:rsidR="00321148" w:rsidRDefault="00321148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reconcile any discrepancies between a calculated and measured result.</w:t>
      </w:r>
    </w:p>
    <w:p w14:paraId="04423078" w14:textId="34D8DEEF" w:rsidR="00571A40" w:rsidRDefault="00571A40" w:rsidP="00571A40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proper use of the oscilloscope, DMM, and sweep audio generator to obtain accurate measurements</w:t>
      </w:r>
      <w:r w:rsidR="00CC1382">
        <w:rPr>
          <w:rFonts w:ascii="Times New Roman" w:hAnsi="Times New Roman" w:cs="Times New Roman"/>
          <w:sz w:val="24"/>
          <w:szCs w:val="24"/>
        </w:rPr>
        <w:t>.</w:t>
      </w:r>
    </w:p>
    <w:p w14:paraId="3395BB33" w14:textId="28137479" w:rsidR="000824F8" w:rsidRDefault="00D30472" w:rsidP="007631EC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0824F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6D6FD314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73D38E3F" w14:textId="2CF93B30" w:rsidR="00B02F69" w:rsidRDefault="0077063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B02F69" w:rsidRPr="00B02F69">
          <w:rPr>
            <w:rStyle w:val="Hyperlink"/>
            <w:rFonts w:ascii="Times New Roman" w:hAnsi="Times New Roman" w:cs="Times New Roman"/>
            <w:sz w:val="24"/>
            <w:szCs w:val="24"/>
          </w:rPr>
          <w:t>Tektronix AFG1022 Function Generator Excerpt</w:t>
        </w:r>
      </w:hyperlink>
      <w:r w:rsidR="00B02F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EEA8" w14:textId="1CC71DC5" w:rsidR="00CA5812" w:rsidRDefault="0077063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62056">
          <w:rPr>
            <w:rStyle w:val="Hyperlink"/>
            <w:rFonts w:ascii="Times New Roman" w:hAnsi="Times New Roman" w:cs="Times New Roman"/>
            <w:sz w:val="24"/>
            <w:szCs w:val="24"/>
          </w:rPr>
          <w:t>Multistage Schematic</w:t>
        </w:r>
      </w:hyperlink>
    </w:p>
    <w:p w14:paraId="0F6E0D7A" w14:textId="09D73E60" w:rsidR="00462056" w:rsidRPr="00D30472" w:rsidRDefault="00770636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462056" w:rsidRPr="00462056">
          <w:rPr>
            <w:rStyle w:val="Hyperlink"/>
            <w:rFonts w:ascii="Times New Roman" w:hAnsi="Times New Roman" w:cs="Times New Roman"/>
            <w:sz w:val="24"/>
            <w:szCs w:val="24"/>
          </w:rPr>
          <w:t>Multistage PCB Layout</w:t>
        </w:r>
      </w:hyperlink>
    </w:p>
    <w:p w14:paraId="032D256D" w14:textId="77777777" w:rsidR="00D30472" w:rsidRDefault="00D30472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1CE3E7FF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29E469D9" w:rsidR="00651A9B" w:rsidRPr="00651A9B" w:rsidRDefault="00770636" w:rsidP="00A27CC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651A9B" w:rsidRPr="00651A9B">
          <w:rPr>
            <w:rStyle w:val="Hyperlink"/>
            <w:rFonts w:ascii="Times New Roman" w:hAnsi="Times New Roman" w:cs="Times New Roman"/>
            <w:sz w:val="24"/>
            <w:szCs w:val="24"/>
          </w:rPr>
          <w:t>Check-Off Sheet</w:t>
        </w:r>
      </w:hyperlink>
    </w:p>
    <w:p w14:paraId="4117993D" w14:textId="77777777" w:rsidR="00444865" w:rsidRDefault="00444865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431990F" w14:textId="392E1B83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6C5F5817" w14:textId="5AB6C3EA" w:rsidR="00EE46E4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82716EC" w14:textId="5CB786BB" w:rsidR="00A44AF7" w:rsidRPr="00A44AF7" w:rsidRDefault="00A27CCD" w:rsidP="00A27CC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  <w:r w:rsidR="00A44AF7" w:rsidRPr="00A44AF7">
        <w:rPr>
          <w:rFonts w:ascii="Times New Roman" w:hAnsi="Times New Roman" w:cs="Times New Roman"/>
          <w:sz w:val="24"/>
          <w:szCs w:val="24"/>
        </w:rPr>
        <w:t>.</w:t>
      </w:r>
    </w:p>
    <w:p w14:paraId="0CB8B885" w14:textId="59783692" w:rsidR="00A44AF7" w:rsidRPr="00A44AF7" w:rsidRDefault="00A27CCD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Multistage Schematic</w:t>
      </w:r>
    </w:p>
    <w:p w14:paraId="4675DB2F" w14:textId="77777777" w:rsidR="00A27CCD" w:rsidRPr="00A27CCD" w:rsidRDefault="00A27CCD" w:rsidP="00A44AF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 supply voltage to J2 is 25V</w:t>
      </w:r>
    </w:p>
    <w:p w14:paraId="57CCCB97" w14:textId="77777777" w:rsidR="00444865" w:rsidRPr="00444865" w:rsidRDefault="00444865" w:rsidP="00444865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69A371C" w14:textId="1AF97708" w:rsidR="00A27CCD" w:rsidRDefault="00321148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Emitter, Shunt, and Series Peaking</w:t>
      </w:r>
      <w:r w:rsidR="00C43710">
        <w:rPr>
          <w:rFonts w:ascii="Times New Roman" w:hAnsi="Times New Roman" w:cs="Times New Roman"/>
          <w:sz w:val="24"/>
          <w:szCs w:val="24"/>
        </w:rPr>
        <w:t>:</w:t>
      </w:r>
    </w:p>
    <w:p w14:paraId="3C5B73A0" w14:textId="77777777" w:rsidR="00321148" w:rsidRDefault="00321148" w:rsidP="00321148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Emitter Peaking</w:t>
      </w:r>
    </w:p>
    <w:p w14:paraId="1A36C850" w14:textId="77777777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what emitter peaking is and how it works. </w:t>
      </w:r>
    </w:p>
    <w:p w14:paraId="40A11732" w14:textId="154C65DE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capacitor needed for emitter peaking.</w:t>
      </w:r>
    </w:p>
    <w:p w14:paraId="34FB304F" w14:textId="77777777" w:rsidR="004451D2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a bode plots comparing the original response and the effect of emitter peaking. Calculate the improvement factor.</w:t>
      </w:r>
    </w:p>
    <w:p w14:paraId="2DE43AE4" w14:textId="038EB5E9" w:rsidR="00321148" w:rsidRPr="004451D2" w:rsidRDefault="004451D2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1D2">
        <w:rPr>
          <w:rFonts w:ascii="Times New Roman" w:hAnsi="Times New Roman" w:cs="Times New Roman"/>
          <w:b/>
          <w:sz w:val="24"/>
          <w:szCs w:val="24"/>
        </w:rPr>
        <w:t>Instructor Check</w:t>
      </w:r>
      <w:r w:rsidR="00321148" w:rsidRPr="004451D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C8B782" w14:textId="60066BD2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Measure the effects of emitter peaking.</w:t>
      </w:r>
    </w:p>
    <w:p w14:paraId="71632E5A" w14:textId="69EABA7D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frequency response using the sweep generator. Document measured frequency response (bode plot).</w:t>
      </w:r>
    </w:p>
    <w:p w14:paraId="71578B4B" w14:textId="77777777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Annotate in a Table Calculated vs. Measured data.</w:t>
      </w:r>
    </w:p>
    <w:p w14:paraId="37910D0A" w14:textId="072BA9AA" w:rsidR="00321148" w:rsidRDefault="00321148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any discrepancies and provide analysis/justification for discrepancies.</w:t>
      </w:r>
    </w:p>
    <w:p w14:paraId="31189BC0" w14:textId="3C7AF9AA" w:rsidR="004451D2" w:rsidRPr="004451D2" w:rsidRDefault="004451D2" w:rsidP="00321148">
      <w:pPr>
        <w:pStyle w:val="ListParagraph"/>
        <w:numPr>
          <w:ilvl w:val="2"/>
          <w:numId w:val="18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1D2">
        <w:rPr>
          <w:rFonts w:ascii="Times New Roman" w:hAnsi="Times New Roman" w:cs="Times New Roman"/>
          <w:b/>
          <w:sz w:val="24"/>
          <w:szCs w:val="24"/>
        </w:rPr>
        <w:t>Instructor Check</w:t>
      </w:r>
    </w:p>
    <w:p w14:paraId="46E6BCC0" w14:textId="25CF65B1" w:rsidR="00321148" w:rsidRPr="004E009D" w:rsidRDefault="00321148" w:rsidP="004E009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Shunt Peaking</w:t>
      </w:r>
      <w:r w:rsidR="004E009D">
        <w:rPr>
          <w:rFonts w:ascii="Times New Roman" w:hAnsi="Times New Roman" w:cs="Times New Roman"/>
          <w:sz w:val="24"/>
          <w:szCs w:val="24"/>
        </w:rPr>
        <w:t xml:space="preserve"> - </w:t>
      </w:r>
      <w:r w:rsidRPr="004E009D">
        <w:rPr>
          <w:rFonts w:ascii="Times New Roman" w:hAnsi="Times New Roman" w:cs="Times New Roman"/>
          <w:sz w:val="24"/>
          <w:szCs w:val="24"/>
        </w:rPr>
        <w:t>Repeat above steps for Shunt Peaking.</w:t>
      </w:r>
    </w:p>
    <w:p w14:paraId="21F23A6A" w14:textId="08DC30BB" w:rsidR="00321148" w:rsidRPr="004E009D" w:rsidRDefault="00321148" w:rsidP="004E009D">
      <w:pPr>
        <w:pStyle w:val="ListParagraph"/>
        <w:numPr>
          <w:ilvl w:val="1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Peaking</w:t>
      </w:r>
      <w:r w:rsidR="004E009D">
        <w:rPr>
          <w:rFonts w:ascii="Times New Roman" w:hAnsi="Times New Roman" w:cs="Times New Roman"/>
          <w:sz w:val="24"/>
          <w:szCs w:val="24"/>
        </w:rPr>
        <w:t xml:space="preserve"> - </w:t>
      </w:r>
      <w:r w:rsidRPr="004E009D">
        <w:rPr>
          <w:rFonts w:ascii="Times New Roman" w:hAnsi="Times New Roman" w:cs="Times New Roman"/>
          <w:sz w:val="24"/>
          <w:szCs w:val="24"/>
        </w:rPr>
        <w:t xml:space="preserve">Repeat above steps for Series Peaking. </w:t>
      </w:r>
    </w:p>
    <w:p w14:paraId="33FCDE30" w14:textId="0AF16A2A" w:rsidR="00B94FA8" w:rsidRDefault="00B94FA8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Employ “Peaking”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achieve a 3.579545Mhz signal that is within the pass band of the amplifier.</w:t>
      </w:r>
    </w:p>
    <w:p w14:paraId="647E7C4A" w14:textId="2B10864C" w:rsidR="008011DD" w:rsidRDefault="00E25C0B" w:rsidP="00A27CC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documentation</w:t>
      </w:r>
      <w:r w:rsidR="00590250">
        <w:rPr>
          <w:rFonts w:ascii="Times New Roman" w:hAnsi="Times New Roman" w:cs="Times New Roman"/>
          <w:sz w:val="24"/>
          <w:szCs w:val="24"/>
        </w:rPr>
        <w:t xml:space="preserve"> requirements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77FB5C1" w14:textId="72C1625F" w:rsidR="00E25C0B" w:rsidRPr="0004015F" w:rsidRDefault="00E25C0B" w:rsidP="0004015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>List five factors that limit the high frequency response of transistor amplifiers.</w:t>
      </w:r>
    </w:p>
    <w:p w14:paraId="7FE7BF55" w14:textId="70B288D9" w:rsidR="00E25C0B" w:rsidRDefault="00E25C0B" w:rsidP="0004015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four factors that limit the low frequency response of transistor amplifiers. </w:t>
      </w:r>
    </w:p>
    <w:p w14:paraId="0C38DC2E" w14:textId="1A8E17BE" w:rsidR="00E25C0B" w:rsidRDefault="00E25C0B" w:rsidP="0004015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methods that could be incorporated in an amplifier to </w:t>
      </w:r>
      <w:r w:rsidR="0004015F">
        <w:rPr>
          <w:rFonts w:ascii="Times New Roman" w:hAnsi="Times New Roman" w:cs="Times New Roman"/>
          <w:sz w:val="24"/>
          <w:szCs w:val="24"/>
        </w:rPr>
        <w:t>improve</w:t>
      </w:r>
      <w:r>
        <w:rPr>
          <w:rFonts w:ascii="Times New Roman" w:hAnsi="Times New Roman" w:cs="Times New Roman"/>
          <w:sz w:val="24"/>
          <w:szCs w:val="24"/>
        </w:rPr>
        <w:t xml:space="preserve"> the high frequency response.</w:t>
      </w:r>
    </w:p>
    <w:p w14:paraId="05978D3A" w14:textId="58318ACB" w:rsidR="0004015F" w:rsidRDefault="0004015F" w:rsidP="0004015F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methods that could be incorporated in an amplifier to improve the low frequency response. </w:t>
      </w:r>
    </w:p>
    <w:p w14:paraId="5B8253E9" w14:textId="77777777" w:rsidR="00E25C0B" w:rsidRDefault="00E25C0B" w:rsidP="0004015F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6EA9BC0" w14:textId="24F7853A" w:rsidR="00693F34" w:rsidRPr="0004015F" w:rsidRDefault="00693F34" w:rsidP="00693F34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4015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0401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8DB94" w14:textId="77777777" w:rsidR="00770636" w:rsidRDefault="00770636" w:rsidP="007631EC">
      <w:pPr>
        <w:spacing w:after="0" w:line="240" w:lineRule="auto"/>
      </w:pPr>
      <w:r>
        <w:separator/>
      </w:r>
    </w:p>
  </w:endnote>
  <w:endnote w:type="continuationSeparator" w:id="0">
    <w:p w14:paraId="18209A98" w14:textId="77777777" w:rsidR="00770636" w:rsidRDefault="00770636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2DE80" w14:textId="77777777" w:rsidR="00770636" w:rsidRDefault="00770636" w:rsidP="007631EC">
      <w:pPr>
        <w:spacing w:after="0" w:line="240" w:lineRule="auto"/>
      </w:pPr>
      <w:r>
        <w:separator/>
      </w:r>
    </w:p>
  </w:footnote>
  <w:footnote w:type="continuationSeparator" w:id="0">
    <w:p w14:paraId="7D08A9C2" w14:textId="77777777" w:rsidR="00770636" w:rsidRDefault="00770636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068BB8B9" w:rsidR="00961EED" w:rsidRPr="00961EED" w:rsidRDefault="00321148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Emitter, Shunt, &amp; Series Peaking</w:t>
    </w:r>
    <w:r w:rsidR="00961EED" w:rsidRPr="00961EED">
      <w:rPr>
        <w:rFonts w:ascii="Times New Roman" w:hAnsi="Times New Roman" w:cs="Times New Roman"/>
        <w:caps/>
        <w:sz w:val="24"/>
        <w:szCs w:val="24"/>
      </w:rPr>
      <w:t xml:space="preserve"> 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8578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518E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4F8E8256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7D0A901E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6527"/>
    <w:rsid w:val="0004015F"/>
    <w:rsid w:val="000824F8"/>
    <w:rsid w:val="00094B0D"/>
    <w:rsid w:val="0009522A"/>
    <w:rsid w:val="000974CF"/>
    <w:rsid w:val="000B661D"/>
    <w:rsid w:val="000F1742"/>
    <w:rsid w:val="000F2614"/>
    <w:rsid w:val="00103DF2"/>
    <w:rsid w:val="0010601D"/>
    <w:rsid w:val="0011756A"/>
    <w:rsid w:val="00121F2F"/>
    <w:rsid w:val="0013651C"/>
    <w:rsid w:val="00210906"/>
    <w:rsid w:val="00213762"/>
    <w:rsid w:val="00282D7E"/>
    <w:rsid w:val="002A768E"/>
    <w:rsid w:val="002D1FB3"/>
    <w:rsid w:val="002E4DFA"/>
    <w:rsid w:val="00321148"/>
    <w:rsid w:val="00322D7C"/>
    <w:rsid w:val="00362C12"/>
    <w:rsid w:val="00363633"/>
    <w:rsid w:val="003F0543"/>
    <w:rsid w:val="003F06FA"/>
    <w:rsid w:val="004331FF"/>
    <w:rsid w:val="00442C8F"/>
    <w:rsid w:val="00444865"/>
    <w:rsid w:val="004451D2"/>
    <w:rsid w:val="00454AAC"/>
    <w:rsid w:val="00462056"/>
    <w:rsid w:val="00495F27"/>
    <w:rsid w:val="004B3CC8"/>
    <w:rsid w:val="004D40CC"/>
    <w:rsid w:val="004E009D"/>
    <w:rsid w:val="004E08AA"/>
    <w:rsid w:val="00512FFA"/>
    <w:rsid w:val="005223B6"/>
    <w:rsid w:val="005424CD"/>
    <w:rsid w:val="00571A40"/>
    <w:rsid w:val="00590250"/>
    <w:rsid w:val="005A73E0"/>
    <w:rsid w:val="005B2459"/>
    <w:rsid w:val="00651A9B"/>
    <w:rsid w:val="00693F34"/>
    <w:rsid w:val="006A78A7"/>
    <w:rsid w:val="006D1F38"/>
    <w:rsid w:val="006E2780"/>
    <w:rsid w:val="006F7CD2"/>
    <w:rsid w:val="00721DFA"/>
    <w:rsid w:val="007631EC"/>
    <w:rsid w:val="00770636"/>
    <w:rsid w:val="0078002E"/>
    <w:rsid w:val="008011DD"/>
    <w:rsid w:val="00815226"/>
    <w:rsid w:val="008360BB"/>
    <w:rsid w:val="00845C1D"/>
    <w:rsid w:val="00873B49"/>
    <w:rsid w:val="00890758"/>
    <w:rsid w:val="008D4C85"/>
    <w:rsid w:val="008D7EA4"/>
    <w:rsid w:val="008E7794"/>
    <w:rsid w:val="008F11E7"/>
    <w:rsid w:val="008F4DD2"/>
    <w:rsid w:val="00903173"/>
    <w:rsid w:val="00941B65"/>
    <w:rsid w:val="00961EED"/>
    <w:rsid w:val="00967FBE"/>
    <w:rsid w:val="00976890"/>
    <w:rsid w:val="009904CE"/>
    <w:rsid w:val="009C0F76"/>
    <w:rsid w:val="009D1B10"/>
    <w:rsid w:val="009D5EE1"/>
    <w:rsid w:val="00A27CCD"/>
    <w:rsid w:val="00A44AF7"/>
    <w:rsid w:val="00A55ED9"/>
    <w:rsid w:val="00A7494C"/>
    <w:rsid w:val="00A81E1F"/>
    <w:rsid w:val="00AC2889"/>
    <w:rsid w:val="00AF1001"/>
    <w:rsid w:val="00B02F69"/>
    <w:rsid w:val="00B46C30"/>
    <w:rsid w:val="00B501C4"/>
    <w:rsid w:val="00B541C5"/>
    <w:rsid w:val="00B94FA8"/>
    <w:rsid w:val="00C36C5B"/>
    <w:rsid w:val="00C37776"/>
    <w:rsid w:val="00C436D6"/>
    <w:rsid w:val="00C43710"/>
    <w:rsid w:val="00CA5812"/>
    <w:rsid w:val="00CC1382"/>
    <w:rsid w:val="00CF484C"/>
    <w:rsid w:val="00CF679C"/>
    <w:rsid w:val="00D251A6"/>
    <w:rsid w:val="00D30472"/>
    <w:rsid w:val="00D41B83"/>
    <w:rsid w:val="00D447FE"/>
    <w:rsid w:val="00DA2755"/>
    <w:rsid w:val="00DB283D"/>
    <w:rsid w:val="00DD587A"/>
    <w:rsid w:val="00DE7B7C"/>
    <w:rsid w:val="00DF02E6"/>
    <w:rsid w:val="00E25C0B"/>
    <w:rsid w:val="00E31A7D"/>
    <w:rsid w:val="00E33474"/>
    <w:rsid w:val="00E35A16"/>
    <w:rsid w:val="00E847A4"/>
    <w:rsid w:val="00EE207F"/>
    <w:rsid w:val="00EE46E4"/>
    <w:rsid w:val="00F35AAB"/>
    <w:rsid w:val="00F43DD5"/>
    <w:rsid w:val="00F81426"/>
    <w:rsid w:val="00F822A7"/>
    <w:rsid w:val="00F849E6"/>
    <w:rsid w:val="00FA444C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95P8_0zsS-zD27CyxFKEkg3zqlOGmz9/view?usp=sha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gfg09oh1spySt6cdQ1rV8ITwARv0C-LV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fJW5RPRtUVS87FdKih90xuCrNwghQMtY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fH8i4o53Zl2bZaMHP3KNaGaTBR0mlysM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A7F57-F1A3-4373-8023-6817C6B12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Timothy Leishman</cp:lastModifiedBy>
  <cp:revision>7</cp:revision>
  <cp:lastPrinted>2021-09-29T20:45:00Z</cp:lastPrinted>
  <dcterms:created xsi:type="dcterms:W3CDTF">2021-09-22T19:07:00Z</dcterms:created>
  <dcterms:modified xsi:type="dcterms:W3CDTF">2021-09-29T20:45:00Z</dcterms:modified>
</cp:coreProperties>
</file>