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3D2A"/>
          <w:sz w:val="56"/>
          <w:szCs w:val="56"/>
        </w:rPr>
        <w:t xml:space="preserve">Guardiões da Natureza</w:t>
      </w:r>
    </w:p>
    <w:p>
      <w:pPr>
        <w:spacing w:after="60"/>
      </w:pPr>
      <w:r>
        <w:rPr>
          <w:color w:val="0E7A45"/>
          <w:sz w:val="30"/>
          <w:szCs w:val="30"/>
        </w:rPr>
        <w:t xml:space="preserve">Guia de Publicação em Produção (Deployment)</w:t>
      </w:r>
    </w:p>
    <w:p>
      <w:pPr>
        <w:spacing w:after="500"/>
      </w:pPr>
      <w:r>
        <w:rPr>
          <w:i/>
          <w:iCs/>
          <w:color w:val="5B6B63"/>
          <w:sz w:val="20"/>
          <w:szCs w:val="20"/>
        </w:rPr>
        <w:t xml:space="preserve">Como disponibilizar a aplicação num endereço permanente, com HTTPS, para uso real pela empresa</w:t>
      </w:r>
    </w:p>
    <w:p>
      <w:pPr>
        <w:pStyle w:val="Heading1"/>
        <w:spacing w:after="200" w:before="400"/>
      </w:pPr>
      <w:r>
        <w:t xml:space="preserve">1. Porque é necessário este passo</w:t>
      </w:r>
    </w:p>
    <w:p>
      <w:pPr>
        <w:spacing w:after="160"/>
      </w:pPr>
      <w:r>
        <w:t xml:space="preserve">Até agora, a aplicação foi testada apenas no computador local (http://localhost:3000). Isso é suficiente para desenvolvimento, mas não serve para os colaboradores da empresa usarem no dia a dia, por duas razões: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computador local tem de estar sempre ligado e a correr o servidor para a app funcionar — não é isso que se quer numa aplicação da empresa.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telemóvel, a câmara e o GPS só funcionam com um endereço https:// — algo que localhost ou um IP de rede local (192.168.x.x) não fornecem (ver Manual do Telemóvel, secção 2).</w:t>
      </w:r>
    </w:p>
    <w:p>
      <w:pPr>
        <w:spacing w:after="160"/>
      </w:pPr>
      <w:r>
        <w:t xml:space="preserve">Este guia cobre a opção mais simples para uma equipa pequena: publicar num serviço gerido (Render), que trata do HTTPS automaticamente. No final há também uma nota sobre a alternativa de servidor próprio, para quando isso fizer mais sentido.</w:t>
      </w:r>
    </w:p>
    <w:p>
      <w:pPr>
        <w:pStyle w:val="Heading1"/>
        <w:spacing w:after="200" w:before="400"/>
      </w:pPr>
      <w:r>
        <w:t xml:space="preserve">2. Antes de começar — preparar o código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Colocar o projeto num repositório Git privado (ex.: GitHub). É a partir daí que o Render vai publicar a aplicação automaticamente sempre que houver uma atualização.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Confirmar que o ficheiro backend/.env NÃO é enviado para o repositório — já está protegido pelo .gitignore incluído no projeto (a linha backend/.env).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Definir uma password forte para o painel de administração antes de publicar (variável ADMIN_PASSWORD) — nunca usar uma password de teste em produção.</w:t>
      </w:r>
    </w:p>
    <w:p>
      <w:pPr>
        <w:pBdr>
          <w:left w:val="single" w:color="C77700" w:sz="24"/>
        </w:pBdr>
        <w:shd w:fill="FFF3E0" w:val="clear"/>
        <w:spacing w:after="200" w:before="100"/>
        <w:ind w:left="100"/>
      </w:pPr>
      <w:r>
        <w:rPr>
          <w:b/>
          <w:bCs/>
          <w:color w:val="8A4B00"/>
        </w:rPr>
        <w:t xml:space="preserve">Atenção: </w:t>
      </w:r>
      <w:r>
        <w:t xml:space="preserve">Nunca fazer commit do ficheiro .env para o Git, mesmo num repositório privado. Ele contém a palavra-passe da base de dados e do painel de administração.</w:t>
      </w:r>
    </w:p>
    <w:p>
      <w:pPr>
        <w:pStyle w:val="Heading1"/>
        <w:spacing w:after="200" w:before="400"/>
      </w:pPr>
      <w:r>
        <w:t xml:space="preserve">3. Publicar no Render (recomendado)</w:t>
      </w:r>
    </w:p>
    <w:p>
      <w:pPr>
        <w:spacing w:after="160"/>
      </w:pPr>
      <w:r>
        <w:t xml:space="preserve">O Render é um serviço de alojamento gerido: cria automaticamente um endereço https:// próprio, sem ser necessário configurar certificados manualmente. Este projeto já inclui um ficheiro render.yaml que descreve a configuração, o que acelera os passos abaixo.</w:t>
      </w:r>
    </w:p>
    <w:p>
      <w:pPr>
        <w:pStyle w:val="Heading2"/>
        <w:spacing w:after="150" w:before="300"/>
      </w:pPr>
      <w:r>
        <w:t xml:space="preserve">3.1 Criar a conta e ligar o repositório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conta em https://dashboard.render.com (não é necessário cartão de crédito para começar).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dashboard, escolher "New" → "Blueprint", e ligar o repositório Git do projeto.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Render lê automaticamente o ficheiro render.yaml e propõe criar dois recursos: o serviço web (guardioes-natureza) e a base de dados (guardioes-natureza-db).</w:t>
      </w:r>
    </w:p>
    <w:p>
      <w:pPr>
        <w:pStyle w:val="Heading2"/>
        <w:spacing w:after="150" w:before="300"/>
      </w:pPr>
      <w:r>
        <w:t xml:space="preserve">3.2 Escolher o plano</w:t>
      </w:r>
    </w:p>
    <w:p>
      <w:pPr>
        <w:pBdr>
          <w:left w:val="single" w:color="C77700" w:sz="24"/>
        </w:pBdr>
        <w:shd w:fill="FFF3E0" w:val="clear"/>
        <w:spacing w:after="200" w:before="100"/>
        <w:ind w:left="100"/>
      </w:pPr>
      <w:r>
        <w:rPr>
          <w:b/>
          <w:bCs/>
          <w:color w:val="8A4B00"/>
        </w:rPr>
        <w:t xml:space="preserve">Atenção: </w:t>
      </w:r>
      <w:r>
        <w:t xml:space="preserve">O plano gratuito da base de dados expira ao fim de 30 dias e apaga os dados — não é adequado para uso real pela empresa. Para produção, escolher o plano Starter (pago) tanto no serviço web como na base de dados.</w:t>
      </w:r>
    </w:p>
    <w:p>
      <w:pPr>
        <w:spacing w:after="160"/>
      </w:pPr>
      <w:r>
        <w:t xml:space="preserve">Nesta escala (uma equipa pequena, tráfego baixo), o custo aproximado é de 7 a 14 dólares/mês no total (serviço web + base de dados Starter), sem custo por utilizador. Confirmar sempre os valores atuais em render.com/pricing antes de decidir, pois podem ter mudado.</w:t>
      </w:r>
    </w:p>
    <w:p>
      <w:pPr>
        <w:pStyle w:val="Heading2"/>
        <w:spacing w:after="150" w:before="300"/>
      </w:pPr>
      <w:r>
        <w:t xml:space="preserve">3.3 Configurar as variáveis de ambiente</w:t>
      </w:r>
    </w:p>
    <w:p>
      <w:pPr>
        <w:spacing w:after="160"/>
      </w:pPr>
      <w:r>
        <w:t xml:space="preserve">O Render pede para preencher as variáveis marcadas como "sync: false" no render.yaml — ADMIN_USER e ADMIN_PASSWORD. A variável DATABASE_URL é preenchida automaticamente pelo Render, ligando ao serviço de base de dados criado no mesmo passo.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ADMIN_USER = admin
ADMIN_PASSWORD = (definir uma password forte e única)</w:t>
      </w:r>
    </w:p>
    <w:p>
      <w:pPr>
        <w:pStyle w:val="Heading2"/>
        <w:spacing w:after="150" w:before="300"/>
      </w:pPr>
      <w:r>
        <w:t xml:space="preserve">3.4 Ativar a extensão PostGIS na base de dados</w:t>
      </w:r>
    </w:p>
    <w:p>
      <w:pPr>
        <w:spacing w:after="160"/>
      </w:pPr>
      <w:r>
        <w:t xml:space="preserve">Depois da base de dados estar criada ("Available" no dashboard do Render), abrir a página de detalhes da base de dados e usar o botão de ligação psql fornecido pelo Render, ou ligar a partir do computador local com a connection string externa indicada no dashboard: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psql "&lt;External Database URL fornecido pelo Render&gt;"</w:t>
      </w:r>
    </w:p>
    <w:p>
      <w:pPr>
        <w:spacing w:after="160"/>
      </w:pPr>
      <w:r>
        <w:t xml:space="preserve">Dentro do psql, confirmar que a extensão fica disponível (o Render normalmente já a disponibiliza; se não, correr):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CREATE EXTENSION IF NOT EXISTS postgis;</w:t>
      </w:r>
    </w:p>
    <w:p>
      <w:pPr>
        <w:pStyle w:val="Heading2"/>
        <w:spacing w:after="150" w:before="300"/>
      </w:pPr>
      <w:r>
        <w:t xml:space="preserve">3.5 Aplicar o schema (migração)</w:t>
      </w:r>
    </w:p>
    <w:p>
      <w:pPr>
        <w:spacing w:after="160"/>
      </w:pPr>
      <w:r>
        <w:t xml:space="preserve">A partir do computador local, apontar temporariamente para a base de dados de produção e correr a migração uma única vez: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backend
$env:ENV_FILE=""  # garantir que não usa o .env local por engano
$env:DATABASE_URL="&lt;External Database URL fornecido pelo Render&gt;"
npm run db:migrate</w:t>
      </w:r>
    </w:p>
    <w:p>
      <w:pPr>
        <w:pBdr>
          <w:left w:val="single" w:color="0E7A45" w:sz="24"/>
        </w:pBdr>
        <w:shd w:fill="EAF6EF" w:val="clear"/>
        <w:spacing w:after="200" w:before="100"/>
        <w:ind w:left="100"/>
      </w:pPr>
      <w:r>
        <w:rPr>
          <w:b/>
          <w:bCs/>
          <w:color w:val="0E7A45"/>
        </w:rPr>
        <w:t xml:space="preserve">Nota: </w:t>
      </w:r>
      <w:r>
        <w:t xml:space="preserve">db:migrate aplica apenas a estrutura (schema.sql) — é seguro correr mais do que uma vez, graças aos IF NOT EXISTS e ON CONFLICT DO NOTHING já incluídos no schema.</w:t>
      </w:r>
    </w:p>
    <w:p>
      <w:pPr>
        <w:pStyle w:val="Heading2"/>
        <w:spacing w:after="150" w:before="300"/>
      </w:pPr>
      <w:r>
        <w:t xml:space="preserve">3.6 Confirmar que está no ar</w:t>
      </w:r>
    </w:p>
    <w:p>
      <w:pPr>
        <w:spacing w:after="160"/>
      </w:pPr>
      <w:r>
        <w:t xml:space="preserve">O Render atribui automaticamente um endereço do tipo:</w:t>
      </w:r>
    </w:p>
    <w:p>
      <w:pPr>
        <w:pBdr>
          <w:top w:val="single" w:color="D9E2DC" w:sz="2"/>
          <w:bottom w:val="single" w:color="D9E2DC" w:sz="2"/>
          <w:left w:val="single" w:color="D9E2DC" w:sz="2"/>
          <w:right w:val="single" w:color="D9E2DC" w:sz="2"/>
        </w:pBdr>
        <w:shd w:fill="F0F4F2" w:val="clear"/>
        <w:spacing w:after="200" w:before="1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https://guardioes-natureza.onrender.com</w:t>
      </w:r>
    </w:p>
    <w:p>
      <w:pPr>
        <w:spacing w:after="160"/>
      </w:pPr>
      <w:r>
        <w:t xml:space="preserve">Abrir esse endereço + /api/health no browser para confirmar a ligação à base de dados, e depois testar a aplicação e o painel /admin normalmente.</w:t>
      </w:r>
    </w:p>
    <w:p>
      <w:pPr>
        <w:pStyle w:val="Heading1"/>
        <w:spacing w:after="200" w:before="400"/>
      </w:pPr>
      <w:r>
        <w:t xml:space="preserve">4. Domínio próprio da empresa (opcional)</w:t>
      </w:r>
    </w:p>
    <w:p>
      <w:pPr>
        <w:spacing w:after="160"/>
      </w:pPr>
      <w:r>
        <w:t xml:space="preserve">Em vez do endereço *.onrender.com, é possível usar um domínio próprio (ex.: guardioes.empresa.pt):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dashboard do Render, no serviço web, ir a "Settings" → "Custom Domains" e adicionar o domínio.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no fornecedor do domínio (onde o domínio da empresa está registado) o registo DNS indicado pelo Render (normalmente um CNAME).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Render emite e gere automaticamente o certificado HTTPS para esse domínio — não é necessário nenhum passo manual de certificados.</w:t>
      </w:r>
    </w:p>
    <w:p>
      <w:pPr>
        <w:pStyle w:val="Heading1"/>
        <w:spacing w:after="200" w:before="400"/>
      </w:pPr>
      <w:r>
        <w:t xml:space="preserve">5. Alternativa: servidor próprio da empresa</w:t>
      </w:r>
    </w:p>
    <w:p>
      <w:pPr>
        <w:spacing w:after="160"/>
      </w:pPr>
      <w:r>
        <w:t xml:space="preserve">Se a empresa preferir manter tudo em infraestrutura própria (por exemplo, um servidor já existente), a aplicação também corre em qualquer servidor Linux com Node.js e PostgreSQL/PostGIS instalados. Nesse caso, os passos adicionais em relação a este guia são: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HTTPS manualmente com um certificado Let's Encrypt (gratuito), tipicamente através de um proxy como o Nginx à frente da aplicação Node.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o processo Node sempre ativo com um gestor de processos (ex.: pm2 ou um serviço systemd), para reiniciar automaticamente após reinícios do servidor ou falhas.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Gerir atualizações e cópias de segurança da base de dados manualmente (no Render, os backups automáticos vêm incluídos nos planos pagos).</w:t>
      </w:r>
    </w:p>
    <w:p>
      <w:pPr>
        <w:pBdr>
          <w:left w:val="single" w:color="0E7A45" w:sz="24"/>
        </w:pBdr>
        <w:shd w:fill="EAF6EF" w:val="clear"/>
        <w:spacing w:after="200" w:before="100"/>
        <w:ind w:left="100"/>
      </w:pPr>
      <w:r>
        <w:rPr>
          <w:b/>
          <w:bCs/>
          <w:color w:val="0E7A45"/>
        </w:rPr>
        <w:t xml:space="preserve">Nota: </w:t>
      </w:r>
      <w:r>
        <w:t xml:space="preserve">Esta alternativa dá mais controlo, mas exige mais manutenção contínua por parte da equipa técnica. Para uma equipa pequena, o Render costuma ser o caminho mais rápido a compensar.</w:t>
      </w:r>
    </w:p>
    <w:p>
      <w:pPr>
        <w:pStyle w:val="Heading1"/>
        <w:spacing w:after="200" w:before="400"/>
      </w:pPr>
      <w:r>
        <w:t xml:space="preserve">6. Checklist final antes de entregar à empresa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ADMIN_PASSWORD definida com uma password forte e única (não a mesma usada em testes).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de dados num plano pago (não no plano gratuito com expiração aos 30 dias).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Autoridades reais (nomes, emails de contacto e áreas geográficas) inseridas na tabela authorities, substituindo o polígono de exemplo usado durante os testes.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Endereço https:// confirmado a funcionar tanto no browser de computador como num telemóvel real (câmara e GPS).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Acesso ao dashboard do Render (ou ao servidor próprio) limitado às pessoas certas da equipa técnica.</w:t>
      </w:r>
    </w:p>
    <w:p>
      <w:pPr>
        <w:pStyle w:val="Heading1"/>
        <w:spacing w:after="200" w:before="400"/>
      </w:pPr>
      <w:r>
        <w:t xml:space="preserve">7. Contacto de suporte</w:t>
      </w:r>
    </w:p>
    <w:p>
      <w:pPr>
        <w:spacing w:after="160"/>
      </w:pPr>
      <w:r>
        <w:t xml:space="preserve">Para dúvidas sobre este processo de publicação, contactar a pessoa/equipa responsável pela manutenção técnica da aplicação.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2026-07-24T09:02:27.022Z</dcterms:created>
  <dcterms:modified xsi:type="dcterms:W3CDTF">2026-07-24T09:02:27.022Z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