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6ED7" w14:textId="61E54A25" w:rsidR="005211F1" w:rsidRPr="00B74AA0" w:rsidRDefault="00B74AA0" w:rsidP="00B74AA0">
      <w:pPr>
        <w:pStyle w:val="NoSpacing"/>
        <w:rPr>
          <w:b/>
          <w:bCs/>
          <w:lang w:val="pt-BR"/>
        </w:rPr>
      </w:pPr>
      <w:r w:rsidRPr="00B74AA0">
        <w:rPr>
          <w:b/>
          <w:bCs/>
          <w:lang w:val="pt-BR"/>
        </w:rPr>
        <w:t>Carolina Carvalho Manhães Leite</w:t>
      </w:r>
      <w:r w:rsidR="0061693F" w:rsidRPr="00B74AA0">
        <w:rPr>
          <w:b/>
          <w:bCs/>
          <w:lang w:val="pt-BR"/>
        </w:rPr>
        <w:t xml:space="preserve"> (</w:t>
      </w:r>
      <w:r w:rsidRPr="00B74AA0">
        <w:rPr>
          <w:b/>
          <w:bCs/>
          <w:lang w:val="pt-BR"/>
        </w:rPr>
        <w:t>leite2</w:t>
      </w:r>
      <w:r w:rsidR="0061693F" w:rsidRPr="00B74AA0">
        <w:rPr>
          <w:b/>
          <w:bCs/>
          <w:lang w:val="pt-BR"/>
        </w:rPr>
        <w:t>)</w:t>
      </w:r>
    </w:p>
    <w:p w14:paraId="730508B1" w14:textId="2C1AE82B" w:rsidR="0061693F" w:rsidRDefault="0061693F" w:rsidP="00B74AA0">
      <w:pPr>
        <w:pStyle w:val="NoSpacing"/>
        <w:rPr>
          <w:b/>
          <w:bCs/>
        </w:rPr>
      </w:pPr>
      <w:r w:rsidRPr="00B74AA0">
        <w:rPr>
          <w:b/>
          <w:bCs/>
        </w:rPr>
        <w:t>IE598 MLF F1</w:t>
      </w:r>
      <w:r w:rsidR="00B74AA0" w:rsidRPr="00B74AA0">
        <w:rPr>
          <w:b/>
          <w:bCs/>
        </w:rPr>
        <w:t>9</w:t>
      </w:r>
    </w:p>
    <w:p w14:paraId="636BECE5" w14:textId="0C7A088E" w:rsidR="00A45D45" w:rsidRPr="00B74AA0" w:rsidRDefault="00A45D45" w:rsidP="00A45D45">
      <w:pPr>
        <w:pStyle w:val="NoSpacing"/>
        <w:rPr>
          <w:b/>
          <w:bCs/>
        </w:rPr>
      </w:pPr>
      <w:r>
        <w:rPr>
          <w:b/>
          <w:bCs/>
        </w:rPr>
        <w:t>10/1</w:t>
      </w:r>
      <w:r w:rsidR="005E46ED">
        <w:rPr>
          <w:b/>
          <w:bCs/>
        </w:rPr>
        <w:t>7</w:t>
      </w:r>
      <w:r>
        <w:rPr>
          <w:b/>
          <w:bCs/>
        </w:rPr>
        <w:t>/2019</w:t>
      </w:r>
    </w:p>
    <w:p w14:paraId="232B5F4B" w14:textId="48F754B9" w:rsidR="0061693F" w:rsidRDefault="0061693F" w:rsidP="00B74AA0">
      <w:pPr>
        <w:pStyle w:val="NoSpacing"/>
        <w:rPr>
          <w:b/>
          <w:bCs/>
        </w:rPr>
      </w:pPr>
      <w:r w:rsidRPr="00B74AA0">
        <w:rPr>
          <w:b/>
          <w:bCs/>
        </w:rPr>
        <w:t xml:space="preserve">Module </w:t>
      </w:r>
      <w:r w:rsidR="005E46ED">
        <w:rPr>
          <w:b/>
          <w:bCs/>
        </w:rPr>
        <w:t xml:space="preserve">3 </w:t>
      </w:r>
      <w:r w:rsidRPr="00B74AA0">
        <w:rPr>
          <w:b/>
          <w:bCs/>
        </w:rPr>
        <w:t>Homework (</w:t>
      </w:r>
      <w:r w:rsidR="005E46ED">
        <w:rPr>
          <w:b/>
          <w:bCs/>
        </w:rPr>
        <w:t>EDA</w:t>
      </w:r>
      <w:r w:rsidRPr="00B74AA0">
        <w:rPr>
          <w:b/>
          <w:bCs/>
        </w:rPr>
        <w:t>)</w:t>
      </w:r>
    </w:p>
    <w:p w14:paraId="51F396CA" w14:textId="2247FCB4" w:rsidR="0061693F" w:rsidRDefault="0061693F">
      <w:pPr>
        <w:pBdr>
          <w:bottom w:val="single" w:sz="6" w:space="1" w:color="auto"/>
        </w:pBdr>
      </w:pPr>
    </w:p>
    <w:p w14:paraId="1309515E" w14:textId="77777777" w:rsidR="00B74AA0" w:rsidRPr="00B74AA0" w:rsidRDefault="00B74AA0" w:rsidP="00A012A7">
      <w:pPr>
        <w:rPr>
          <w:sz w:val="10"/>
          <w:szCs w:val="10"/>
        </w:rPr>
      </w:pPr>
    </w:p>
    <w:p w14:paraId="11E6DC7D" w14:textId="77777777" w:rsidR="005E46ED" w:rsidRPr="005E46ED" w:rsidRDefault="005E46ED" w:rsidP="005E46ED">
      <w:pPr>
        <w:spacing w:after="0" w:line="240" w:lineRule="auto"/>
      </w:pPr>
      <w:r w:rsidRPr="005E46ED">
        <w:t>Perform an exploratory data analysis (EDA) on the "High Yield Corporate Bond" dataset.  Use the code listings presented in Bowles Chapter 2 to guide you.</w:t>
      </w:r>
    </w:p>
    <w:p w14:paraId="16524367" w14:textId="77777777" w:rsidR="005E46ED" w:rsidRDefault="005E46ED" w:rsidP="00A012A7">
      <w:pPr>
        <w:pBdr>
          <w:bottom w:val="single" w:sz="6" w:space="1" w:color="auto"/>
        </w:pBdr>
        <w:rPr>
          <w:b/>
        </w:rPr>
      </w:pPr>
    </w:p>
    <w:p w14:paraId="1028EC51" w14:textId="033DC654" w:rsidR="005E46ED" w:rsidRDefault="005E46ED" w:rsidP="00A012A7">
      <w:r>
        <w:t>The first analysis I performed were to count the number of rows and columns of the dataset (we have 2.721 rows and 37 columns). Following this step, I obtained the names of the variables:</w:t>
      </w:r>
    </w:p>
    <w:p w14:paraId="53C10575"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CUSIP</w:t>
      </w:r>
    </w:p>
    <w:p w14:paraId="2EFB4075"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Ticker</w:t>
      </w:r>
    </w:p>
    <w:p w14:paraId="77E49201"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Issue Date</w:t>
      </w:r>
    </w:p>
    <w:p w14:paraId="16C237D6"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Maturity</w:t>
      </w:r>
    </w:p>
    <w:p w14:paraId="33E4CFCE"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1st Call Date</w:t>
      </w:r>
    </w:p>
    <w:p w14:paraId="6C04DB1D"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Moodys</w:t>
      </w:r>
      <w:proofErr w:type="spellEnd"/>
    </w:p>
    <w:p w14:paraId="1156DA1B"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S_and_P</w:t>
      </w:r>
      <w:proofErr w:type="spellEnd"/>
    </w:p>
    <w:p w14:paraId="4BF9E6F2"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Fitch</w:t>
      </w:r>
    </w:p>
    <w:p w14:paraId="4D1DA10A"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Bloomberg Composite Rating</w:t>
      </w:r>
    </w:p>
    <w:p w14:paraId="04B7CF48"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Coupon</w:t>
      </w:r>
    </w:p>
    <w:p w14:paraId="1A97BE0C"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Issued Amount</w:t>
      </w:r>
    </w:p>
    <w:p w14:paraId="4A629160"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Maturity Type</w:t>
      </w:r>
    </w:p>
    <w:p w14:paraId="426FE07F"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Coupon Type</w:t>
      </w:r>
    </w:p>
    <w:p w14:paraId="5904530F"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Maturity At Issue months</w:t>
      </w:r>
    </w:p>
    <w:p w14:paraId="15F34802"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Industry</w:t>
      </w:r>
    </w:p>
    <w:p w14:paraId="311E3B3C"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LiquidityScore</w:t>
      </w:r>
      <w:proofErr w:type="spellEnd"/>
    </w:p>
    <w:p w14:paraId="6FD343B6"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Months in JNK</w:t>
      </w:r>
    </w:p>
    <w:p w14:paraId="16D991EF"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Months in HYG</w:t>
      </w:r>
    </w:p>
    <w:p w14:paraId="33C03832"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Months in Both</w:t>
      </w:r>
    </w:p>
    <w:p w14:paraId="70389CBE"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IN_ETF</w:t>
      </w:r>
    </w:p>
    <w:p w14:paraId="46E22946"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r w:rsidRPr="005E46ED">
        <w:t>LIQ SCORE</w:t>
      </w:r>
    </w:p>
    <w:p w14:paraId="6D562CD5"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n_trades</w:t>
      </w:r>
      <w:proofErr w:type="spellEnd"/>
    </w:p>
    <w:p w14:paraId="1E02CF62"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volume_trades</w:t>
      </w:r>
      <w:proofErr w:type="spellEnd"/>
    </w:p>
    <w:p w14:paraId="6CDA9A92"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total_median_size</w:t>
      </w:r>
      <w:proofErr w:type="spellEnd"/>
    </w:p>
    <w:p w14:paraId="1968C72E"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total_mean_size</w:t>
      </w:r>
      <w:proofErr w:type="spellEnd"/>
    </w:p>
    <w:p w14:paraId="63ADF82A"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n_days_trade</w:t>
      </w:r>
      <w:proofErr w:type="spellEnd"/>
    </w:p>
    <w:p w14:paraId="241655E6"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days_diff_max</w:t>
      </w:r>
      <w:proofErr w:type="spellEnd"/>
    </w:p>
    <w:p w14:paraId="07EA2EF3"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percent_intra_dealer</w:t>
      </w:r>
      <w:proofErr w:type="spellEnd"/>
    </w:p>
    <w:p w14:paraId="3E17E450"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percent_uncapped</w:t>
      </w:r>
      <w:proofErr w:type="spellEnd"/>
    </w:p>
    <w:p w14:paraId="359EA834"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bond_type</w:t>
      </w:r>
      <w:proofErr w:type="spellEnd"/>
    </w:p>
    <w:p w14:paraId="22A7B63F"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Client_Trade_Percentage</w:t>
      </w:r>
      <w:proofErr w:type="spellEnd"/>
    </w:p>
    <w:p w14:paraId="1707632F"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weekly_mean_volume</w:t>
      </w:r>
      <w:proofErr w:type="spellEnd"/>
    </w:p>
    <w:p w14:paraId="1174C2D1"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weekly_median_volume</w:t>
      </w:r>
      <w:proofErr w:type="spellEnd"/>
    </w:p>
    <w:p w14:paraId="47627D01"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weekly_max_volume</w:t>
      </w:r>
      <w:proofErr w:type="spellEnd"/>
    </w:p>
    <w:p w14:paraId="2862683B"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lastRenderedPageBreak/>
        <w:t>weekly_min_volume</w:t>
      </w:r>
      <w:proofErr w:type="spellEnd"/>
    </w:p>
    <w:p w14:paraId="6245633E"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weekly_mean_ntrades</w:t>
      </w:r>
      <w:proofErr w:type="spellEnd"/>
    </w:p>
    <w:p w14:paraId="1AFD2A20" w14:textId="77777777" w:rsidR="005E46ED" w:rsidRPr="005E46ED" w:rsidRDefault="005E46ED" w:rsidP="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pPr>
      <w:proofErr w:type="spellStart"/>
      <w:r w:rsidRPr="005E46ED">
        <w:t>weekly_median_ntrades</w:t>
      </w:r>
      <w:proofErr w:type="spellEnd"/>
    </w:p>
    <w:p w14:paraId="1D6A98B0" w14:textId="77777777" w:rsidR="005E46ED" w:rsidRDefault="005E46ED" w:rsidP="00A012A7"/>
    <w:p w14:paraId="6B903B14" w14:textId="33452AFA" w:rsidR="005E46ED" w:rsidRDefault="005E46ED" w:rsidP="00A012A7">
      <w:r>
        <w:t>From those names we can already predict some behaviors</w:t>
      </w:r>
      <w:r w:rsidR="00131582">
        <w:t>. Let’s see if these hypothesis hold:</w:t>
      </w:r>
    </w:p>
    <w:p w14:paraId="3543C789" w14:textId="5B906464" w:rsidR="005E46ED" w:rsidRDefault="005E46ED" w:rsidP="005E46ED">
      <w:pPr>
        <w:pStyle w:val="ListParagraph"/>
        <w:numPr>
          <w:ilvl w:val="0"/>
          <w:numId w:val="2"/>
        </w:numPr>
      </w:pPr>
      <w:r>
        <w:t>Some features with high correlation (all of the “</w:t>
      </w:r>
      <w:proofErr w:type="spellStart"/>
      <w:r>
        <w:t>weekly_volume</w:t>
      </w:r>
      <w:proofErr w:type="spellEnd"/>
      <w:r>
        <w:t>” variables amongst each other, with the same happening for “</w:t>
      </w:r>
      <w:proofErr w:type="spellStart"/>
      <w:r>
        <w:t>total_size</w:t>
      </w:r>
      <w:proofErr w:type="spellEnd"/>
      <w:r>
        <w:t>” and “LIQ SCORE” vs “</w:t>
      </w:r>
      <w:proofErr w:type="spellStart"/>
      <w:r>
        <w:t>LiquidityScore</w:t>
      </w:r>
      <w:proofErr w:type="spellEnd"/>
      <w:r>
        <w:t>”;</w:t>
      </w:r>
    </w:p>
    <w:p w14:paraId="7DFF35B4" w14:textId="77777777" w:rsidR="00131582" w:rsidRDefault="005E46ED" w:rsidP="00131582">
      <w:pPr>
        <w:pStyle w:val="ListParagraph"/>
        <w:numPr>
          <w:ilvl w:val="0"/>
          <w:numId w:val="2"/>
        </w:numPr>
      </w:pPr>
      <w:r>
        <w:t>Even though some features are represented by integers, they behave like categorical variables (</w:t>
      </w:r>
      <w:proofErr w:type="spellStart"/>
      <w:r>
        <w:t>bond_type</w:t>
      </w:r>
      <w:proofErr w:type="spellEnd"/>
      <w:r>
        <w:t>)</w:t>
      </w:r>
    </w:p>
    <w:p w14:paraId="2C1CA71B" w14:textId="2BE0C30E" w:rsidR="00131582" w:rsidRDefault="00131582" w:rsidP="00131582">
      <w:pPr>
        <w:jc w:val="both"/>
      </w:pPr>
      <w:r>
        <w:t>I also noticed we have a few variables with ratings attributed by different agencies. Imagining that, in the future, this dataset may be the source of information for some model predicting those ratings, I aggregated the Rating Bloomberg (which is some sort of combination of the others) in fewer classes: AAA/AA/A, BBB/BB/B, CCC/CC/C, DDD/DD/D and Others. Calculating their frequencies:</w:t>
      </w:r>
    </w:p>
    <w:p w14:paraId="68A7A8CE" w14:textId="77777777" w:rsidR="00131582" w:rsidRPr="00131582" w:rsidRDefault="00131582" w:rsidP="00131582">
      <w:pPr>
        <w:rPr>
          <w:sz w:val="4"/>
          <w:szCs w:val="4"/>
        </w:rPr>
      </w:pPr>
    </w:p>
    <w:tbl>
      <w:tblPr>
        <w:tblStyle w:val="TableGrid"/>
        <w:tblW w:w="0" w:type="auto"/>
        <w:jc w:val="center"/>
        <w:tblLook w:val="04A0" w:firstRow="1" w:lastRow="0" w:firstColumn="1" w:lastColumn="0" w:noHBand="0" w:noVBand="1"/>
      </w:tblPr>
      <w:tblGrid>
        <w:gridCol w:w="2613"/>
        <w:gridCol w:w="2068"/>
        <w:gridCol w:w="2068"/>
      </w:tblGrid>
      <w:tr w:rsidR="00131582" w14:paraId="7D1DBC67" w14:textId="1CF747C1" w:rsidTr="007D76F3">
        <w:trPr>
          <w:trHeight w:val="262"/>
          <w:jc w:val="center"/>
        </w:trPr>
        <w:tc>
          <w:tcPr>
            <w:tcW w:w="2613" w:type="dxa"/>
          </w:tcPr>
          <w:p w14:paraId="3BA4DE42" w14:textId="710951FE" w:rsidR="00131582" w:rsidRPr="00131582" w:rsidRDefault="00131582" w:rsidP="00131582">
            <w:pPr>
              <w:jc w:val="center"/>
              <w:rPr>
                <w:b/>
                <w:bCs/>
              </w:rPr>
            </w:pPr>
            <w:r w:rsidRPr="00131582">
              <w:rPr>
                <w:b/>
                <w:bCs/>
              </w:rPr>
              <w:t>Rating (Aggregated)</w:t>
            </w:r>
          </w:p>
        </w:tc>
        <w:tc>
          <w:tcPr>
            <w:tcW w:w="2068" w:type="dxa"/>
          </w:tcPr>
          <w:p w14:paraId="3EEF4B04" w14:textId="59B76E90" w:rsidR="00131582" w:rsidRPr="00131582" w:rsidRDefault="00131582" w:rsidP="00131582">
            <w:pPr>
              <w:jc w:val="center"/>
              <w:rPr>
                <w:b/>
                <w:bCs/>
              </w:rPr>
            </w:pPr>
            <w:r w:rsidRPr="00131582">
              <w:rPr>
                <w:b/>
                <w:bCs/>
              </w:rPr>
              <w:t>Frequency (# obs)</w:t>
            </w:r>
          </w:p>
        </w:tc>
        <w:tc>
          <w:tcPr>
            <w:tcW w:w="2068" w:type="dxa"/>
          </w:tcPr>
          <w:p w14:paraId="5588717B" w14:textId="2D717258" w:rsidR="00131582" w:rsidRPr="00131582" w:rsidRDefault="00131582" w:rsidP="00131582">
            <w:pPr>
              <w:jc w:val="center"/>
              <w:rPr>
                <w:b/>
                <w:bCs/>
              </w:rPr>
            </w:pPr>
            <w:r>
              <w:rPr>
                <w:b/>
                <w:bCs/>
              </w:rPr>
              <w:t>Frequency (%)</w:t>
            </w:r>
          </w:p>
        </w:tc>
      </w:tr>
      <w:tr w:rsidR="00131582" w14:paraId="301E7A63" w14:textId="6E7668A0" w:rsidTr="007D76F3">
        <w:trPr>
          <w:trHeight w:val="262"/>
          <w:jc w:val="center"/>
        </w:trPr>
        <w:tc>
          <w:tcPr>
            <w:tcW w:w="2613" w:type="dxa"/>
          </w:tcPr>
          <w:p w14:paraId="78D1C775" w14:textId="513C8502" w:rsidR="00131582" w:rsidRDefault="00131582" w:rsidP="00131582">
            <w:pPr>
              <w:jc w:val="center"/>
            </w:pPr>
            <w:r>
              <w:t>AAA/AA/A (1 in the code)</w:t>
            </w:r>
          </w:p>
        </w:tc>
        <w:tc>
          <w:tcPr>
            <w:tcW w:w="2068" w:type="dxa"/>
          </w:tcPr>
          <w:p w14:paraId="22DDC014" w14:textId="4FC9DB9C" w:rsidR="00131582" w:rsidRDefault="00131582" w:rsidP="00131582">
            <w:pPr>
              <w:jc w:val="center"/>
            </w:pPr>
            <w:r>
              <w:t>139</w:t>
            </w:r>
          </w:p>
        </w:tc>
        <w:tc>
          <w:tcPr>
            <w:tcW w:w="2068" w:type="dxa"/>
          </w:tcPr>
          <w:p w14:paraId="4F98C65F" w14:textId="7E6BBFBF" w:rsidR="00131582" w:rsidRDefault="00131582" w:rsidP="00131582">
            <w:pPr>
              <w:jc w:val="center"/>
            </w:pPr>
            <w:r>
              <w:t>5.1%</w:t>
            </w:r>
          </w:p>
        </w:tc>
      </w:tr>
      <w:tr w:rsidR="00131582" w14:paraId="5B6BDDFE" w14:textId="32FF1B48" w:rsidTr="007D76F3">
        <w:trPr>
          <w:trHeight w:val="262"/>
          <w:jc w:val="center"/>
        </w:trPr>
        <w:tc>
          <w:tcPr>
            <w:tcW w:w="2613" w:type="dxa"/>
          </w:tcPr>
          <w:p w14:paraId="1C49E782" w14:textId="0390FCE2" w:rsidR="00131582" w:rsidRDefault="00131582" w:rsidP="00131582">
            <w:pPr>
              <w:jc w:val="center"/>
            </w:pPr>
            <w:r>
              <w:t>BBB/BB/B (2 in the code)</w:t>
            </w:r>
          </w:p>
        </w:tc>
        <w:tc>
          <w:tcPr>
            <w:tcW w:w="2068" w:type="dxa"/>
          </w:tcPr>
          <w:p w14:paraId="5A431AE6" w14:textId="7DF77F15" w:rsidR="00131582" w:rsidRDefault="00131582" w:rsidP="00131582">
            <w:pPr>
              <w:jc w:val="center"/>
            </w:pPr>
            <w:r>
              <w:t>1230</w:t>
            </w:r>
          </w:p>
        </w:tc>
        <w:tc>
          <w:tcPr>
            <w:tcW w:w="2068" w:type="dxa"/>
          </w:tcPr>
          <w:p w14:paraId="7FC65ACA" w14:textId="257ECA57" w:rsidR="00131582" w:rsidRDefault="00131582" w:rsidP="00131582">
            <w:pPr>
              <w:jc w:val="center"/>
            </w:pPr>
            <w:r>
              <w:t>45.2%</w:t>
            </w:r>
          </w:p>
        </w:tc>
      </w:tr>
      <w:tr w:rsidR="00131582" w14:paraId="2B012C8E" w14:textId="7795FC14" w:rsidTr="007D76F3">
        <w:trPr>
          <w:trHeight w:val="262"/>
          <w:jc w:val="center"/>
        </w:trPr>
        <w:tc>
          <w:tcPr>
            <w:tcW w:w="2613" w:type="dxa"/>
          </w:tcPr>
          <w:p w14:paraId="54303D74" w14:textId="6462F05D" w:rsidR="00131582" w:rsidRDefault="00131582" w:rsidP="00131582">
            <w:pPr>
              <w:jc w:val="center"/>
            </w:pPr>
            <w:r>
              <w:t>CCC/CC/C (3 in the code)</w:t>
            </w:r>
          </w:p>
        </w:tc>
        <w:tc>
          <w:tcPr>
            <w:tcW w:w="2068" w:type="dxa"/>
          </w:tcPr>
          <w:p w14:paraId="59B25F5C" w14:textId="526829D3" w:rsidR="00131582" w:rsidRDefault="00131582" w:rsidP="00131582">
            <w:pPr>
              <w:jc w:val="center"/>
            </w:pPr>
            <w:r>
              <w:t>171</w:t>
            </w:r>
          </w:p>
        </w:tc>
        <w:tc>
          <w:tcPr>
            <w:tcW w:w="2068" w:type="dxa"/>
          </w:tcPr>
          <w:p w14:paraId="4FF47F7B" w14:textId="23E314FC" w:rsidR="00131582" w:rsidRDefault="00131582" w:rsidP="00131582">
            <w:pPr>
              <w:jc w:val="center"/>
            </w:pPr>
            <w:r>
              <w:t>6.3%</w:t>
            </w:r>
          </w:p>
        </w:tc>
      </w:tr>
      <w:tr w:rsidR="00131582" w14:paraId="555AA3F1" w14:textId="71CB6108" w:rsidTr="007D76F3">
        <w:trPr>
          <w:trHeight w:val="262"/>
          <w:jc w:val="center"/>
        </w:trPr>
        <w:tc>
          <w:tcPr>
            <w:tcW w:w="2613" w:type="dxa"/>
          </w:tcPr>
          <w:p w14:paraId="67171F25" w14:textId="7D0F20CF" w:rsidR="00131582" w:rsidRDefault="00131582" w:rsidP="00131582">
            <w:pPr>
              <w:jc w:val="center"/>
            </w:pPr>
            <w:r>
              <w:t>DDD/DD/D (4 in the code)</w:t>
            </w:r>
          </w:p>
        </w:tc>
        <w:tc>
          <w:tcPr>
            <w:tcW w:w="2068" w:type="dxa"/>
          </w:tcPr>
          <w:p w14:paraId="7D12CD4B" w14:textId="01196E94" w:rsidR="00131582" w:rsidRDefault="00131582" w:rsidP="00131582">
            <w:pPr>
              <w:jc w:val="center"/>
            </w:pPr>
            <w:r>
              <w:t>4</w:t>
            </w:r>
          </w:p>
        </w:tc>
        <w:tc>
          <w:tcPr>
            <w:tcW w:w="2068" w:type="dxa"/>
          </w:tcPr>
          <w:p w14:paraId="22565776" w14:textId="07099C87" w:rsidR="00131582" w:rsidRDefault="00131582" w:rsidP="00131582">
            <w:pPr>
              <w:jc w:val="center"/>
            </w:pPr>
            <w:r>
              <w:t>0.1%</w:t>
            </w:r>
          </w:p>
        </w:tc>
      </w:tr>
      <w:tr w:rsidR="00131582" w14:paraId="75A441C3" w14:textId="6565FE8A" w:rsidTr="007D76F3">
        <w:trPr>
          <w:trHeight w:val="242"/>
          <w:jc w:val="center"/>
        </w:trPr>
        <w:tc>
          <w:tcPr>
            <w:tcW w:w="2613" w:type="dxa"/>
          </w:tcPr>
          <w:p w14:paraId="11502B65" w14:textId="4064DEBA" w:rsidR="00131582" w:rsidRDefault="00131582" w:rsidP="00131582">
            <w:pPr>
              <w:jc w:val="center"/>
            </w:pPr>
            <w:r>
              <w:t>Others (5 in the code)</w:t>
            </w:r>
          </w:p>
        </w:tc>
        <w:tc>
          <w:tcPr>
            <w:tcW w:w="2068" w:type="dxa"/>
          </w:tcPr>
          <w:p w14:paraId="4B9D892C" w14:textId="625EF0E8" w:rsidR="00131582" w:rsidRDefault="00131582" w:rsidP="00131582">
            <w:pPr>
              <w:jc w:val="center"/>
            </w:pPr>
            <w:r>
              <w:t>1177</w:t>
            </w:r>
          </w:p>
        </w:tc>
        <w:tc>
          <w:tcPr>
            <w:tcW w:w="2068" w:type="dxa"/>
          </w:tcPr>
          <w:p w14:paraId="14E2E893" w14:textId="1222319C" w:rsidR="00131582" w:rsidRDefault="00131582" w:rsidP="00131582">
            <w:pPr>
              <w:jc w:val="center"/>
            </w:pPr>
            <w:r>
              <w:t>43.3%</w:t>
            </w:r>
          </w:p>
        </w:tc>
      </w:tr>
    </w:tbl>
    <w:p w14:paraId="5EF42067" w14:textId="287D0B43" w:rsidR="00131582" w:rsidRDefault="00131582" w:rsidP="00131582"/>
    <w:p w14:paraId="6025E487" w14:textId="5AAFF493" w:rsidR="00131582" w:rsidRDefault="00131582" w:rsidP="00131582">
      <w:pPr>
        <w:jc w:val="both"/>
      </w:pPr>
      <w:r>
        <w:t>If we were to actually fit a model we’d have to better analyze the number of missing values in the target variable; “others” (</w:t>
      </w:r>
      <w:r>
        <w:t>“Nan” and “NR</w:t>
      </w:r>
      <w:r>
        <w:t>”) makes up for almost half of the sample. For our purposes here, I’ll let them stay in our dataset.</w:t>
      </w:r>
    </w:p>
    <w:p w14:paraId="2B4692BB" w14:textId="473963C8" w:rsidR="00131582" w:rsidRDefault="00131582" w:rsidP="00131582">
      <w:pPr>
        <w:jc w:val="both"/>
      </w:pPr>
      <w:r>
        <w:t xml:space="preserve">Following this step, I performed some descriptive analysis of the variables in our dataset; for the continuous ones, the method “describe” calculated means, medians, quartiles, max and min and, for the categorical ones, </w:t>
      </w:r>
      <w:r w:rsidR="004414FF">
        <w:t>the number of unique values and the domain with the higher frequency. Those tables can help us see if the data have very different ranges (which could lead to some future standardization process if we’re thinking about using PCA, Logistic Regression or other technique better handled with normalized data). We can also look for outliers, given the maximum and minimum values for each attribute. Since it’s an exhaustive search I won’t display all of the results here in the report (they’re in my code, though), but some conclusions we can draw from it are:</w:t>
      </w:r>
    </w:p>
    <w:p w14:paraId="7FB5B9D5" w14:textId="36AD9C9E" w:rsidR="004414FF" w:rsidRDefault="004414FF" w:rsidP="004414FF">
      <w:pPr>
        <w:pStyle w:val="ListParagraph"/>
        <w:numPr>
          <w:ilvl w:val="0"/>
          <w:numId w:val="3"/>
        </w:numPr>
        <w:jc w:val="both"/>
      </w:pPr>
      <w:r>
        <w:t>The variable “CUSIP” has 2721 unique values (exactly the same number of rows of the whole dataset). It means this is probably an index and should not be considered while fitting a model (variables like these would dangerously make up for “perfect features” in terms of discriminating classes… after all they’re different for each one of the observations);</w:t>
      </w:r>
    </w:p>
    <w:p w14:paraId="769B911B" w14:textId="71F8CFE4" w:rsidR="004414FF" w:rsidRDefault="004414FF" w:rsidP="004414FF">
      <w:pPr>
        <w:pStyle w:val="ListParagraph"/>
        <w:numPr>
          <w:ilvl w:val="0"/>
          <w:numId w:val="3"/>
        </w:numPr>
        <w:jc w:val="both"/>
      </w:pPr>
      <w:r>
        <w:t>Some variables have special missing values ( “Maturity” is supposed to be a date, but it has “Nan Field Not Applicable” as one of its domains). This illustrates the fact that not all missing values are actually “missing”: they can be represented by special domains.</w:t>
      </w:r>
    </w:p>
    <w:p w14:paraId="6DA5DCF1" w14:textId="7E46FFC6" w:rsidR="004414FF" w:rsidRDefault="004414FF" w:rsidP="004414FF">
      <w:pPr>
        <w:jc w:val="both"/>
      </w:pPr>
    </w:p>
    <w:p w14:paraId="04CF4A1E" w14:textId="6611D5C4" w:rsidR="004414FF" w:rsidRDefault="004414FF" w:rsidP="004414FF">
      <w:pPr>
        <w:jc w:val="both"/>
      </w:pPr>
      <w:r>
        <w:lastRenderedPageBreak/>
        <w:t>We can also compute the correlation matrix and display it as a heatmap:</w:t>
      </w:r>
    </w:p>
    <w:p w14:paraId="5542A0B6" w14:textId="50B25E8E" w:rsidR="004414FF" w:rsidRDefault="004414FF" w:rsidP="004414FF">
      <w:pPr>
        <w:jc w:val="both"/>
      </w:pPr>
      <w:r>
        <w:rPr>
          <w:noProof/>
        </w:rPr>
        <w:drawing>
          <wp:inline distT="0" distB="0" distL="0" distR="0" wp14:anchorId="65E26120" wp14:editId="1665C5D4">
            <wp:extent cx="5943600" cy="57194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8 at 12.00.06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19445"/>
                    </a:xfrm>
                    <a:prstGeom prst="rect">
                      <a:avLst/>
                    </a:prstGeom>
                  </pic:spPr>
                </pic:pic>
              </a:graphicData>
            </a:graphic>
          </wp:inline>
        </w:drawing>
      </w:r>
    </w:p>
    <w:p w14:paraId="528003A1" w14:textId="31820A31" w:rsidR="00131582" w:rsidRDefault="00327634" w:rsidP="00327634">
      <w:pPr>
        <w:jc w:val="both"/>
      </w:pPr>
      <w:r>
        <w:t>Very light colors and very dark ones represent high positive and negative linear correlations, respectively. As expected, the main diagonal has the correlations of the variables with themselves (i.e., 1); we also can see that the variables of the same “type/idea” (like “</w:t>
      </w:r>
      <w:proofErr w:type="spellStart"/>
      <w:r>
        <w:t>total_size</w:t>
      </w:r>
      <w:proofErr w:type="spellEnd"/>
      <w:r>
        <w:t>”) have higher correlations. Another thing we can infer from the plot is that, actually, none of the features have a very high correlation with the target I created (“</w:t>
      </w:r>
      <w:proofErr w:type="spellStart"/>
      <w:r>
        <w:t>Rating_Bloomberg</w:t>
      </w:r>
      <w:proofErr w:type="spellEnd"/>
      <w:r>
        <w:t xml:space="preserve">”); we can see that the last row is predominantly pink (the middle of the scale). It doesn’t necessarily mean that there’s no relation at all between the </w:t>
      </w:r>
      <w:proofErr w:type="spellStart"/>
      <w:r>
        <w:t>feaures</w:t>
      </w:r>
      <w:proofErr w:type="spellEnd"/>
      <w:r>
        <w:t xml:space="preserve"> and the rating, it just means there’s no linear correlation. A tool to help us see if there’re non-linear relationships is the scatterplot matrix. Again, I won’t display all of the combinations here (they’re already in the code), but just from a sample we can infer some conclusions:</w:t>
      </w:r>
    </w:p>
    <w:p w14:paraId="64CDC973" w14:textId="45B61DD7" w:rsidR="00327634" w:rsidRDefault="00327634" w:rsidP="00327634">
      <w:pPr>
        <w:jc w:val="both"/>
      </w:pPr>
    </w:p>
    <w:p w14:paraId="76A38B82" w14:textId="5D92A967" w:rsidR="00327634" w:rsidRDefault="00327634" w:rsidP="00327634">
      <w:pPr>
        <w:jc w:val="both"/>
      </w:pPr>
      <w:r>
        <w:rPr>
          <w:noProof/>
        </w:rPr>
        <w:lastRenderedPageBreak/>
        <w:drawing>
          <wp:inline distT="0" distB="0" distL="0" distR="0" wp14:anchorId="5E79C8A1" wp14:editId="712A8B63">
            <wp:extent cx="5943600" cy="4661535"/>
            <wp:effectExtent l="0" t="0" r="0" b="0"/>
            <wp:docPr id="4" name="Picture 4"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8 at 12.06.4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inline>
        </w:drawing>
      </w:r>
    </w:p>
    <w:p w14:paraId="270F7A7D" w14:textId="17DAE441" w:rsidR="00327634" w:rsidRDefault="00327634" w:rsidP="00131582"/>
    <w:p w14:paraId="43735918" w14:textId="6EDEBFE5" w:rsidR="00327634" w:rsidRDefault="00327634" w:rsidP="00327634">
      <w:pPr>
        <w:pStyle w:val="ListParagraph"/>
        <w:numPr>
          <w:ilvl w:val="0"/>
          <w:numId w:val="4"/>
        </w:numPr>
      </w:pPr>
      <w:r>
        <w:t>“</w:t>
      </w:r>
      <w:proofErr w:type="spellStart"/>
      <w:r>
        <w:t>Rating_Bloomberg</w:t>
      </w:r>
      <w:proofErr w:type="spellEnd"/>
      <w:r>
        <w:t xml:space="preserve">” is actually </w:t>
      </w:r>
      <w:proofErr w:type="spellStart"/>
      <w:r>
        <w:t>splitted</w:t>
      </w:r>
      <w:proofErr w:type="spellEnd"/>
      <w:r>
        <w:t xml:space="preserve"> in the following way: “half B’s and half missing values”. The missing values are a real concern here;</w:t>
      </w:r>
    </w:p>
    <w:p w14:paraId="7274A8C7" w14:textId="036CEE20" w:rsidR="00327634" w:rsidRDefault="00327634" w:rsidP="00327634">
      <w:pPr>
        <w:pStyle w:val="ListParagraph"/>
        <w:numPr>
          <w:ilvl w:val="0"/>
          <w:numId w:val="4"/>
        </w:numPr>
      </w:pPr>
      <w:r>
        <w:t>Coupon seems to have an outlier around 1000: it’s the point standing out in the plot;</w:t>
      </w:r>
    </w:p>
    <w:p w14:paraId="04F7E0CD" w14:textId="7DB0FD67" w:rsidR="00327634" w:rsidRDefault="00327634" w:rsidP="00327634">
      <w:pPr>
        <w:pStyle w:val="ListParagraph"/>
        <w:numPr>
          <w:ilvl w:val="0"/>
          <w:numId w:val="4"/>
        </w:numPr>
      </w:pPr>
      <w:r>
        <w:t>Other variables are presented just like some cloud of data…</w:t>
      </w:r>
    </w:p>
    <w:p w14:paraId="09F65A1F" w14:textId="3C330FD6" w:rsidR="00327634" w:rsidRDefault="00327634" w:rsidP="00327634">
      <w:pPr>
        <w:pStyle w:val="ListParagraph"/>
        <w:numPr>
          <w:ilvl w:val="0"/>
          <w:numId w:val="4"/>
        </w:numPr>
      </w:pPr>
      <w:r>
        <w:t>“</w:t>
      </w:r>
      <w:proofErr w:type="spellStart"/>
      <w:r>
        <w:t>LiquidityScore</w:t>
      </w:r>
      <w:proofErr w:type="spellEnd"/>
      <w:r>
        <w:t>” and “LIQ SCORE” have almost a perfect linear relationship, as expected.</w:t>
      </w:r>
    </w:p>
    <w:p w14:paraId="65DA5164" w14:textId="6CEBEB01" w:rsidR="00327634" w:rsidRDefault="00327634" w:rsidP="00327634"/>
    <w:p w14:paraId="31A385DE" w14:textId="69535CE7" w:rsidR="00327634" w:rsidRDefault="00327634" w:rsidP="00327634"/>
    <w:p w14:paraId="3E200028" w14:textId="6CB2CA22" w:rsidR="00327634" w:rsidRDefault="00327634" w:rsidP="00327634"/>
    <w:p w14:paraId="22015EC2" w14:textId="299CFB3D" w:rsidR="00327634" w:rsidRDefault="00327634" w:rsidP="00327634"/>
    <w:p w14:paraId="065F26EF" w14:textId="0B655527" w:rsidR="00327634" w:rsidRDefault="00327634" w:rsidP="00327634"/>
    <w:p w14:paraId="498060BB" w14:textId="5D0BBC2D" w:rsidR="00327634" w:rsidRDefault="00327634" w:rsidP="00327634"/>
    <w:p w14:paraId="263EE6D0" w14:textId="77777777" w:rsidR="00327634" w:rsidRDefault="00327634" w:rsidP="00327634"/>
    <w:p w14:paraId="61E9D7FE" w14:textId="3F429719" w:rsidR="00327634" w:rsidRDefault="00327634" w:rsidP="00327634">
      <w:r>
        <w:lastRenderedPageBreak/>
        <w:t>Another interesting part of the scatterplot:</w:t>
      </w:r>
    </w:p>
    <w:p w14:paraId="78AB6A41" w14:textId="7D6CAB7B" w:rsidR="00327634" w:rsidRDefault="00327634" w:rsidP="00327634">
      <w:r>
        <w:rPr>
          <w:noProof/>
        </w:rPr>
        <mc:AlternateContent>
          <mc:Choice Requires="wps">
            <w:drawing>
              <wp:anchor distT="0" distB="0" distL="114300" distR="114300" simplePos="0" relativeHeight="251659264" behindDoc="0" locked="0" layoutInCell="1" allowOverlap="1" wp14:anchorId="7EAC27A2" wp14:editId="4CF8D245">
                <wp:simplePos x="0" y="0"/>
                <wp:positionH relativeFrom="column">
                  <wp:posOffset>4165600</wp:posOffset>
                </wp:positionH>
                <wp:positionV relativeFrom="paragraph">
                  <wp:posOffset>285750</wp:posOffset>
                </wp:positionV>
                <wp:extent cx="1778000" cy="914400"/>
                <wp:effectExtent l="0" t="0" r="12700" b="12700"/>
                <wp:wrapNone/>
                <wp:docPr id="6" name="Oval 6"/>
                <wp:cNvGraphicFramePr/>
                <a:graphic xmlns:a="http://schemas.openxmlformats.org/drawingml/2006/main">
                  <a:graphicData uri="http://schemas.microsoft.com/office/word/2010/wordprocessingShape">
                    <wps:wsp>
                      <wps:cNvSpPr/>
                      <wps:spPr>
                        <a:xfrm>
                          <a:off x="0" y="0"/>
                          <a:ext cx="1778000" cy="9144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732694" id="Oval 6" o:spid="_x0000_s1026" style="position:absolute;margin-left:328pt;margin-top:22.5pt;width:140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" filled="f" strokecolor="#c00000" strokeweight="1pt">
                <v:stroke joinstyle="miter"/>
              </v:oval>
            </w:pict>
          </mc:Fallback>
        </mc:AlternateContent>
      </w:r>
    </w:p>
    <w:p w14:paraId="30A0715A" w14:textId="64D93FAD" w:rsidR="00327634" w:rsidRDefault="00327634" w:rsidP="00327634">
      <w:r>
        <w:rPr>
          <w:noProof/>
        </w:rPr>
        <w:drawing>
          <wp:inline distT="0" distB="0" distL="0" distR="0" wp14:anchorId="3B642FC3" wp14:editId="799BE6A3">
            <wp:extent cx="5943600" cy="194818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8 at 12.10.31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p>
    <w:p w14:paraId="39F6F932" w14:textId="77777777" w:rsidR="00327634" w:rsidRDefault="00327634" w:rsidP="00327634"/>
    <w:p w14:paraId="0FA46752" w14:textId="5BFFEA0E" w:rsidR="00327634" w:rsidRDefault="00327634" w:rsidP="00131582">
      <w:r>
        <w:t>The plots circled in red may indicate that those pairs of variables have a</w:t>
      </w:r>
      <w:r w:rsidR="00DF19D2">
        <w:t xml:space="preserve"> “well-behaved” relationship. We could try some transformations to see which one fits the data the best (exponential could be an option).</w:t>
      </w:r>
    </w:p>
    <w:p w14:paraId="77DA7A8B" w14:textId="77777777" w:rsidR="00DF19D2" w:rsidRDefault="00DF19D2" w:rsidP="0061693F">
      <w:pPr>
        <w:rPr>
          <w:b/>
        </w:rPr>
      </w:pPr>
    </w:p>
    <w:p w14:paraId="3B5DE885" w14:textId="648BE08E" w:rsidR="00C67666" w:rsidRPr="00C863FF" w:rsidRDefault="00C67666" w:rsidP="0061693F">
      <w:pPr>
        <w:rPr>
          <w:b/>
        </w:rPr>
      </w:pPr>
      <w:r w:rsidRPr="00C863FF">
        <w:rPr>
          <w:b/>
        </w:rPr>
        <w:t xml:space="preserve">Part </w:t>
      </w:r>
      <w:r w:rsidR="00DF19D2">
        <w:rPr>
          <w:b/>
        </w:rPr>
        <w:t>2</w:t>
      </w:r>
      <w:r w:rsidRPr="00C863FF">
        <w:rPr>
          <w:b/>
        </w:rPr>
        <w:t>: Appendix</w:t>
      </w:r>
    </w:p>
    <w:p w14:paraId="1CFBA042" w14:textId="5EBE5735" w:rsidR="0061693F" w:rsidRDefault="00A91DFD" w:rsidP="00A91DFD">
      <w:r w:rsidRPr="00A91DFD">
        <w:t>https://gith</w:t>
      </w:r>
      <w:bookmarkStart w:id="0" w:name="_GoBack"/>
      <w:bookmarkEnd w:id="0"/>
      <w:r w:rsidRPr="00A91DFD">
        <w:t>ub.com/leiteccml/Carolina_2019/tree/master/IE598_F19_HW</w:t>
      </w:r>
      <w:r w:rsidR="00DF19D2">
        <w:t>3</w:t>
      </w:r>
    </w:p>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09EF"/>
    <w:multiLevelType w:val="hybridMultilevel"/>
    <w:tmpl w:val="7A98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82600"/>
    <w:multiLevelType w:val="hybridMultilevel"/>
    <w:tmpl w:val="ACA26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B4AF7"/>
    <w:multiLevelType w:val="hybridMultilevel"/>
    <w:tmpl w:val="678C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61A96"/>
    <w:multiLevelType w:val="hybridMultilevel"/>
    <w:tmpl w:val="610E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057781"/>
    <w:rsid w:val="00125E57"/>
    <w:rsid w:val="00131582"/>
    <w:rsid w:val="00222E66"/>
    <w:rsid w:val="002A4C92"/>
    <w:rsid w:val="00327634"/>
    <w:rsid w:val="003F10F0"/>
    <w:rsid w:val="00401B83"/>
    <w:rsid w:val="004414FF"/>
    <w:rsid w:val="00484680"/>
    <w:rsid w:val="005211F1"/>
    <w:rsid w:val="0058541F"/>
    <w:rsid w:val="00585F7B"/>
    <w:rsid w:val="005E46ED"/>
    <w:rsid w:val="006060D0"/>
    <w:rsid w:val="0061693F"/>
    <w:rsid w:val="00662DFB"/>
    <w:rsid w:val="007D50A6"/>
    <w:rsid w:val="009B0D88"/>
    <w:rsid w:val="009D2A33"/>
    <w:rsid w:val="00A012A7"/>
    <w:rsid w:val="00A45D45"/>
    <w:rsid w:val="00A7142C"/>
    <w:rsid w:val="00A91DFD"/>
    <w:rsid w:val="00AF4AAA"/>
    <w:rsid w:val="00B040ED"/>
    <w:rsid w:val="00B74AA0"/>
    <w:rsid w:val="00C67666"/>
    <w:rsid w:val="00C863FF"/>
    <w:rsid w:val="00CF2857"/>
    <w:rsid w:val="00D0227D"/>
    <w:rsid w:val="00D22820"/>
    <w:rsid w:val="00DF19D2"/>
    <w:rsid w:val="00E57C05"/>
    <w:rsid w:val="00E6224F"/>
    <w:rsid w:val="00E8000C"/>
    <w:rsid w:val="00EE166D"/>
    <w:rsid w:val="00EE5A93"/>
    <w:rsid w:val="00F257E1"/>
    <w:rsid w:val="00FB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7E30"/>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paragraph" w:styleId="ListParagraph">
    <w:name w:val="List Paragraph"/>
    <w:basedOn w:val="Normal"/>
    <w:uiPriority w:val="34"/>
    <w:qFormat/>
    <w:rsid w:val="00222E66"/>
    <w:pPr>
      <w:ind w:left="720"/>
      <w:contextualSpacing/>
    </w:pPr>
  </w:style>
  <w:style w:type="paragraph" w:styleId="NoSpacing">
    <w:name w:val="No Spacing"/>
    <w:uiPriority w:val="1"/>
    <w:qFormat/>
    <w:rsid w:val="00B74AA0"/>
    <w:pPr>
      <w:spacing w:after="0" w:line="240" w:lineRule="auto"/>
    </w:pPr>
  </w:style>
  <w:style w:type="table" w:styleId="TableGrid">
    <w:name w:val="Table Grid"/>
    <w:basedOn w:val="TableNormal"/>
    <w:uiPriority w:val="39"/>
    <w:rsid w:val="00585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FB"/>
    <w:pPr>
      <w:spacing w:after="200" w:line="240" w:lineRule="auto"/>
    </w:pPr>
    <w:rPr>
      <w:i/>
      <w:iCs/>
      <w:color w:val="44546A" w:themeColor="text2"/>
      <w:sz w:val="18"/>
      <w:szCs w:val="18"/>
    </w:rPr>
  </w:style>
  <w:style w:type="paragraph" w:styleId="NormalWeb">
    <w:name w:val="Normal (Web)"/>
    <w:basedOn w:val="Normal"/>
    <w:uiPriority w:val="99"/>
    <w:semiHidden/>
    <w:unhideWhenUsed/>
    <w:rsid w:val="00EE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5A93"/>
  </w:style>
  <w:style w:type="character" w:styleId="Hyperlink">
    <w:name w:val="Hyperlink"/>
    <w:basedOn w:val="DefaultParagraphFont"/>
    <w:uiPriority w:val="99"/>
    <w:semiHidden/>
    <w:unhideWhenUsed/>
    <w:rsid w:val="00EE5A93"/>
    <w:rPr>
      <w:color w:val="0000FF"/>
      <w:u w:val="single"/>
    </w:rPr>
  </w:style>
  <w:style w:type="paragraph" w:styleId="HTMLPreformatted">
    <w:name w:val="HTML Preformatted"/>
    <w:basedOn w:val="Normal"/>
    <w:link w:val="HTMLPreformattedChar"/>
    <w:uiPriority w:val="99"/>
    <w:semiHidden/>
    <w:unhideWhenUsed/>
    <w:rsid w:val="005E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853">
      <w:bodyDiv w:val="1"/>
      <w:marLeft w:val="0"/>
      <w:marRight w:val="0"/>
      <w:marTop w:val="0"/>
      <w:marBottom w:val="0"/>
      <w:divBdr>
        <w:top w:val="none" w:sz="0" w:space="0" w:color="auto"/>
        <w:left w:val="none" w:sz="0" w:space="0" w:color="auto"/>
        <w:bottom w:val="none" w:sz="0" w:space="0" w:color="auto"/>
        <w:right w:val="none" w:sz="0" w:space="0" w:color="auto"/>
      </w:divBdr>
    </w:div>
    <w:div w:id="616910448">
      <w:bodyDiv w:val="1"/>
      <w:marLeft w:val="0"/>
      <w:marRight w:val="0"/>
      <w:marTop w:val="0"/>
      <w:marBottom w:val="0"/>
      <w:divBdr>
        <w:top w:val="none" w:sz="0" w:space="0" w:color="auto"/>
        <w:left w:val="none" w:sz="0" w:space="0" w:color="auto"/>
        <w:bottom w:val="none" w:sz="0" w:space="0" w:color="auto"/>
        <w:right w:val="none" w:sz="0" w:space="0" w:color="auto"/>
      </w:divBdr>
    </w:div>
    <w:div w:id="1000811783">
      <w:bodyDiv w:val="1"/>
      <w:marLeft w:val="0"/>
      <w:marRight w:val="0"/>
      <w:marTop w:val="0"/>
      <w:marBottom w:val="0"/>
      <w:divBdr>
        <w:top w:val="none" w:sz="0" w:space="0" w:color="auto"/>
        <w:left w:val="none" w:sz="0" w:space="0" w:color="auto"/>
        <w:bottom w:val="none" w:sz="0" w:space="0" w:color="auto"/>
        <w:right w:val="none" w:sz="0" w:space="0" w:color="auto"/>
      </w:divBdr>
    </w:div>
    <w:div w:id="1335646199">
      <w:bodyDiv w:val="1"/>
      <w:marLeft w:val="0"/>
      <w:marRight w:val="0"/>
      <w:marTop w:val="0"/>
      <w:marBottom w:val="0"/>
      <w:divBdr>
        <w:top w:val="none" w:sz="0" w:space="0" w:color="auto"/>
        <w:left w:val="none" w:sz="0" w:space="0" w:color="auto"/>
        <w:bottom w:val="none" w:sz="0" w:space="0" w:color="auto"/>
        <w:right w:val="none" w:sz="0" w:space="0" w:color="auto"/>
      </w:divBdr>
    </w:div>
    <w:div w:id="1342854073">
      <w:bodyDiv w:val="1"/>
      <w:marLeft w:val="0"/>
      <w:marRight w:val="0"/>
      <w:marTop w:val="0"/>
      <w:marBottom w:val="0"/>
      <w:divBdr>
        <w:top w:val="none" w:sz="0" w:space="0" w:color="auto"/>
        <w:left w:val="none" w:sz="0" w:space="0" w:color="auto"/>
        <w:bottom w:val="none" w:sz="0" w:space="0" w:color="auto"/>
        <w:right w:val="none" w:sz="0" w:space="0" w:color="auto"/>
      </w:divBdr>
    </w:div>
    <w:div w:id="1559896760">
      <w:bodyDiv w:val="1"/>
      <w:marLeft w:val="0"/>
      <w:marRight w:val="0"/>
      <w:marTop w:val="0"/>
      <w:marBottom w:val="0"/>
      <w:divBdr>
        <w:top w:val="none" w:sz="0" w:space="0" w:color="auto"/>
        <w:left w:val="none" w:sz="0" w:space="0" w:color="auto"/>
        <w:bottom w:val="none" w:sz="0" w:space="0" w:color="auto"/>
        <w:right w:val="none" w:sz="0" w:space="0" w:color="auto"/>
      </w:divBdr>
    </w:div>
    <w:div w:id="1827359971">
      <w:bodyDiv w:val="1"/>
      <w:marLeft w:val="0"/>
      <w:marRight w:val="0"/>
      <w:marTop w:val="0"/>
      <w:marBottom w:val="0"/>
      <w:divBdr>
        <w:top w:val="none" w:sz="0" w:space="0" w:color="auto"/>
        <w:left w:val="none" w:sz="0" w:space="0" w:color="auto"/>
        <w:bottom w:val="none" w:sz="0" w:space="0" w:color="auto"/>
        <w:right w:val="none" w:sz="0" w:space="0" w:color="auto"/>
      </w:divBdr>
    </w:div>
    <w:div w:id="18796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Carolina Carvalho Manhães Leite</cp:lastModifiedBy>
  <cp:revision>16</cp:revision>
  <cp:lastPrinted>2018-09-26T17:01:00Z</cp:lastPrinted>
  <dcterms:created xsi:type="dcterms:W3CDTF">2018-10-08T19:25:00Z</dcterms:created>
  <dcterms:modified xsi:type="dcterms:W3CDTF">2019-10-18T05:15:00Z</dcterms:modified>
</cp:coreProperties>
</file>