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r>
        <w:rPr>
          <w:rFonts w:hint="eastAsia" w:ascii="黑体" w:hAnsi="黑体" w:eastAsia="黑体"/>
          <w:sz w:val="84"/>
          <w:szCs w:val="84"/>
          <w:lang w:val="en-US" w:eastAsia="zh-CN"/>
        </w:rPr>
        <w:t>软件项目管理</w:t>
      </w:r>
    </w:p>
    <w:p>
      <w:pPr>
        <w:jc w:val="center"/>
        <w:rPr>
          <w:rFonts w:hint="default" w:ascii="黑体" w:hAnsi="黑体" w:eastAsia="黑体"/>
          <w:sz w:val="84"/>
          <w:szCs w:val="84"/>
          <w:lang w:val="en-US" w:eastAsia="zh-CN"/>
        </w:rPr>
      </w:pPr>
      <w:r>
        <w:rPr>
          <w:rFonts w:hint="eastAsia" w:ascii="黑体" w:hAnsi="黑体" w:eastAsia="黑体"/>
          <w:sz w:val="84"/>
          <w:szCs w:val="84"/>
          <w:lang w:val="en-US" w:eastAsia="zh-CN"/>
        </w:rPr>
        <w:t>实验报告</w:t>
      </w:r>
    </w:p>
    <w:p>
      <w:pPr>
        <w:jc w:val="center"/>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班级：</w:t>
      </w: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学号：</w:t>
      </w: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姓名：</w:t>
      </w:r>
      <w:bookmarkStart w:id="0" w:name="_GoBack"/>
      <w:bookmarkEnd w:id="0"/>
    </w:p>
    <w:p>
      <w:pPr>
        <w:jc w:val="center"/>
        <w:rPr>
          <w:rFonts w:hint="eastAsia" w:ascii="黑体" w:hAnsi="黑体" w:eastAsia="黑体"/>
          <w:sz w:val="52"/>
          <w:szCs w:val="52"/>
        </w:rPr>
      </w:pPr>
    </w:p>
    <w:p>
      <w:pPr>
        <w:jc w:val="center"/>
        <w:rPr>
          <w:rFonts w:hint="eastAsia" w:ascii="黑体" w:hAnsi="黑体" w:eastAsia="黑体"/>
          <w:sz w:val="28"/>
          <w:szCs w:val="28"/>
        </w:rPr>
      </w:pPr>
    </w:p>
    <w:p>
      <w:pPr>
        <w:jc w:val="both"/>
        <w:rPr>
          <w:rFonts w:hint="eastAsia"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实 验 授 课 计 划</w:t>
      </w:r>
    </w:p>
    <w:tbl>
      <w:tblPr>
        <w:tblStyle w:val="14"/>
        <w:tblW w:w="9640" w:type="dxa"/>
        <w:tblInd w:w="-6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94"/>
        <w:gridCol w:w="1134"/>
        <w:gridCol w:w="3969"/>
        <w:gridCol w:w="1843"/>
      </w:tblGrid>
      <w:t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实验名称</w:t>
            </w:r>
          </w:p>
        </w:tc>
        <w:tc>
          <w:tcPr>
            <w:tcW w:w="6946" w:type="dxa"/>
            <w:gridSpan w:val="3"/>
            <w:vAlign w:val="center"/>
          </w:tcPr>
          <w:p>
            <w:pPr>
              <w:pStyle w:val="2"/>
              <w:numPr>
                <w:ilvl w:val="0"/>
                <w:numId w:val="0"/>
              </w:numPr>
              <w:adjustRightInd w:val="0"/>
              <w:snapToGrid w:val="0"/>
              <w:spacing w:before="0" w:after="0" w:line="360" w:lineRule="auto"/>
              <w:jc w:val="center"/>
              <w:rPr>
                <w:rFonts w:asciiTheme="minorEastAsia" w:hAnsiTheme="minorEastAsia"/>
                <w:sz w:val="28"/>
                <w:szCs w:val="28"/>
              </w:rPr>
            </w:pPr>
            <w:r>
              <w:rPr>
                <w:rFonts w:hint="eastAsia" w:asciiTheme="minorEastAsia" w:hAnsiTheme="minorEastAsia" w:eastAsiaTheme="minorEastAsia" w:cstheme="minorBidi"/>
                <w:b w:val="0"/>
                <w:kern w:val="2"/>
                <w:sz w:val="28"/>
                <w:szCs w:val="28"/>
                <w:lang w:val="en-US" w:eastAsia="zh-CN" w:bidi="ar-SA"/>
              </w:rPr>
              <w:t>项目资源管理与成本管理</w:t>
            </w:r>
          </w:p>
        </w:tc>
      </w:tr>
      <w:t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实验性质</w:t>
            </w:r>
          </w:p>
          <w:p>
            <w:pPr>
              <w:jc w:val="center"/>
              <w:rPr>
                <w:rFonts w:asciiTheme="minorEastAsia" w:hAnsiTheme="minorEastAsia"/>
                <w:sz w:val="28"/>
                <w:szCs w:val="28"/>
              </w:rPr>
            </w:pPr>
            <w:r>
              <w:rPr>
                <w:rFonts w:hint="eastAsia" w:asciiTheme="minorEastAsia" w:hAnsiTheme="minorEastAsia"/>
                <w:sz w:val="28"/>
                <w:szCs w:val="28"/>
              </w:rPr>
              <w:t>（必修、必选）</w:t>
            </w:r>
          </w:p>
        </w:tc>
        <w:tc>
          <w:tcPr>
            <w:tcW w:w="1134" w:type="dxa"/>
            <w:tcBorders>
              <w:right w:val="single" w:color="auto" w:sz="4" w:space="0"/>
            </w:tcBorders>
            <w:vAlign w:val="center"/>
          </w:tcPr>
          <w:p>
            <w:pPr>
              <w:jc w:val="center"/>
              <w:rPr>
                <w:rFonts w:asciiTheme="minorEastAsia" w:hAnsiTheme="minorEastAsia"/>
                <w:sz w:val="28"/>
                <w:szCs w:val="28"/>
              </w:rPr>
            </w:pPr>
            <w:r>
              <w:rPr>
                <w:rFonts w:hint="eastAsia" w:asciiTheme="minorEastAsia" w:hAnsiTheme="minorEastAsia"/>
                <w:sz w:val="28"/>
                <w:szCs w:val="28"/>
              </w:rPr>
              <w:t>必修</w:t>
            </w:r>
          </w:p>
        </w:tc>
        <w:tc>
          <w:tcPr>
            <w:tcW w:w="3969" w:type="dxa"/>
            <w:tcBorders>
              <w:left w:val="single" w:color="auto" w:sz="4" w:space="0"/>
              <w:right w:val="single" w:color="auto" w:sz="4" w:space="0"/>
            </w:tcBorders>
            <w:vAlign w:val="center"/>
          </w:tcPr>
          <w:p>
            <w:pPr>
              <w:jc w:val="center"/>
              <w:rPr>
                <w:rFonts w:asciiTheme="minorEastAsia" w:hAnsiTheme="minorEastAsia"/>
                <w:sz w:val="28"/>
                <w:szCs w:val="28"/>
              </w:rPr>
            </w:pPr>
            <w:r>
              <w:rPr>
                <w:rFonts w:hint="eastAsia" w:asciiTheme="minorEastAsia" w:hAnsiTheme="minorEastAsia"/>
                <w:sz w:val="28"/>
                <w:szCs w:val="28"/>
              </w:rPr>
              <w:t>实验类型</w:t>
            </w:r>
          </w:p>
          <w:p>
            <w:pPr>
              <w:jc w:val="center"/>
              <w:rPr>
                <w:rFonts w:asciiTheme="minorEastAsia" w:hAnsiTheme="minorEastAsia"/>
                <w:sz w:val="28"/>
                <w:szCs w:val="28"/>
              </w:rPr>
            </w:pPr>
            <w:r>
              <w:rPr>
                <w:rFonts w:hint="eastAsia" w:asciiTheme="minorEastAsia" w:hAnsiTheme="minorEastAsia"/>
                <w:sz w:val="28"/>
                <w:szCs w:val="28"/>
              </w:rPr>
              <w:t>（验证、设计、创新、综合）</w:t>
            </w:r>
          </w:p>
        </w:tc>
        <w:tc>
          <w:tcPr>
            <w:tcW w:w="1843" w:type="dxa"/>
            <w:tcBorders>
              <w:left w:val="single" w:color="auto" w:sz="4" w:space="0"/>
            </w:tcBorders>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验证</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实验课时</w:t>
            </w:r>
          </w:p>
        </w:tc>
        <w:tc>
          <w:tcPr>
            <w:tcW w:w="1134" w:type="dxa"/>
            <w:tcBorders>
              <w:right w:val="single" w:color="auto" w:sz="4" w:space="0"/>
            </w:tcBorders>
          </w:tcPr>
          <w:p>
            <w:pPr>
              <w:jc w:val="cente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2</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实验日期、时间</w:t>
            </w:r>
          </w:p>
        </w:tc>
        <w:tc>
          <w:tcPr>
            <w:tcW w:w="1843" w:type="dxa"/>
            <w:tcBorders>
              <w:left w:val="single" w:color="auto" w:sz="4" w:space="0"/>
            </w:tcBorders>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5月31日</w:t>
            </w:r>
          </w:p>
        </w:tc>
      </w:tr>
      <w:tr>
        <w:trPr>
          <w:trHeight w:val="918"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实验消耗器材</w:t>
            </w:r>
          </w:p>
        </w:tc>
        <w:tc>
          <w:tcPr>
            <w:tcW w:w="6946" w:type="dxa"/>
            <w:gridSpan w:val="3"/>
            <w:vAlign w:val="center"/>
          </w:tcPr>
          <w:p>
            <w:pPr>
              <w:jc w:val="center"/>
              <w:rPr>
                <w:rFonts w:asciiTheme="minorEastAsia" w:hAnsiTheme="minorEastAsia"/>
                <w:sz w:val="28"/>
                <w:szCs w:val="28"/>
              </w:rPr>
            </w:pPr>
          </w:p>
        </w:tc>
      </w:tr>
      <w:t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实验仪器设备</w:t>
            </w:r>
          </w:p>
          <w:p>
            <w:pPr>
              <w:jc w:val="center"/>
              <w:rPr>
                <w:rFonts w:asciiTheme="minorEastAsia" w:hAnsiTheme="minorEastAsia"/>
                <w:sz w:val="28"/>
                <w:szCs w:val="28"/>
              </w:rPr>
            </w:pPr>
            <w:r>
              <w:rPr>
                <w:rFonts w:hint="eastAsia" w:asciiTheme="minorEastAsia" w:hAnsiTheme="minorEastAsia"/>
                <w:sz w:val="28"/>
                <w:szCs w:val="28"/>
              </w:rPr>
              <w:t>（实验软硬件要求）</w:t>
            </w:r>
          </w:p>
        </w:tc>
        <w:tc>
          <w:tcPr>
            <w:tcW w:w="6946" w:type="dxa"/>
            <w:gridSpan w:val="3"/>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rPr>
              <w:t>Windows系统、</w:t>
            </w:r>
            <w:r>
              <w:rPr>
                <w:rFonts w:hint="eastAsia" w:asciiTheme="minorEastAsia" w:hAnsiTheme="minorEastAsia"/>
                <w:sz w:val="28"/>
                <w:szCs w:val="28"/>
                <w:lang w:val="en-US" w:eastAsia="zh-CN"/>
              </w:rPr>
              <w:t>project2016软件</w:t>
            </w:r>
          </w:p>
        </w:tc>
      </w:tr>
      <w:tr>
        <w:trPr>
          <w:trHeight w:val="7370"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实验目的</w:t>
            </w:r>
          </w:p>
        </w:tc>
        <w:tc>
          <w:tcPr>
            <w:tcW w:w="6946" w:type="dxa"/>
            <w:gridSpan w:val="3"/>
          </w:tcPr>
          <w:p>
            <w:pPr>
              <w:jc w:val="both"/>
              <w:rPr>
                <w:rFonts w:hint="eastAsia" w:asciiTheme="minorEastAsia" w:hAnsiTheme="minorEastAsia"/>
                <w:sz w:val="28"/>
                <w:szCs w:val="28"/>
                <w:lang w:val="en-GB"/>
              </w:rPr>
            </w:pPr>
            <w:r>
              <w:rPr>
                <w:rFonts w:hint="eastAsia" w:asciiTheme="minorEastAsia" w:hAnsiTheme="minorEastAsia"/>
                <w:sz w:val="28"/>
                <w:szCs w:val="28"/>
                <w:lang w:val="en-GB"/>
              </w:rPr>
              <w:t>学习利用Project创建资源列表、资源分配，成本分配及运作等。</w:t>
            </w:r>
          </w:p>
          <w:p>
            <w:pPr>
              <w:widowControl/>
              <w:ind w:left="420" w:leftChars="200"/>
              <w:jc w:val="left"/>
              <w:rPr>
                <w:rFonts w:ascii="Microsoft Sans Serif" w:hAnsi="Microsoft Sans Serif" w:cs="Microsoft Sans Serif"/>
                <w:kern w:val="0"/>
                <w:szCs w:val="21"/>
              </w:rPr>
            </w:pPr>
          </w:p>
          <w:p>
            <w:pPr>
              <w:widowControl/>
              <w:jc w:val="left"/>
              <w:rPr>
                <w:rFonts w:ascii="Microsoft Sans Serif" w:hAnsi="Microsoft Sans Serif" w:cs="Microsoft Sans Serif"/>
                <w:kern w:val="0"/>
                <w:szCs w:val="21"/>
              </w:rPr>
            </w:pPr>
          </w:p>
          <w:p>
            <w:pPr>
              <w:widowControl/>
              <w:ind w:left="420" w:leftChars="200"/>
              <w:jc w:val="left"/>
              <w:rPr>
                <w:rFonts w:ascii="Microsoft Sans Serif" w:hAnsi="Microsoft Sans Serif" w:cs="Microsoft Sans Serif"/>
                <w:kern w:val="0"/>
                <w:szCs w:val="21"/>
              </w:rPr>
            </w:pPr>
          </w:p>
          <w:p>
            <w:pPr>
              <w:widowControl/>
              <w:jc w:val="left"/>
              <w:rPr>
                <w:rFonts w:ascii="Microsoft Sans Serif" w:hAnsi="Microsoft Sans Serif" w:cs="Microsoft Sans Serif"/>
                <w:kern w:val="0"/>
                <w:szCs w:val="21"/>
              </w:rPr>
            </w:pPr>
          </w:p>
          <w:p>
            <w:pPr>
              <w:jc w:val="center"/>
              <w:rPr>
                <w:rFonts w:asciiTheme="minorEastAsia" w:hAnsiTheme="minorEastAsia"/>
                <w:sz w:val="28"/>
                <w:szCs w:val="28"/>
              </w:rPr>
            </w:pPr>
          </w:p>
          <w:p>
            <w:pPr>
              <w:jc w:val="center"/>
              <w:rPr>
                <w:rFonts w:asciiTheme="minorEastAsia" w:hAnsiTheme="minorEastAsia"/>
                <w:sz w:val="28"/>
                <w:szCs w:val="28"/>
              </w:rPr>
            </w:pPr>
          </w:p>
          <w:p>
            <w:pPr>
              <w:jc w:val="center"/>
              <w:rPr>
                <w:rFonts w:asciiTheme="minorEastAsia" w:hAnsiTheme="minorEastAsia"/>
                <w:sz w:val="28"/>
                <w:szCs w:val="28"/>
              </w:rPr>
            </w:pPr>
          </w:p>
          <w:p>
            <w:pPr>
              <w:jc w:val="center"/>
              <w:rPr>
                <w:rFonts w:asciiTheme="minorEastAsia" w:hAnsiTheme="minorEastAsia"/>
                <w:sz w:val="28"/>
                <w:szCs w:val="28"/>
              </w:rPr>
            </w:pPr>
          </w:p>
          <w:p>
            <w:pPr>
              <w:jc w:val="center"/>
              <w:rPr>
                <w:rFonts w:asciiTheme="minorEastAsia" w:hAnsiTheme="minorEastAsia"/>
                <w:sz w:val="28"/>
                <w:szCs w:val="28"/>
              </w:rPr>
            </w:pPr>
          </w:p>
          <w:p>
            <w:pPr>
              <w:jc w:val="center"/>
              <w:rPr>
                <w:rFonts w:asciiTheme="minorEastAsia" w:hAnsiTheme="minorEastAsia"/>
                <w:sz w:val="28"/>
                <w:szCs w:val="28"/>
              </w:rPr>
            </w:pPr>
          </w:p>
          <w:p>
            <w:pPr>
              <w:jc w:val="center"/>
              <w:rPr>
                <w:rFonts w:asciiTheme="minorEastAsia" w:hAnsiTheme="minorEastAsia"/>
                <w:sz w:val="28"/>
                <w:szCs w:val="28"/>
              </w:rPr>
            </w:pPr>
          </w:p>
          <w:p>
            <w:pPr>
              <w:jc w:val="center"/>
              <w:rPr>
                <w:rFonts w:asciiTheme="minorEastAsia" w:hAnsiTheme="minorEastAsia"/>
                <w:sz w:val="28"/>
                <w:szCs w:val="28"/>
              </w:rPr>
            </w:pPr>
          </w:p>
          <w:p>
            <w:pPr>
              <w:jc w:val="both"/>
              <w:rPr>
                <w:rFonts w:asciiTheme="minorEastAsia" w:hAnsiTheme="minorEastAsia"/>
                <w:sz w:val="28"/>
                <w:szCs w:val="28"/>
              </w:rPr>
            </w:pPr>
          </w:p>
        </w:tc>
      </w:tr>
      <w:tr>
        <w:trPr>
          <w:trHeight w:val="7370" w:hRule="atLeast"/>
        </w:trPr>
        <w:tc>
          <w:tcPr>
            <w:tcW w:w="9640" w:type="dxa"/>
            <w:gridSpan w:val="4"/>
          </w:tcPr>
          <w:p>
            <w:pPr>
              <w:bidi w:val="0"/>
              <w:rPr>
                <w:sz w:val="28"/>
                <w:szCs w:val="28"/>
              </w:rPr>
            </w:pPr>
            <w:r>
              <w:rPr>
                <w:rFonts w:hint="eastAsia"/>
                <w:sz w:val="28"/>
                <w:szCs w:val="28"/>
              </w:rPr>
              <w:t>实验内容（实验原理、运用的理论知识和数据、算法、程序、步骤和方法）</w:t>
            </w: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创建资源列表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在已创建的项目中选择视图-资源工作表命令，打开资源工作表，在资源名称域中，分别输入资源的名称，在类型域中指定资源类型为工时或材料，在这里人员指定为工时，如果要指定资源组，可在资源名称的组域中输入组的名称。对每个工时资源（人员或设备），在最大单位域中使用默认值为100%，如为200%，表明特定的资源的两个全职单位</w:t>
            </w:r>
            <w:r>
              <w:rPr>
                <w:rFonts w:hint="eastAsia" w:asciiTheme="minorEastAsia" w:hAnsiTheme="minorEastAsia" w:cstheme="minorEastAsia"/>
                <w:sz w:val="24"/>
                <w:szCs w:val="24"/>
                <w:lang w:val="en-US" w:eastAsia="zh-CN"/>
              </w:rPr>
              <w:t>。</w:t>
            </w:r>
          </w:p>
          <w:p>
            <w:pPr>
              <w:numPr>
                <w:ilvl w:val="0"/>
                <w:numId w:val="0"/>
              </w:numPr>
              <w:adjustRightInd w:val="0"/>
              <w:snapToGrid w:val="0"/>
              <w:spacing w:line="360" w:lineRule="auto"/>
              <w:jc w:val="center"/>
            </w:pPr>
            <w:r>
              <w:drawing>
                <wp:inline distT="0" distB="0" distL="114300" distR="114300">
                  <wp:extent cx="5933440" cy="4395470"/>
                  <wp:effectExtent l="0" t="0" r="1016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33440" cy="439547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both"/>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利用资源信息对话框设置资源。在资源工作表中选择某资源后，单击常用工具栏中的资源信息按钮，或双击该资源，就可以打开资源信息对话框。利用该对话框的常规选项卡可以方便的进行资源的设置。</w:t>
            </w:r>
          </w:p>
          <w:p>
            <w:pPr>
              <w:numPr>
                <w:ilvl w:val="0"/>
                <w:numId w:val="0"/>
              </w:numPr>
              <w:adjustRightInd w:val="0"/>
              <w:snapToGrid w:val="0"/>
              <w:spacing w:line="360" w:lineRule="auto"/>
              <w:jc w:val="center"/>
            </w:pPr>
            <w:r>
              <w:drawing>
                <wp:inline distT="0" distB="0" distL="114300" distR="114300">
                  <wp:extent cx="5933440" cy="4395470"/>
                  <wp:effectExtent l="0" t="0" r="10160"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933440" cy="439547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资源日历：当资源需要按不同的日程工作时，或者需要说明假期或者停工期，可以修改个别资源的资源日历。在工作表中选择需要更改工作日程的资源，选择项目-资源信息命令，打开资源信息对话框，选择工作时间选项卡，仿照编辑日历的方法编辑资源的工作日历。可以为某资源创建一个基准日历。选择工具-更改工作时间命令，打开更改工作时间对话框，单击其中的新建按钮，创建新的基准日历，为资源组创建基准日历后，如要给基准日历分配资源，只要双击资源打开资源信息对话框，在工作时间选项卡中的基准日历下拉列表中选择所创建的基准日历即可。</w:t>
            </w:r>
          </w:p>
          <w:p>
            <w:pPr>
              <w:numPr>
                <w:ilvl w:val="0"/>
                <w:numId w:val="0"/>
              </w:numPr>
              <w:adjustRightInd w:val="0"/>
              <w:snapToGrid w:val="0"/>
              <w:spacing w:line="360" w:lineRule="auto"/>
              <w:jc w:val="center"/>
            </w:pPr>
            <w:r>
              <w:drawing>
                <wp:inline distT="0" distB="0" distL="114300" distR="114300">
                  <wp:extent cx="5933440" cy="4395470"/>
                  <wp:effectExtent l="0" t="0" r="10160" b="241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33440" cy="439547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r>
              <w:drawing>
                <wp:inline distT="0" distB="0" distL="114300" distR="114300">
                  <wp:extent cx="5939155" cy="4434840"/>
                  <wp:effectExtent l="0" t="0" r="444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939155" cy="443484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38520" cy="3449955"/>
                  <wp:effectExtent l="0" t="0" r="508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938520" cy="3449955"/>
                          </a:xfrm>
                          <a:prstGeom prst="rect">
                            <a:avLst/>
                          </a:prstGeom>
                          <a:noFill/>
                          <a:ln>
                            <a:noFill/>
                          </a:ln>
                        </pic:spPr>
                      </pic:pic>
                    </a:graphicData>
                  </a:graphic>
                </wp:inline>
              </w:drawing>
            </w: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配资源：在创建资源列表并设置好资源信息和资源日历后，就可以为项目中的任务分配资源，为任务分配资源即创建了一个工作分配，用户可以不受限制的对资源进行修改。视图-甘特图打开甘特图视图，从中选择要进行资源分配的任务，选择工具—分配资源命令，打开分配资源对话框。重复以上步骤，直到所有任务都分配好资源。最好单击关闭按钮，关闭分配资源对话框。</w:t>
            </w:r>
          </w:p>
          <w:p>
            <w:pPr>
              <w:numPr>
                <w:ilvl w:val="0"/>
                <w:numId w:val="0"/>
              </w:numPr>
              <w:adjustRightInd w:val="0"/>
              <w:snapToGrid w:val="0"/>
              <w:spacing w:line="360" w:lineRule="auto"/>
              <w:jc w:val="center"/>
            </w:pPr>
            <w:r>
              <w:drawing>
                <wp:inline distT="0" distB="0" distL="114300" distR="114300">
                  <wp:extent cx="5067300" cy="3990975"/>
                  <wp:effectExtent l="0" t="0" r="12700" b="222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067300" cy="3990975"/>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删除和替换资源分配。在甘特图中选择需要删除资源分配的任务，选择工具—分配资源命令，打开分配资源对话框，在分配资源对话框的资源列表中选择要删除的已分配的资源，单击删除按钮即可。</w:t>
            </w:r>
          </w:p>
          <w:p>
            <w:pPr>
              <w:numPr>
                <w:ilvl w:val="0"/>
                <w:numId w:val="0"/>
              </w:numPr>
              <w:adjustRightInd w:val="0"/>
              <w:snapToGrid w:val="0"/>
              <w:spacing w:line="360" w:lineRule="auto"/>
              <w:jc w:val="center"/>
              <w:rPr>
                <w:rFonts w:hint="eastAsia"/>
                <w:lang w:val="en-US" w:eastAsia="zh-CN"/>
              </w:rPr>
            </w:pPr>
            <w:r>
              <w:drawing>
                <wp:inline distT="0" distB="0" distL="114300" distR="114300">
                  <wp:extent cx="5067300" cy="3990975"/>
                  <wp:effectExtent l="0" t="0" r="12700"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067300" cy="3990975"/>
                          </a:xfrm>
                          <a:prstGeom prst="rect">
                            <a:avLst/>
                          </a:prstGeom>
                          <a:noFill/>
                          <a:ln>
                            <a:noFill/>
                          </a:ln>
                        </pic:spPr>
                      </pic:pic>
                    </a:graphicData>
                  </a:graphic>
                </wp:inline>
              </w:drawing>
            </w: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跟踪资源</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视图—任务分配状况命令，打开任务分配状况视图。选择视图-表-工时命令，在工作表中添加工时域。</w:t>
            </w:r>
          </w:p>
          <w:p>
            <w:pPr>
              <w:numPr>
                <w:ilvl w:val="0"/>
                <w:numId w:val="0"/>
              </w:numPr>
              <w:adjustRightInd w:val="0"/>
              <w:snapToGrid w:val="0"/>
              <w:spacing w:line="360" w:lineRule="auto"/>
              <w:jc w:val="center"/>
            </w:pPr>
            <w:r>
              <w:drawing>
                <wp:inline distT="0" distB="0" distL="114300" distR="114300">
                  <wp:extent cx="1771650" cy="19050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771650" cy="190500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781675" cy="4171950"/>
                  <wp:effectExtent l="0" t="0" r="9525"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781675" cy="417195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32805" cy="2397760"/>
                  <wp:effectExtent l="0" t="0" r="10795" b="152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932805" cy="239776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成本分配</w:t>
            </w: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分配费率</w:t>
            </w:r>
            <w:r>
              <w:rPr>
                <w:rFonts w:hint="eastAsia" w:hAnsi="宋体"/>
                <w:sz w:val="24"/>
                <w:szCs w:val="24"/>
                <w:lang w:val="en-GB" w:eastAsia="zh-CN"/>
              </w:rPr>
              <w:t>：</w:t>
            </w:r>
            <w:r>
              <w:rPr>
                <w:rFonts w:hint="eastAsia" w:hAnsi="宋体"/>
                <w:sz w:val="24"/>
                <w:szCs w:val="24"/>
                <w:lang w:val="en-GB"/>
              </w:rPr>
              <w:t>视图-资源工作表在确认选择</w:t>
            </w:r>
            <w:r>
              <w:rPr>
                <w:rFonts w:hint="eastAsia" w:hAnsi="宋体"/>
                <w:sz w:val="24"/>
                <w:szCs w:val="24"/>
                <w:lang w:val="en-US" w:eastAsia="zh-CN"/>
              </w:rPr>
              <w:t>了</w:t>
            </w:r>
            <w:r>
              <w:rPr>
                <w:rFonts w:hint="eastAsia" w:hAnsi="宋体"/>
                <w:sz w:val="24"/>
                <w:szCs w:val="24"/>
                <w:lang w:val="en-GB"/>
              </w:rPr>
              <w:t>视图-表-项命令后，在资源工作表中选择该资源，并在其标准费率和加班费率域中，输入所需的费率。</w:t>
            </w:r>
          </w:p>
          <w:p>
            <w:pPr>
              <w:numPr>
                <w:ilvl w:val="0"/>
                <w:numId w:val="0"/>
              </w:numPr>
              <w:adjustRightInd w:val="0"/>
              <w:snapToGrid w:val="0"/>
              <w:spacing w:line="360" w:lineRule="auto"/>
              <w:jc w:val="center"/>
            </w:pPr>
            <w:r>
              <w:drawing>
                <wp:inline distT="0" distB="0" distL="114300" distR="114300">
                  <wp:extent cx="5933440" cy="4395470"/>
                  <wp:effectExtent l="0" t="0" r="10160" b="241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933440" cy="439547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rPr>
                <w:rFonts w:hint="eastAsia"/>
                <w:lang w:val="en-US" w:eastAsia="zh-CN"/>
              </w:rPr>
            </w:pP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分配固定的任务成本</w:t>
            </w:r>
            <w:r>
              <w:rPr>
                <w:rFonts w:hint="eastAsia" w:hAnsi="宋体"/>
                <w:sz w:val="24"/>
                <w:szCs w:val="24"/>
                <w:lang w:val="en-GB" w:eastAsia="zh-CN"/>
              </w:rPr>
              <w:t>：</w:t>
            </w:r>
            <w:r>
              <w:rPr>
                <w:rFonts w:hint="eastAsia" w:hAnsi="宋体"/>
                <w:sz w:val="24"/>
                <w:szCs w:val="24"/>
                <w:lang w:val="en-GB"/>
              </w:rPr>
              <w:t>视图-甘特图命令打开甘特图视图，通过视图-表-成本命令，在甘特图的固定成本域中输入相应任务的固定成本就可以了。</w:t>
            </w:r>
          </w:p>
          <w:p>
            <w:pPr>
              <w:numPr>
                <w:ilvl w:val="0"/>
                <w:numId w:val="0"/>
              </w:numPr>
              <w:adjustRightInd w:val="0"/>
              <w:snapToGrid w:val="0"/>
              <w:spacing w:line="360" w:lineRule="auto"/>
              <w:jc w:val="center"/>
            </w:pPr>
            <w:r>
              <w:drawing>
                <wp:inline distT="0" distB="0" distL="114300" distR="114300">
                  <wp:extent cx="5935980" cy="390906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935980" cy="390906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分配固定的资源成本 打开甘特图，在任务名称域中选择某个任务，选择窗口-拆分命令，打开组合视图。通过任务窗体视图，在资源名称域中，输入新的资源名称，选择格式-详细信息-资源成本，在组合视图的下方窗格中显示资源成本。在任务类型下拉列表中选择固定工期选项，将输入的任务类型设置为固定工期。在单位域中将任务设置为0%，在成本域中为资源分配输入一个成本值为100.单击确定。</w:t>
            </w:r>
          </w:p>
          <w:p>
            <w:pPr>
              <w:numPr>
                <w:ilvl w:val="0"/>
                <w:numId w:val="0"/>
              </w:numPr>
              <w:adjustRightInd w:val="0"/>
              <w:snapToGrid w:val="0"/>
              <w:spacing w:line="360" w:lineRule="auto"/>
              <w:jc w:val="center"/>
            </w:pPr>
            <w:r>
              <w:drawing>
                <wp:inline distT="0" distB="0" distL="114300" distR="114300">
                  <wp:extent cx="5933440" cy="4395470"/>
                  <wp:effectExtent l="0" t="0" r="10160" b="241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5933440" cy="439547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067300" cy="3990975"/>
                  <wp:effectExtent l="0" t="0" r="12700" b="222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067300" cy="3990975"/>
                          </a:xfrm>
                          <a:prstGeom prst="rect">
                            <a:avLst/>
                          </a:prstGeom>
                          <a:noFill/>
                          <a:ln>
                            <a:noFill/>
                          </a:ln>
                        </pic:spPr>
                      </pic:pic>
                    </a:graphicData>
                  </a:graphic>
                </wp:inline>
              </w:drawing>
            </w: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加班成本的计算。视图-任务分配状况命令，打开任务分配状态视图，选择视图-表子菜单中的工时命令，在任务分配状况视图中选择整个工时域，选择插入-列命令，打开列定义对话框，在域名称下拉列表中选择加班工时选项，标题的对齐方式为居中，数据的对齐方式为右，宽度设置为10，点击确定按钮，在任务分配状况视图中添加加班工时域。选择相应资源，在域中输入加班总量。</w:t>
            </w:r>
          </w:p>
          <w:p>
            <w:pPr>
              <w:numPr>
                <w:ilvl w:val="0"/>
                <w:numId w:val="0"/>
              </w:numPr>
              <w:adjustRightInd w:val="0"/>
              <w:snapToGrid w:val="0"/>
              <w:spacing w:line="360" w:lineRule="auto"/>
              <w:jc w:val="center"/>
            </w:pPr>
            <w:r>
              <w:drawing>
                <wp:inline distT="0" distB="0" distL="114300" distR="114300">
                  <wp:extent cx="3543300" cy="2266950"/>
                  <wp:effectExtent l="0" t="0" r="1270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3543300" cy="226695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4286250" cy="520065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4286250" cy="520065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项目中货币设置的更改</w:t>
            </w:r>
            <w:r>
              <w:rPr>
                <w:rFonts w:hint="eastAsia" w:hAnsi="宋体"/>
                <w:sz w:val="24"/>
                <w:szCs w:val="24"/>
                <w:lang w:val="en-GB" w:eastAsia="zh-CN"/>
              </w:rPr>
              <w:t>：</w:t>
            </w:r>
            <w:r>
              <w:rPr>
                <w:rFonts w:hint="eastAsia" w:hAnsi="宋体"/>
                <w:sz w:val="24"/>
                <w:szCs w:val="24"/>
                <w:lang w:val="en-GB"/>
              </w:rPr>
              <w:t>工具-选项命令，打开选项对话框，并选择视图选项卡货币选项域的符号文本框可以输入所需的货币符号，位置下拉列表框可以选择所需的货币格式，小数位数文本框输入需要显示的小数位数，设置完成后，单击确定按钮，则当前项目的货币符号和格式被改变。</w:t>
            </w:r>
          </w:p>
          <w:p>
            <w:pPr>
              <w:numPr>
                <w:ilvl w:val="0"/>
                <w:numId w:val="0"/>
              </w:numPr>
              <w:adjustRightInd w:val="0"/>
              <w:snapToGrid w:val="0"/>
              <w:spacing w:line="360" w:lineRule="auto"/>
              <w:jc w:val="center"/>
            </w:pPr>
            <w:r>
              <w:drawing>
                <wp:inline distT="0" distB="0" distL="114300" distR="114300">
                  <wp:extent cx="5940425" cy="4817745"/>
                  <wp:effectExtent l="0" t="0" r="317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5940425" cy="4817745"/>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rPr>
                <w:rFonts w:hint="eastAsia"/>
                <w:lang w:val="en-GB"/>
              </w:rPr>
            </w:pP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为项目添加估计成本。在默认情况下，甘特图中所呈现的域并不包含“成本”，因此，要将该域插入并呈现在工作页面中。打开工程文件。选取工期域单击鼠标右键，从弹出的快捷菜单中</w:t>
            </w:r>
            <w:r>
              <w:rPr>
                <w:rFonts w:hint="eastAsia" w:hAnsi="宋体"/>
                <w:sz w:val="24"/>
                <w:szCs w:val="24"/>
                <w:lang w:val="en-US" w:eastAsia="zh-CN"/>
              </w:rPr>
              <w:t>选择</w:t>
            </w:r>
            <w:r>
              <w:rPr>
                <w:rFonts w:hint="eastAsia" w:hAnsi="宋体"/>
                <w:sz w:val="24"/>
                <w:szCs w:val="24"/>
                <w:lang w:val="en-GB"/>
              </w:rPr>
              <w:t>插入列命令，接着出现列定义对话框，在域名称下拉列表框中选择成本选项后，单击确定按钮，接着针对每项任务所需的费用，一次进行输入。如果想把已经存在的域暂时屏蔽，选中该域，单击右键，从弹出的快捷菜单中选择隐藏列命令。</w:t>
            </w:r>
          </w:p>
          <w:p>
            <w:pPr>
              <w:numPr>
                <w:ilvl w:val="0"/>
                <w:numId w:val="0"/>
              </w:numPr>
              <w:adjustRightInd w:val="0"/>
              <w:snapToGrid w:val="0"/>
              <w:spacing w:line="360" w:lineRule="auto"/>
              <w:jc w:val="center"/>
            </w:pPr>
            <w:r>
              <w:drawing>
                <wp:inline distT="0" distB="0" distL="114300" distR="114300">
                  <wp:extent cx="5553075" cy="5219700"/>
                  <wp:effectExtent l="0" t="0" r="9525"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5553075" cy="5219700"/>
                          </a:xfrm>
                          <a:prstGeom prst="rect">
                            <a:avLst/>
                          </a:prstGeom>
                          <a:noFill/>
                          <a:ln>
                            <a:noFill/>
                          </a:ln>
                        </pic:spPr>
                      </pic:pic>
                    </a:graphicData>
                  </a:graphic>
                </wp:inline>
              </w:drawing>
            </w:r>
          </w:p>
          <w:p>
            <w:pPr>
              <w:numPr>
                <w:ilvl w:val="0"/>
                <w:numId w:val="0"/>
              </w:numPr>
              <w:adjustRightInd w:val="0"/>
              <w:snapToGrid w:val="0"/>
              <w:spacing w:line="360" w:lineRule="auto"/>
              <w:jc w:val="center"/>
              <w:rPr>
                <w:rFonts w:hint="eastAsia"/>
                <w:lang w:val="en-GB"/>
              </w:rPr>
            </w:pPr>
            <w:r>
              <w:drawing>
                <wp:inline distT="0" distB="0" distL="114300" distR="114300">
                  <wp:extent cx="1657350" cy="3171825"/>
                  <wp:effectExtent l="0" t="0" r="1905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1657350" cy="3171825"/>
                          </a:xfrm>
                          <a:prstGeom prst="rect">
                            <a:avLst/>
                          </a:prstGeom>
                          <a:noFill/>
                          <a:ln>
                            <a:noFill/>
                          </a:ln>
                        </pic:spPr>
                      </pic:pic>
                    </a:graphicData>
                  </a:graphic>
                </wp:inline>
              </w:drawing>
            </w:r>
          </w:p>
          <w:p>
            <w:pPr>
              <w:numPr>
                <w:ilvl w:val="0"/>
                <w:numId w:val="0"/>
              </w:numPr>
              <w:adjustRightInd w:val="0"/>
              <w:snapToGrid w:val="0"/>
              <w:spacing w:line="360" w:lineRule="auto"/>
              <w:jc w:val="center"/>
              <w:rPr>
                <w:rFonts w:hint="eastAsia"/>
                <w:lang w:val="en-GB"/>
              </w:rPr>
            </w:pPr>
          </w:p>
          <w:p>
            <w:pPr>
              <w:numPr>
                <w:ilvl w:val="0"/>
                <w:numId w:val="3"/>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组织成本数据 隐藏子任务 把鼠标移到想要隐藏的子任务的任何一个域中，在格式工具栏中单击隐藏子任务图标按钮，这时就能把其下的子任务隐藏。如果要再显示子任务，只需要在格式工具栏中，单击显示子任务图标按钮。</w:t>
            </w:r>
          </w:p>
          <w:p>
            <w:pPr>
              <w:numPr>
                <w:ilvl w:val="0"/>
                <w:numId w:val="0"/>
              </w:numPr>
              <w:adjustRightInd w:val="0"/>
              <w:snapToGrid w:val="0"/>
              <w:spacing w:line="360" w:lineRule="auto"/>
              <w:jc w:val="center"/>
            </w:pPr>
            <w:r>
              <w:drawing>
                <wp:inline distT="0" distB="0" distL="114300" distR="114300">
                  <wp:extent cx="2600325" cy="561975"/>
                  <wp:effectExtent l="0" t="0" r="15875" b="222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2600325" cy="561975"/>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36615" cy="748030"/>
                  <wp:effectExtent l="0" t="0" r="698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4"/>
                          <a:stretch>
                            <a:fillRect/>
                          </a:stretch>
                        </pic:blipFill>
                        <pic:spPr>
                          <a:xfrm>
                            <a:off x="0" y="0"/>
                            <a:ext cx="5936615" cy="748030"/>
                          </a:xfrm>
                          <a:prstGeom prst="rect">
                            <a:avLst/>
                          </a:prstGeom>
                          <a:noFill/>
                          <a:ln>
                            <a:noFill/>
                          </a:ln>
                        </pic:spPr>
                      </pic:pic>
                    </a:graphicData>
                  </a:graphic>
                </wp:inline>
              </w:drawing>
            </w:r>
          </w:p>
          <w:p>
            <w:pPr>
              <w:numPr>
                <w:ilvl w:val="0"/>
                <w:numId w:val="3"/>
              </w:numPr>
              <w:adjustRightInd w:val="0"/>
              <w:snapToGrid w:val="0"/>
              <w:spacing w:line="360" w:lineRule="auto"/>
              <w:ind w:firstLine="480" w:firstLineChars="200"/>
              <w:rPr>
                <w:rFonts w:hint="eastAsia" w:hAnsi="宋体"/>
                <w:sz w:val="24"/>
                <w:szCs w:val="24"/>
                <w:lang w:val="en-GB" w:eastAsia="zh-CN"/>
              </w:rPr>
            </w:pPr>
            <w:r>
              <w:rPr>
                <w:rFonts w:hint="eastAsia" w:hAnsi="宋体"/>
                <w:sz w:val="24"/>
                <w:szCs w:val="24"/>
                <w:lang w:val="en-GB"/>
              </w:rPr>
              <w:t>资源成本 视图—资源工作表命令单切换到资源工作表视图。设置资源情况。成本累算域：开始（只要租借，成本便发生）结束（直到活动结束，没有发生问题时费用才支付）按比例(即进行到什么时候便付费到什么时候)。</w:t>
            </w:r>
          </w:p>
          <w:p>
            <w:pPr>
              <w:numPr>
                <w:ilvl w:val="0"/>
                <w:numId w:val="0"/>
              </w:numPr>
              <w:adjustRightInd w:val="0"/>
              <w:snapToGrid w:val="0"/>
              <w:spacing w:line="360" w:lineRule="auto"/>
              <w:jc w:val="center"/>
              <w:rPr>
                <w:rFonts w:hint="eastAsia"/>
                <w:lang w:val="en-US" w:eastAsia="zh-CN"/>
              </w:rPr>
            </w:pPr>
            <w:r>
              <w:drawing>
                <wp:inline distT="0" distB="0" distL="114300" distR="114300">
                  <wp:extent cx="5933440" cy="4395470"/>
                  <wp:effectExtent l="0" t="0" r="10160" b="2413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5933440" cy="4395470"/>
                          </a:xfrm>
                          <a:prstGeom prst="rect">
                            <a:avLst/>
                          </a:prstGeom>
                          <a:noFill/>
                          <a:ln>
                            <a:noFill/>
                          </a:ln>
                        </pic:spPr>
                      </pic:pic>
                    </a:graphicData>
                  </a:graphic>
                </wp:inline>
              </w:drawing>
            </w:r>
          </w:p>
          <w:p>
            <w:pPr>
              <w:numPr>
                <w:ilvl w:val="0"/>
                <w:numId w:val="0"/>
              </w:numPr>
              <w:adjustRightInd w:val="0"/>
              <w:snapToGrid w:val="0"/>
              <w:spacing w:line="360" w:lineRule="auto"/>
              <w:jc w:val="center"/>
              <w:rPr>
                <w:rFonts w:hint="eastAsia"/>
                <w:lang w:val="en-US" w:eastAsia="zh-CN"/>
              </w:rPr>
            </w:pPr>
          </w:p>
          <w:p>
            <w:pPr>
              <w:adjustRightInd w:val="0"/>
              <w:snapToGrid w:val="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numPr>
                <w:ilvl w:val="0"/>
                <w:numId w:val="0"/>
              </w:numPr>
              <w:ind w:leftChars="0"/>
              <w:jc w:val="left"/>
              <w:rPr>
                <w:rFonts w:hint="eastAsia" w:asciiTheme="majorEastAsia" w:hAnsiTheme="majorEastAsia" w:eastAsiaTheme="majorEastAsia"/>
                <w:b w:val="0"/>
                <w:bCs/>
                <w:sz w:val="28"/>
                <w:szCs w:val="28"/>
              </w:rPr>
            </w:pPr>
            <w:r>
              <w:rPr>
                <w:rFonts w:hint="eastAsia" w:asciiTheme="majorEastAsia" w:hAnsiTheme="majorEastAsia" w:eastAsiaTheme="majorEastAsia"/>
                <w:b w:val="0"/>
                <w:bCs/>
                <w:sz w:val="28"/>
                <w:szCs w:val="28"/>
              </w:rPr>
              <w:t>实验总结和体会</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在这次Project实验课中，我学习了如何利用Microsoft Project创建和管理项目资源。首先，我通过创建资源列表，掌握了定义各种资源的类型，包括工时资源、材料资源和费用资源。接着，我进行了资源分配，将资源分配到具体的任务中，以确保项目按计划进行。通过成本分配，我学会了如何为每个资源设置费率，并计算项目的总成本，这对于项目预算的控制至关重要。</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实验过程中，我体会到Project强大的功能和灵活性，它不仅可以帮助我们进行详细的计划和资源管理，还可以通过甘特图等工具，直观地展示项目进度和资源使用情况。此外，实践操作让我意识到，在实际项目管理中，精确的资源和成本管理是确保项目成功的关键。总的来说，这次实验让我对项目管理有了更深入的理解和实际操作经验，为将来的项目管理工作打下了坚实的基础。</w:t>
            </w:r>
          </w:p>
          <w:p>
            <w:pPr>
              <w:ind w:left="560" w:hanging="560" w:hangingChars="200"/>
              <w:rPr>
                <w:rFonts w:hint="eastAsia" w:asciiTheme="majorEastAsia" w:hAnsiTheme="majorEastAsia" w:eastAsiaTheme="majorEastAsia"/>
                <w:b w:val="0"/>
                <w:bCs/>
                <w:sz w:val="28"/>
                <w:szCs w:val="28"/>
              </w:rPr>
            </w:pPr>
            <w:r>
              <w:rPr>
                <w:rFonts w:hint="eastAsia" w:asciiTheme="majorEastAsia" w:hAnsiTheme="majorEastAsia" w:eastAsiaTheme="majorEastAsia"/>
                <w:b w:val="0"/>
                <w:bCs/>
                <w:sz w:val="28"/>
                <w:szCs w:val="28"/>
              </w:rPr>
              <w:t>实验思考题</w:t>
            </w:r>
          </w:p>
          <w:p>
            <w:pPr>
              <w:numPr>
                <w:ilvl w:val="0"/>
                <w:numId w:val="4"/>
              </w:numPr>
              <w:adjustRightInd w:val="0"/>
              <w:snapToGrid w:val="0"/>
              <w:spacing w:line="360" w:lineRule="auto"/>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GB" w:eastAsia="zh-CN"/>
              </w:rPr>
              <w:t>简介成本估计的方法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（1）类比估算法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通过参考过去类似项目的成本数据来估算当前项目的成本。这种方法简单快捷，适用于项目早期或数据不足的情况，但精确度较低。</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（2）参数估算法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基于统计数据和数学模型，通过项目的特定参数（如单位成本或单位时间）进行成本估算。这种方法适用于有大量历史数据和明确参数关系的项目，精确度较高。</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（3）自下而上估算法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先对项目中每个具体任务或工作包进行详细成本估算，然后汇总得到整个项目的成本。这种方法精确度高，但耗时较长，适用于项目计划详细、范围明确的情况。</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（4）专家判断法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依赖经验丰富的专家对项目成本进行估算。专家基于过去经验和专业知识，对项目的各种因素进行分析和预测。此方法在缺乏具体数据时尤为有用，但主观性较强。</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（5）三点估算法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通过估算最乐观、最可能和最悲观的三种成本情况，计算出期望成本值。这种方法考虑了不确定性，能提供较为平衡的成本估算。</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（6）储备分析法</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在初步估算的基础上，增加一定的应急储备成本，以应对项目中可能出现的风险和不确定性。这种方法确保项目在面临突发情况时仍有足够的预算。</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p>
          <w:p>
            <w:pPr>
              <w:numPr>
                <w:ilvl w:val="0"/>
                <w:numId w:val="0"/>
              </w:numPr>
              <w:adjustRightInd w:val="0"/>
              <w:snapToGrid w:val="0"/>
              <w:spacing w:line="360" w:lineRule="auto"/>
              <w:rPr>
                <w:rFonts w:hint="eastAsia" w:asciiTheme="minorEastAsia" w:hAnsiTheme="minorEastAsia" w:cstheme="minorEastAsia"/>
                <w:b w:val="0"/>
                <w:bCs/>
                <w:color w:val="000000"/>
                <w:sz w:val="24"/>
                <w:szCs w:val="24"/>
                <w:lang w:val="en-US" w:eastAsia="zh-CN"/>
              </w:rPr>
            </w:pPr>
          </w:p>
          <w:p>
            <w:pPr>
              <w:rPr>
                <w:rFonts w:asciiTheme="minorEastAsia" w:hAnsiTheme="minorEastAsia"/>
                <w:sz w:val="28"/>
                <w:szCs w:val="28"/>
              </w:rPr>
            </w:pPr>
          </w:p>
        </w:tc>
      </w:tr>
    </w:tbl>
    <w:p>
      <w:pPr>
        <w:rPr>
          <w:rFonts w:ascii="黑体" w:hAnsi="黑体" w:eastAsia="黑体"/>
          <w:sz w:val="52"/>
          <w:szCs w:val="52"/>
        </w:rPr>
      </w:pPr>
    </w:p>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Sans Serif">
    <w:panose1 w:val="020B0604020202020204"/>
    <w:charset w:val="00"/>
    <w:family w:val="swiss"/>
    <w:pitch w:val="default"/>
    <w:sig w:usb0="E1002AFF" w:usb1="C0000002" w:usb2="00000008"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878CD"/>
    <w:multiLevelType w:val="singleLevel"/>
    <w:tmpl w:val="9DF878CD"/>
    <w:lvl w:ilvl="0" w:tentative="0">
      <w:start w:val="1"/>
      <w:numFmt w:val="decimal"/>
      <w:lvlText w:val="(%1)"/>
      <w:lvlJc w:val="left"/>
      <w:pPr>
        <w:ind w:left="425" w:hanging="425"/>
      </w:pPr>
      <w:rPr>
        <w:rFonts w:hint="default"/>
      </w:rPr>
    </w:lvl>
  </w:abstractNum>
  <w:abstractNum w:abstractNumId="1">
    <w:nsid w:val="27FEC615"/>
    <w:multiLevelType w:val="singleLevel"/>
    <w:tmpl w:val="27FEC615"/>
    <w:lvl w:ilvl="0" w:tentative="0">
      <w:start w:val="1"/>
      <w:numFmt w:val="decimal"/>
      <w:suff w:val="space"/>
      <w:lvlText w:val="%1."/>
      <w:lvlJc w:val="left"/>
    </w:lvl>
  </w:abstractNum>
  <w:abstractNum w:abstractNumId="2">
    <w:nsid w:val="58C6691F"/>
    <w:multiLevelType w:val="multilevel"/>
    <w:tmpl w:val="58C6691F"/>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58F40AA6"/>
    <w:multiLevelType w:val="singleLevel"/>
    <w:tmpl w:val="58F40AA6"/>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hMjcwNzI3OWI5ZTg5MmQyYmM5NjMxYzNiZDUzZmYifQ=="/>
    <w:docVar w:name="KSO_WPS_MARK_KEY" w:val="53d1b264-c52e-4c8a-96d1-2bfc8c1f4778"/>
  </w:docVars>
  <w:rsids>
    <w:rsidRoot w:val="00041374"/>
    <w:rsid w:val="00011651"/>
    <w:rsid w:val="0002735E"/>
    <w:rsid w:val="00041374"/>
    <w:rsid w:val="0004438F"/>
    <w:rsid w:val="00050E28"/>
    <w:rsid w:val="001026EA"/>
    <w:rsid w:val="00194AD3"/>
    <w:rsid w:val="001A1651"/>
    <w:rsid w:val="00282B27"/>
    <w:rsid w:val="00293A77"/>
    <w:rsid w:val="0031436B"/>
    <w:rsid w:val="003A1E34"/>
    <w:rsid w:val="003A6870"/>
    <w:rsid w:val="004041AE"/>
    <w:rsid w:val="00424C3C"/>
    <w:rsid w:val="004A008A"/>
    <w:rsid w:val="004E1853"/>
    <w:rsid w:val="004F05C5"/>
    <w:rsid w:val="00535A27"/>
    <w:rsid w:val="00580CB6"/>
    <w:rsid w:val="005C580E"/>
    <w:rsid w:val="006265BE"/>
    <w:rsid w:val="00641CFC"/>
    <w:rsid w:val="00645793"/>
    <w:rsid w:val="0068699B"/>
    <w:rsid w:val="006B4A1C"/>
    <w:rsid w:val="00760013"/>
    <w:rsid w:val="007A1B73"/>
    <w:rsid w:val="007B0A51"/>
    <w:rsid w:val="007E45F7"/>
    <w:rsid w:val="007F3881"/>
    <w:rsid w:val="008370A0"/>
    <w:rsid w:val="00840E0D"/>
    <w:rsid w:val="008731D7"/>
    <w:rsid w:val="00882FC2"/>
    <w:rsid w:val="008E7EDE"/>
    <w:rsid w:val="00961ABB"/>
    <w:rsid w:val="00967D26"/>
    <w:rsid w:val="009A2076"/>
    <w:rsid w:val="009D5907"/>
    <w:rsid w:val="00A22E4B"/>
    <w:rsid w:val="00A261E2"/>
    <w:rsid w:val="00A401DB"/>
    <w:rsid w:val="00A85BBE"/>
    <w:rsid w:val="00A979B0"/>
    <w:rsid w:val="00AB62B3"/>
    <w:rsid w:val="00AD59F7"/>
    <w:rsid w:val="00B02435"/>
    <w:rsid w:val="00B24A79"/>
    <w:rsid w:val="00C165EE"/>
    <w:rsid w:val="00C2526C"/>
    <w:rsid w:val="00C316E5"/>
    <w:rsid w:val="00C96FF3"/>
    <w:rsid w:val="00CD3D69"/>
    <w:rsid w:val="00D56C82"/>
    <w:rsid w:val="00DD72AD"/>
    <w:rsid w:val="00E43CBE"/>
    <w:rsid w:val="00E46C57"/>
    <w:rsid w:val="00E835F7"/>
    <w:rsid w:val="00E84094"/>
    <w:rsid w:val="00E90C11"/>
    <w:rsid w:val="00EA18F3"/>
    <w:rsid w:val="00F108FB"/>
    <w:rsid w:val="00F11891"/>
    <w:rsid w:val="00F36EDB"/>
    <w:rsid w:val="00F41099"/>
    <w:rsid w:val="00F611E0"/>
    <w:rsid w:val="00F63EAC"/>
    <w:rsid w:val="00F82FEA"/>
    <w:rsid w:val="00FC278E"/>
    <w:rsid w:val="01FA7D02"/>
    <w:rsid w:val="02D0378F"/>
    <w:rsid w:val="02E830B0"/>
    <w:rsid w:val="03BC4955"/>
    <w:rsid w:val="079A2F7D"/>
    <w:rsid w:val="08DB529A"/>
    <w:rsid w:val="0A6E4352"/>
    <w:rsid w:val="10635C65"/>
    <w:rsid w:val="137906E0"/>
    <w:rsid w:val="16916028"/>
    <w:rsid w:val="198C6B7D"/>
    <w:rsid w:val="1BE836FF"/>
    <w:rsid w:val="1E5E1E1C"/>
    <w:rsid w:val="20E64474"/>
    <w:rsid w:val="23B33DA9"/>
    <w:rsid w:val="26B53C9B"/>
    <w:rsid w:val="27C14241"/>
    <w:rsid w:val="2847221E"/>
    <w:rsid w:val="297C135A"/>
    <w:rsid w:val="2A6D2C26"/>
    <w:rsid w:val="2D9D5B44"/>
    <w:rsid w:val="2F327DC5"/>
    <w:rsid w:val="306C57FD"/>
    <w:rsid w:val="31F7552D"/>
    <w:rsid w:val="333963ED"/>
    <w:rsid w:val="33710EB2"/>
    <w:rsid w:val="34FC3F8C"/>
    <w:rsid w:val="34FE1FBD"/>
    <w:rsid w:val="36AF6E57"/>
    <w:rsid w:val="36F12420"/>
    <w:rsid w:val="3ABB5A15"/>
    <w:rsid w:val="3B1FF654"/>
    <w:rsid w:val="3B302CB1"/>
    <w:rsid w:val="3BAFA8F4"/>
    <w:rsid w:val="3C6A1D57"/>
    <w:rsid w:val="3CA80B67"/>
    <w:rsid w:val="3CE75C52"/>
    <w:rsid w:val="3DDE4A12"/>
    <w:rsid w:val="41BD7A4D"/>
    <w:rsid w:val="42BD3186"/>
    <w:rsid w:val="430C7818"/>
    <w:rsid w:val="43384817"/>
    <w:rsid w:val="44321D5A"/>
    <w:rsid w:val="46050E84"/>
    <w:rsid w:val="47862AEB"/>
    <w:rsid w:val="4B8F7F80"/>
    <w:rsid w:val="535F480D"/>
    <w:rsid w:val="54455708"/>
    <w:rsid w:val="54F92113"/>
    <w:rsid w:val="55086F59"/>
    <w:rsid w:val="56BF0F23"/>
    <w:rsid w:val="581828AA"/>
    <w:rsid w:val="583070EF"/>
    <w:rsid w:val="59E04C00"/>
    <w:rsid w:val="5A2B00D5"/>
    <w:rsid w:val="5A8C59AC"/>
    <w:rsid w:val="5C550D3B"/>
    <w:rsid w:val="5C991218"/>
    <w:rsid w:val="5E4B2DFE"/>
    <w:rsid w:val="60931BD8"/>
    <w:rsid w:val="614B2B96"/>
    <w:rsid w:val="620C6127"/>
    <w:rsid w:val="631A1999"/>
    <w:rsid w:val="654947BB"/>
    <w:rsid w:val="6A8603EB"/>
    <w:rsid w:val="6BBF8BDC"/>
    <w:rsid w:val="6FF9D980"/>
    <w:rsid w:val="70550E1A"/>
    <w:rsid w:val="74D217AB"/>
    <w:rsid w:val="79F87A45"/>
    <w:rsid w:val="7B265E97"/>
    <w:rsid w:val="7EE2526F"/>
    <w:rsid w:val="7F824528"/>
    <w:rsid w:val="7FAB3714"/>
    <w:rsid w:val="7FFF1A2C"/>
    <w:rsid w:val="8DFB378B"/>
    <w:rsid w:val="9BFFC8AC"/>
    <w:rsid w:val="BAD628D8"/>
    <w:rsid w:val="CEFD2443"/>
    <w:rsid w:val="EF1756F7"/>
    <w:rsid w:val="EF5F0A71"/>
    <w:rsid w:val="F1FF9D1F"/>
    <w:rsid w:val="F7EF8F6F"/>
    <w:rsid w:val="FBF3A76B"/>
    <w:rsid w:val="FBF3F6F6"/>
    <w:rsid w:val="FDF7D399"/>
    <w:rsid w:val="FFFF61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nhideWhenUsed="0" w:uiPriority="0"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44"/>
    </w:rPr>
  </w:style>
  <w:style w:type="paragraph" w:styleId="3">
    <w:name w:val="heading 2"/>
    <w:basedOn w:val="1"/>
    <w:next w:val="1"/>
    <w:qFormat/>
    <w:uiPriority w:val="0"/>
    <w:pPr>
      <w:keepNext/>
      <w:keepLines/>
      <w:spacing w:line="413" w:lineRule="auto"/>
      <w:outlineLvl w:val="1"/>
    </w:pPr>
    <w:rPr>
      <w:rFonts w:ascii="Arial" w:hAnsi="Arial" w:eastAsia="黑体"/>
      <w:b/>
      <w:sz w:val="32"/>
    </w:rPr>
  </w:style>
  <w:style w:type="paragraph" w:styleId="4">
    <w:name w:val="heading 3"/>
    <w:basedOn w:val="1"/>
    <w:next w:val="1"/>
    <w:qFormat/>
    <w:uiPriority w:val="0"/>
    <w:pPr>
      <w:keepNext/>
      <w:keepLines/>
      <w:spacing w:line="413" w:lineRule="auto"/>
      <w:outlineLvl w:val="2"/>
    </w:pPr>
    <w:rPr>
      <w:b/>
      <w:sz w:val="32"/>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annotation text"/>
    <w:basedOn w:val="1"/>
    <w:link w:val="20"/>
    <w:semiHidden/>
    <w:unhideWhenUsed/>
    <w:uiPriority w:val="99"/>
    <w:pPr>
      <w:jc w:val="left"/>
    </w:pPr>
  </w:style>
  <w:style w:type="paragraph" w:styleId="7">
    <w:name w:val="Body Text Indent"/>
    <w:basedOn w:val="1"/>
    <w:qFormat/>
    <w:uiPriority w:val="0"/>
    <w:pPr>
      <w:ind w:left="-210" w:leftChars="-102" w:firstLine="471" w:firstLineChars="200"/>
    </w:pPr>
    <w:rPr>
      <w:sz w:val="24"/>
    </w:rPr>
  </w:style>
  <w:style w:type="paragraph" w:styleId="8">
    <w:name w:val="Body Text Indent 2"/>
    <w:basedOn w:val="1"/>
    <w:qFormat/>
    <w:uiPriority w:val="0"/>
    <w:pPr>
      <w:ind w:firstLine="471" w:firstLineChars="200"/>
    </w:pPr>
    <w:rPr>
      <w:sz w:val="24"/>
    </w:rPr>
  </w:style>
  <w:style w:type="paragraph" w:styleId="9">
    <w:name w:val="Balloon Text"/>
    <w:basedOn w:val="1"/>
    <w:link w:val="22"/>
    <w:semiHidden/>
    <w:unhideWhenUsed/>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annotation subject"/>
    <w:basedOn w:val="6"/>
    <w:next w:val="6"/>
    <w:link w:val="21"/>
    <w:semiHidden/>
    <w:unhideWhenUsed/>
    <w:uiPriority w:val="99"/>
    <w:rPr>
      <w:b/>
      <w:bCs/>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Hyperlink"/>
    <w:basedOn w:val="15"/>
    <w:unhideWhenUsed/>
    <w:qFormat/>
    <w:uiPriority w:val="99"/>
    <w:rPr>
      <w:color w:val="0000FF" w:themeColor="hyperlink"/>
      <w:u w:val="single"/>
      <w14:textFill>
        <w14:solidFill>
          <w14:schemeClr w14:val="hlink"/>
        </w14:solidFill>
      </w14:textFill>
    </w:rPr>
  </w:style>
  <w:style w:type="character" w:styleId="17">
    <w:name w:val="annotation reference"/>
    <w:basedOn w:val="15"/>
    <w:semiHidden/>
    <w:unhideWhenUsed/>
    <w:uiPriority w:val="99"/>
    <w:rPr>
      <w:sz w:val="21"/>
      <w:szCs w:val="21"/>
    </w:rPr>
  </w:style>
  <w:style w:type="character" w:customStyle="1" w:styleId="18">
    <w:name w:val="页眉 字符"/>
    <w:basedOn w:val="15"/>
    <w:link w:val="11"/>
    <w:qFormat/>
    <w:uiPriority w:val="99"/>
    <w:rPr>
      <w:sz w:val="18"/>
      <w:szCs w:val="18"/>
    </w:rPr>
  </w:style>
  <w:style w:type="character" w:customStyle="1" w:styleId="19">
    <w:name w:val="页脚 字符"/>
    <w:basedOn w:val="15"/>
    <w:link w:val="10"/>
    <w:qFormat/>
    <w:uiPriority w:val="99"/>
    <w:rPr>
      <w:sz w:val="18"/>
      <w:szCs w:val="18"/>
    </w:rPr>
  </w:style>
  <w:style w:type="character" w:customStyle="1" w:styleId="20">
    <w:name w:val="批注文字 字符"/>
    <w:basedOn w:val="15"/>
    <w:link w:val="6"/>
    <w:semiHidden/>
    <w:qFormat/>
    <w:uiPriority w:val="99"/>
  </w:style>
  <w:style w:type="character" w:customStyle="1" w:styleId="21">
    <w:name w:val="批注主题 字符"/>
    <w:basedOn w:val="20"/>
    <w:link w:val="12"/>
    <w:semiHidden/>
    <w:qFormat/>
    <w:uiPriority w:val="99"/>
    <w:rPr>
      <w:b/>
      <w:bCs/>
    </w:rPr>
  </w:style>
  <w:style w:type="character" w:customStyle="1" w:styleId="22">
    <w:name w:val="批注框文本 字符"/>
    <w:basedOn w:val="15"/>
    <w:link w:val="9"/>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Normal (Web) Char Char"/>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54</Pages>
  <Words>15080</Words>
  <Characters>17799</Characters>
  <Lines>135</Lines>
  <Paragraphs>38</Paragraphs>
  <TotalTime>4</TotalTime>
  <ScaleCrop>false</ScaleCrop>
  <LinksUpToDate>false</LinksUpToDate>
  <CharactersWithSpaces>18263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2020-10-27T14:56:00Z</dcterms:created>
  <dc:creator>Sky123.Org</dc:creator>
  <cp:lastModifiedBy>逻辑黑猫</cp:lastModifiedBy>
  <dcterms:modified xsi:type="dcterms:W3CDTF">2024-05-27T20:54:36Z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D1D5B2E4B0FD489FA6496C4A485B0617_13</vt:lpwstr>
  </property>
</Properties>
</file>