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A7B7D">
      <w:pPr>
        <w:spacing w:line="240" w:lineRule="auto"/>
        <w:rPr>
          <w:rFonts w:ascii="微软雅黑" w:hAnsi="微软雅黑" w:eastAsia="微软雅黑" w:cs="Calibri"/>
          <w:b/>
          <w:iCs/>
          <w:sz w:val="30"/>
          <w:szCs w:val="30"/>
        </w:rPr>
      </w:pPr>
      <w:r>
        <w:rPr>
          <w:rFonts w:hint="eastAsia" w:ascii="微软雅黑" w:hAnsi="微软雅黑" w:eastAsia="微软雅黑" w:cs="Calibri"/>
          <w:b/>
          <w:iCs/>
          <w:sz w:val="30"/>
          <w:szCs w:val="30"/>
        </w:rPr>
        <w:t>吴磊 博士</w:t>
      </w:r>
    </w:p>
    <w:p w14:paraId="325E0D4B">
      <w:pPr>
        <w:spacing w:line="240" w:lineRule="auto"/>
        <w:rPr>
          <w:rFonts w:ascii="微软雅黑" w:hAnsi="微软雅黑" w:eastAsia="微软雅黑" w:cs="Calibri"/>
          <w:b/>
          <w:iCs/>
          <w:sz w:val="18"/>
          <w:szCs w:val="18"/>
          <w:u w:val="single"/>
        </w:rPr>
      </w:pPr>
    </w:p>
    <w:p w14:paraId="37C8A4ED">
      <w:pPr>
        <w:spacing w:line="240" w:lineRule="auto"/>
        <w:rPr>
          <w:rFonts w:ascii="微软雅黑" w:hAnsi="微软雅黑" w:eastAsia="微软雅黑" w:cs="Calibri"/>
          <w:b/>
          <w:i/>
          <w:sz w:val="18"/>
          <w:szCs w:val="18"/>
          <w:u w:val="single"/>
        </w:rPr>
      </w:pPr>
      <w:r>
        <w:rPr>
          <w:rFonts w:hint="eastAsia" w:ascii="微软雅黑" w:hAnsi="微软雅黑" w:eastAsia="微软雅黑" w:cs="Calibri"/>
          <w:b/>
          <w:iCs/>
          <w:sz w:val="18"/>
          <w:szCs w:val="18"/>
          <w:u w:val="single"/>
        </w:rPr>
        <w:t>简介</w:t>
      </w:r>
    </w:p>
    <w:p w14:paraId="72C0D3A6">
      <w:pPr>
        <w:spacing w:line="240" w:lineRule="auto"/>
        <w:rPr>
          <w:rFonts w:hint="eastAsia" w:ascii="微软雅黑" w:hAnsi="微软雅黑" w:eastAsia="微软雅黑" w:cs="Calibri"/>
          <w:sz w:val="18"/>
          <w:szCs w:val="18"/>
        </w:rPr>
      </w:pPr>
      <w:r>
        <w:rPr>
          <w:rFonts w:hint="eastAsia" w:ascii="微软雅黑" w:hAnsi="微软雅黑" w:eastAsia="微软雅黑" w:cs="Calibri"/>
          <w:sz w:val="18"/>
          <w:szCs w:val="18"/>
        </w:rPr>
        <w:t>男，1986年出生，河南人，中国籍。现任四川大学副研究员（2026年1月至今），入选启明人才计划（待落地）、教育部海外</w:t>
      </w:r>
      <w:r>
        <w:rPr>
          <w:rFonts w:hint="eastAsia" w:ascii="微软雅黑" w:hAnsi="微软雅黑" w:eastAsia="微软雅黑" w:cs="Calibri"/>
          <w:sz w:val="18"/>
          <w:szCs w:val="18"/>
          <w:lang w:val="en-US" w:eastAsia="zh-CN"/>
        </w:rPr>
        <w:t>博士后引才专项、</w:t>
      </w:r>
      <w:r>
        <w:rPr>
          <w:rFonts w:hint="eastAsia" w:ascii="微软雅黑" w:hAnsi="微软雅黑" w:eastAsia="微软雅黑" w:cs="Calibri"/>
          <w:sz w:val="18"/>
          <w:szCs w:val="18"/>
        </w:rPr>
        <w:t>四川大学“双百B计划”。16年7月博士毕业于德国亚琛工业大学高分子化学专业，具备丰富的国际科研经历（香港科技大学、普林斯顿大学、UNC Chapel Hill），从事聚合物精密合成与聚合物功能复合材料研究经验超10年。</w:t>
      </w:r>
    </w:p>
    <w:p w14:paraId="482EB89F">
      <w:pPr>
        <w:spacing w:after="140" w:line="240" w:lineRule="auto"/>
        <w:rPr>
          <w:rFonts w:ascii="微软雅黑" w:hAnsi="微软雅黑" w:eastAsia="微软雅黑" w:cs="Calibri"/>
          <w:b/>
          <w:iCs/>
          <w:sz w:val="18"/>
          <w:szCs w:val="18"/>
          <w:u w:val="single"/>
        </w:rPr>
      </w:pPr>
    </w:p>
    <w:p w14:paraId="5E6F098D">
      <w:pPr>
        <w:spacing w:line="240" w:lineRule="auto"/>
        <w:rPr>
          <w:rFonts w:ascii="微软雅黑" w:hAnsi="微软雅黑" w:eastAsia="微软雅黑" w:cs="Calibri"/>
          <w:b/>
          <w:iCs/>
          <w:sz w:val="18"/>
          <w:szCs w:val="18"/>
          <w:u w:val="single"/>
        </w:rPr>
      </w:pPr>
      <w:r>
        <w:rPr>
          <w:rFonts w:hint="eastAsia" w:ascii="微软雅黑" w:hAnsi="微软雅黑" w:eastAsia="微软雅黑" w:cs="Calibri"/>
          <w:b/>
          <w:iCs/>
          <w:sz w:val="18"/>
          <w:szCs w:val="18"/>
          <w:u w:val="single"/>
        </w:rPr>
        <w:t>研究领域</w:t>
      </w:r>
      <w:r>
        <w:rPr>
          <w:rFonts w:ascii="微软雅黑" w:hAnsi="微软雅黑" w:eastAsia="微软雅黑" w:cs="Calibri"/>
          <w:b/>
          <w:iCs/>
          <w:sz w:val="18"/>
          <w:szCs w:val="18"/>
          <w:u w:val="single"/>
        </w:rPr>
        <w:t>:</w:t>
      </w:r>
    </w:p>
    <w:p w14:paraId="4ADD803A">
      <w:pPr>
        <w:spacing w:line="240" w:lineRule="auto"/>
        <w:rPr>
          <w:rFonts w:hint="eastAsia" w:ascii="微软雅黑" w:hAnsi="微软雅黑" w:eastAsia="微软雅黑" w:cs="Calibri"/>
          <w:sz w:val="18"/>
          <w:szCs w:val="18"/>
        </w:rPr>
      </w:pPr>
      <w:r>
        <w:rPr>
          <w:rFonts w:hint="eastAsia" w:ascii="微软雅黑" w:hAnsi="微软雅黑" w:eastAsia="微软雅黑" w:cs="Calibri"/>
          <w:sz w:val="18"/>
          <w:szCs w:val="18"/>
        </w:rPr>
        <w:t>1.精密高分子合成与聚合物工程（ROMP、ATRP/RAFT、ROP、瓶刷聚合物、界面聚合）</w:t>
      </w:r>
    </w:p>
    <w:p w14:paraId="51F163E6">
      <w:pPr>
        <w:spacing w:line="240" w:lineRule="auto"/>
        <w:rPr>
          <w:rFonts w:hint="eastAsia" w:ascii="微软雅黑" w:hAnsi="微软雅黑" w:eastAsia="微软雅黑" w:cs="Calibri"/>
          <w:sz w:val="18"/>
          <w:szCs w:val="18"/>
        </w:rPr>
      </w:pPr>
      <w:r>
        <w:rPr>
          <w:rFonts w:hint="eastAsia" w:ascii="微软雅黑" w:hAnsi="微软雅黑" w:eastAsia="微软雅黑" w:cs="Calibri"/>
          <w:sz w:val="18"/>
          <w:szCs w:val="18"/>
        </w:rPr>
        <w:t>2.功能材料与可持续循环利用塑料</w:t>
      </w:r>
    </w:p>
    <w:p w14:paraId="6A18C08E">
      <w:pPr>
        <w:spacing w:line="240" w:lineRule="auto"/>
        <w:rPr>
          <w:rFonts w:hint="eastAsia" w:ascii="微软雅黑" w:hAnsi="微软雅黑" w:eastAsia="微软雅黑" w:cs="Calibri"/>
          <w:sz w:val="18"/>
          <w:szCs w:val="18"/>
        </w:rPr>
      </w:pPr>
      <w:r>
        <w:rPr>
          <w:rFonts w:hint="eastAsia" w:ascii="微软雅黑" w:hAnsi="微软雅黑" w:eastAsia="微软雅黑" w:cs="Calibri"/>
          <w:sz w:val="18"/>
          <w:szCs w:val="18"/>
        </w:rPr>
        <w:t>3.聚集诱导发光（AIE）聚合物、纳米复合材料及刺激响应型材料</w:t>
      </w:r>
    </w:p>
    <w:p w14:paraId="203A9F02">
      <w:pPr>
        <w:spacing w:line="240" w:lineRule="auto"/>
        <w:rPr>
          <w:rFonts w:hint="default" w:ascii="微软雅黑" w:hAnsi="微软雅黑" w:eastAsia="微软雅黑" w:cs="Calibri"/>
          <w:sz w:val="18"/>
          <w:szCs w:val="18"/>
          <w:lang w:val="en-US" w:eastAsia="zh-CN"/>
        </w:rPr>
      </w:pPr>
      <w:r>
        <w:rPr>
          <w:rFonts w:hint="eastAsia" w:ascii="微软雅黑" w:hAnsi="微软雅黑" w:eastAsia="微软雅黑" w:cs="Calibri"/>
          <w:sz w:val="18"/>
          <w:szCs w:val="18"/>
        </w:rPr>
        <w:t>4.多尺度聚合物材料模拟</w:t>
      </w:r>
      <w:r>
        <w:rPr>
          <w:rFonts w:hint="eastAsia" w:ascii="微软雅黑" w:hAnsi="微软雅黑" w:eastAsia="微软雅黑" w:cs="Calibri"/>
          <w:sz w:val="18"/>
          <w:szCs w:val="18"/>
          <w:lang w:val="en-US" w:eastAsia="zh-CN"/>
        </w:rPr>
        <w:t>以及AI4Science</w:t>
      </w:r>
    </w:p>
    <w:p w14:paraId="3FDBB077">
      <w:pPr>
        <w:spacing w:line="240" w:lineRule="auto"/>
        <w:rPr>
          <w:rFonts w:hint="eastAsia" w:ascii="微软雅黑" w:hAnsi="微软雅黑" w:eastAsia="微软雅黑" w:cs="Calibri"/>
          <w:sz w:val="18"/>
          <w:szCs w:val="18"/>
        </w:rPr>
      </w:pPr>
      <w:r>
        <w:rPr>
          <w:rFonts w:hint="eastAsia" w:ascii="微软雅黑" w:hAnsi="微软雅黑" w:eastAsia="微软雅黑" w:cs="Calibri"/>
          <w:sz w:val="18"/>
          <w:szCs w:val="18"/>
        </w:rPr>
        <w:t>5.界面电化学修饰与太阳能燃料生产</w:t>
      </w:r>
    </w:p>
    <w:p w14:paraId="7D9C40DF">
      <w:pPr>
        <w:spacing w:line="240" w:lineRule="auto"/>
        <w:rPr>
          <w:rFonts w:hint="eastAsia" w:ascii="微软雅黑" w:hAnsi="微软雅黑" w:eastAsia="微软雅黑" w:cs="Calibri"/>
          <w:sz w:val="18"/>
          <w:szCs w:val="18"/>
        </w:rPr>
      </w:pPr>
      <w:bookmarkStart w:id="0" w:name="_GoBack"/>
      <w:bookmarkEnd w:id="0"/>
    </w:p>
    <w:p w14:paraId="6CDAA8C1">
      <w:pPr>
        <w:spacing w:line="240" w:lineRule="auto"/>
        <w:rPr>
          <w:rFonts w:ascii="微软雅黑" w:hAnsi="微软雅黑" w:eastAsia="微软雅黑" w:cs="Calibri"/>
          <w:b/>
          <w:iCs/>
          <w:sz w:val="18"/>
          <w:szCs w:val="18"/>
          <w:u w:val="single"/>
        </w:rPr>
      </w:pPr>
      <w:r>
        <w:rPr>
          <w:rFonts w:hint="eastAsia" w:ascii="微软雅黑" w:hAnsi="微软雅黑" w:eastAsia="微软雅黑" w:cs="Calibri"/>
          <w:b/>
          <w:iCs/>
          <w:sz w:val="18"/>
          <w:szCs w:val="18"/>
          <w:u w:val="single"/>
        </w:rPr>
        <w:t>科研项目经历：</w:t>
      </w:r>
    </w:p>
    <w:p w14:paraId="0B6A2FF2">
      <w:pPr>
        <w:spacing w:line="240" w:lineRule="auto"/>
        <w:rPr>
          <w:rFonts w:ascii="微软雅黑" w:hAnsi="微软雅黑" w:eastAsia="微软雅黑" w:cs="Calibri"/>
          <w:sz w:val="18"/>
          <w:szCs w:val="18"/>
        </w:rPr>
      </w:pPr>
      <w:r>
        <w:rPr>
          <w:rFonts w:ascii="Times New Roman" w:eastAsia="微软雅黑"/>
          <w:b/>
          <w:iCs/>
          <w:sz w:val="18"/>
          <w:szCs w:val="18"/>
        </w:rPr>
        <w:t>12/2021-04/2025</w:t>
      </w:r>
      <w:r>
        <w:rPr>
          <w:rFonts w:ascii="微软雅黑" w:hAnsi="微软雅黑" w:eastAsia="微软雅黑" w:cs="Calibri"/>
          <w:b/>
          <w:iCs/>
          <w:sz w:val="18"/>
          <w:szCs w:val="18"/>
        </w:rPr>
        <w:t>,</w:t>
      </w:r>
      <w:r>
        <w:rPr>
          <w:rFonts w:ascii="微软雅黑" w:hAnsi="微软雅黑" w:eastAsia="微软雅黑" w:cs="Calibri"/>
          <w:sz w:val="18"/>
          <w:szCs w:val="18"/>
        </w:rPr>
        <w:t xml:space="preserve"> </w:t>
      </w:r>
      <w:r>
        <w:rPr>
          <w:rFonts w:hint="eastAsia" w:ascii="微软雅黑" w:hAnsi="微软雅黑" w:eastAsia="微软雅黑" w:cs="Calibri"/>
          <w:sz w:val="18"/>
          <w:szCs w:val="18"/>
        </w:rPr>
        <w:t>香港科技大学化学系和国家组织工程中心，博士后研究员，合作导师：唐本忠院士</w:t>
      </w:r>
    </w:p>
    <w:p w14:paraId="0F6CE542">
      <w:pPr>
        <w:spacing w:line="240" w:lineRule="auto"/>
        <w:rPr>
          <w:rFonts w:ascii="微软雅黑" w:hAnsi="微软雅黑" w:eastAsia="微软雅黑" w:cs="Calibri"/>
          <w:sz w:val="18"/>
          <w:szCs w:val="18"/>
        </w:rPr>
      </w:pPr>
      <w:r>
        <w:rPr>
          <w:rFonts w:hint="eastAsia" w:ascii="微软雅黑" w:hAnsi="微软雅黑" w:eastAsia="微软雅黑" w:cs="Calibri"/>
          <w:b/>
          <w:bCs/>
          <w:sz w:val="18"/>
          <w:szCs w:val="18"/>
        </w:rPr>
        <w:t>工作职能</w:t>
      </w:r>
      <w:r>
        <w:rPr>
          <w:rFonts w:ascii="微软雅黑" w:hAnsi="微软雅黑" w:eastAsia="微软雅黑" w:cs="Calibri"/>
          <w:b/>
          <w:bCs/>
          <w:sz w:val="18"/>
          <w:szCs w:val="18"/>
        </w:rPr>
        <w:t>：</w:t>
      </w:r>
      <w:r>
        <w:rPr>
          <w:rFonts w:ascii="微软雅黑" w:hAnsi="微软雅黑" w:eastAsia="微软雅黑" w:cs="Calibri"/>
          <w:sz w:val="18"/>
          <w:szCs w:val="18"/>
        </w:rPr>
        <w:t>利用AIE技术首次视觉化验证了瓶刷聚合物内部的拥挤效应</w:t>
      </w:r>
      <w:r>
        <w:rPr>
          <w:rFonts w:hint="eastAsia" w:ascii="微软雅黑" w:hAnsi="微软雅黑" w:eastAsia="微软雅黑" w:cs="Calibri"/>
          <w:sz w:val="18"/>
          <w:szCs w:val="18"/>
        </w:rPr>
        <w:t>(</w:t>
      </w:r>
      <w:r>
        <w:rPr>
          <w:rFonts w:ascii="Times New Roman" w:eastAsia="微软雅黑"/>
          <w:i/>
          <w:sz w:val="18"/>
          <w:szCs w:val="18"/>
        </w:rPr>
        <w:t>Angew. Chem. Int. Ed.</w:t>
      </w:r>
      <w:r>
        <w:rPr>
          <w:rFonts w:ascii="Times New Roman" w:eastAsia="微软雅黑"/>
          <w:iCs/>
          <w:sz w:val="18"/>
          <w:szCs w:val="18"/>
        </w:rPr>
        <w:t xml:space="preserve"> </w:t>
      </w:r>
      <w:r>
        <w:rPr>
          <w:rFonts w:ascii="Times New Roman" w:eastAsia="微软雅黑"/>
          <w:b/>
          <w:bCs/>
          <w:iCs/>
          <w:sz w:val="18"/>
          <w:szCs w:val="18"/>
        </w:rPr>
        <w:t>2025</w:t>
      </w:r>
      <w:r>
        <w:rPr>
          <w:rFonts w:ascii="Times New Roman" w:eastAsia="微软雅黑"/>
          <w:iCs/>
          <w:sz w:val="18"/>
          <w:szCs w:val="18"/>
        </w:rPr>
        <w:t xml:space="preserve">, </w:t>
      </w:r>
      <w:r>
        <w:rPr>
          <w:rFonts w:ascii="Times New Roman" w:eastAsia="微软雅黑"/>
          <w:i/>
          <w:sz w:val="18"/>
          <w:szCs w:val="18"/>
        </w:rPr>
        <w:t>64</w:t>
      </w:r>
      <w:r>
        <w:rPr>
          <w:rFonts w:ascii="Times New Roman" w:eastAsia="微软雅黑"/>
          <w:iCs/>
          <w:sz w:val="18"/>
          <w:szCs w:val="18"/>
        </w:rPr>
        <w:t>, e202500850</w:t>
      </w:r>
      <w:r>
        <w:rPr>
          <w:rFonts w:hint="eastAsia" w:ascii="Times New Roman" w:eastAsia="微软雅黑"/>
          <w:iCs/>
          <w:sz w:val="18"/>
          <w:szCs w:val="18"/>
        </w:rPr>
        <w:t>)</w:t>
      </w:r>
      <w:r>
        <w:rPr>
          <w:rFonts w:hint="eastAsia" w:ascii="微软雅黑" w:hAnsi="微软雅黑" w:eastAsia="微软雅黑" w:cs="Calibri"/>
          <w:sz w:val="18"/>
          <w:szCs w:val="18"/>
        </w:rPr>
        <w:t>，</w:t>
      </w:r>
      <w:r>
        <w:rPr>
          <w:rFonts w:ascii="微软雅黑" w:hAnsi="微软雅黑" w:eastAsia="微软雅黑" w:cs="Calibri"/>
          <w:sz w:val="18"/>
          <w:szCs w:val="18"/>
        </w:rPr>
        <w:t>独立搭建光散射仪器平台，支撑国家组织再生工程重点项目 。</w:t>
      </w:r>
    </w:p>
    <w:p w14:paraId="60CC6DD5">
      <w:pPr>
        <w:spacing w:line="240" w:lineRule="auto"/>
        <w:rPr>
          <w:rFonts w:ascii="微软雅黑" w:hAnsi="微软雅黑" w:eastAsia="微软雅黑" w:cs="Calibri"/>
          <w:b/>
          <w:bCs/>
          <w:sz w:val="18"/>
          <w:szCs w:val="18"/>
        </w:rPr>
      </w:pPr>
      <w:r>
        <w:rPr>
          <w:rFonts w:hint="eastAsia" w:ascii="微软雅黑" w:hAnsi="微软雅黑" w:eastAsia="微软雅黑" w:cs="Calibri"/>
          <w:b/>
          <w:bCs/>
          <w:sz w:val="18"/>
          <w:szCs w:val="18"/>
        </w:rPr>
        <w:t>参与项目：</w:t>
      </w:r>
      <w:r>
        <w:rPr>
          <w:rFonts w:hint="eastAsia" w:ascii="微软雅黑" w:hAnsi="微软雅黑" w:eastAsia="微软雅黑" w:cs="Calibri"/>
          <w:sz w:val="18"/>
          <w:szCs w:val="18"/>
        </w:rPr>
        <w:t>分子聚集体的诱导发光 (</w:t>
      </w:r>
      <w:r>
        <w:rPr>
          <w:rFonts w:hint="eastAsia" w:ascii="Times New Roman" w:eastAsia="微软雅黑"/>
          <w:sz w:val="18"/>
          <w:szCs w:val="18"/>
        </w:rPr>
        <w:t xml:space="preserve">Research </w:t>
      </w:r>
      <w:r>
        <w:rPr>
          <w:rFonts w:ascii="Times New Roman" w:eastAsia="微软雅黑"/>
          <w:sz w:val="18"/>
          <w:szCs w:val="18"/>
        </w:rPr>
        <w:t>Grants Council of Hong Kong</w:t>
      </w:r>
      <w:r>
        <w:rPr>
          <w:rFonts w:hint="eastAsia" w:ascii="Times New Roman" w:eastAsia="微软雅黑"/>
          <w:sz w:val="18"/>
          <w:szCs w:val="18"/>
        </w:rPr>
        <w:t xml:space="preserve">, 2 </w:t>
      </w:r>
      <w:r>
        <w:rPr>
          <w:rFonts w:ascii="Times New Roman" w:eastAsia="微软雅黑"/>
          <w:sz w:val="18"/>
          <w:szCs w:val="18"/>
        </w:rPr>
        <w:t>million</w:t>
      </w:r>
      <w:r>
        <w:rPr>
          <w:rFonts w:hint="eastAsia" w:ascii="Times New Roman" w:eastAsia="微软雅黑"/>
          <w:sz w:val="18"/>
          <w:szCs w:val="18"/>
        </w:rPr>
        <w:t xml:space="preserve"> HKD</w:t>
      </w:r>
      <w:r>
        <w:rPr>
          <w:rFonts w:ascii="Times New Roman" w:eastAsia="微软雅黑"/>
          <w:sz w:val="18"/>
          <w:szCs w:val="18"/>
        </w:rPr>
        <w:t>/year</w:t>
      </w:r>
      <w:r>
        <w:rPr>
          <w:rFonts w:ascii="微软雅黑" w:hAnsi="微软雅黑" w:eastAsia="微软雅黑" w:cs="Calibri"/>
          <w:sz w:val="18"/>
          <w:szCs w:val="18"/>
        </w:rPr>
        <w:t>)</w:t>
      </w:r>
    </w:p>
    <w:p w14:paraId="540569C1">
      <w:pPr>
        <w:spacing w:after="140" w:line="240" w:lineRule="auto"/>
        <w:rPr>
          <w:rFonts w:ascii="微软雅黑" w:hAnsi="微软雅黑" w:eastAsia="微软雅黑" w:cs="Calibri"/>
          <w:b/>
          <w:iCs/>
          <w:sz w:val="18"/>
          <w:szCs w:val="18"/>
          <w:u w:val="single"/>
        </w:rPr>
      </w:pPr>
    </w:p>
    <w:p w14:paraId="6A0D916E">
      <w:pPr>
        <w:spacing w:line="240" w:lineRule="auto"/>
        <w:rPr>
          <w:rFonts w:ascii="微软雅黑" w:hAnsi="微软雅黑" w:eastAsia="微软雅黑" w:cs="Calibri"/>
          <w:sz w:val="18"/>
          <w:szCs w:val="18"/>
        </w:rPr>
      </w:pPr>
      <w:r>
        <w:rPr>
          <w:rFonts w:ascii="Times New Roman" w:eastAsia="微软雅黑"/>
          <w:b/>
          <w:iCs/>
          <w:sz w:val="18"/>
          <w:szCs w:val="18"/>
        </w:rPr>
        <w:t>06/2019-11/2021</w:t>
      </w:r>
      <w:r>
        <w:rPr>
          <w:rFonts w:ascii="微软雅黑" w:hAnsi="微软雅黑" w:eastAsia="微软雅黑" w:cs="Calibri"/>
          <w:b/>
          <w:iCs/>
          <w:sz w:val="18"/>
          <w:szCs w:val="18"/>
        </w:rPr>
        <w:t>,</w:t>
      </w:r>
      <w:r>
        <w:rPr>
          <w:rFonts w:ascii="微软雅黑" w:hAnsi="微软雅黑" w:eastAsia="微软雅黑" w:cs="Calibri"/>
          <w:sz w:val="18"/>
          <w:szCs w:val="18"/>
        </w:rPr>
        <w:t xml:space="preserve"> </w:t>
      </w:r>
      <w:r>
        <w:rPr>
          <w:rFonts w:hint="eastAsia" w:ascii="微软雅黑" w:hAnsi="微软雅黑" w:eastAsia="微软雅黑" w:cs="Calibri"/>
          <w:sz w:val="18"/>
          <w:szCs w:val="18"/>
        </w:rPr>
        <w:t>普林斯顿大学化学工程系，博士后研究员，合作：</w:t>
      </w:r>
      <w:r>
        <w:rPr>
          <w:rFonts w:ascii="Times New Roman" w:eastAsia="微软雅黑"/>
          <w:sz w:val="18"/>
          <w:szCs w:val="18"/>
        </w:rPr>
        <w:t>Richard A. Register</w:t>
      </w:r>
      <w:r>
        <w:rPr>
          <w:rFonts w:hint="eastAsia" w:ascii="微软雅黑" w:hAnsi="微软雅黑" w:eastAsia="微软雅黑" w:cs="Calibri"/>
          <w:sz w:val="18"/>
          <w:szCs w:val="18"/>
        </w:rPr>
        <w:t>教授</w:t>
      </w:r>
      <w:r>
        <w:rPr>
          <w:rFonts w:ascii="微软雅黑" w:hAnsi="微软雅黑" w:eastAsia="微软雅黑" w:cs="Calibri"/>
          <w:sz w:val="18"/>
          <w:szCs w:val="18"/>
        </w:rPr>
        <w:t xml:space="preserve"> </w:t>
      </w:r>
    </w:p>
    <w:p w14:paraId="2B0E2F1F">
      <w:pPr>
        <w:spacing w:line="240" w:lineRule="auto"/>
        <w:rPr>
          <w:rFonts w:ascii="微软雅黑" w:hAnsi="微软雅黑" w:eastAsia="微软雅黑" w:cs="Calibri"/>
          <w:sz w:val="18"/>
          <w:szCs w:val="18"/>
        </w:rPr>
      </w:pPr>
      <w:r>
        <w:rPr>
          <w:rFonts w:hint="eastAsia" w:ascii="微软雅黑" w:hAnsi="微软雅黑" w:eastAsia="微软雅黑" w:cs="Calibri"/>
          <w:b/>
          <w:bCs/>
          <w:sz w:val="18"/>
          <w:szCs w:val="18"/>
        </w:rPr>
        <w:t>工作职能</w:t>
      </w:r>
      <w:r>
        <w:rPr>
          <w:rFonts w:ascii="微软雅黑" w:hAnsi="微软雅黑" w:eastAsia="微软雅黑" w:cs="Calibri"/>
          <w:b/>
          <w:bCs/>
          <w:sz w:val="18"/>
          <w:szCs w:val="18"/>
        </w:rPr>
        <w:t>：</w:t>
      </w:r>
      <w:r>
        <w:rPr>
          <w:rFonts w:ascii="微软雅黑" w:hAnsi="微软雅黑" w:eastAsia="微软雅黑" w:cs="Calibri"/>
          <w:sz w:val="18"/>
          <w:szCs w:val="18"/>
        </w:rPr>
        <w:t xml:space="preserve"> 采用自上而下的</w:t>
      </w:r>
      <w:r>
        <w:rPr>
          <w:rFonts w:hint="eastAsia" w:ascii="微软雅黑" w:hAnsi="微软雅黑" w:eastAsia="微软雅黑" w:cs="Calibri"/>
          <w:sz w:val="18"/>
          <w:szCs w:val="18"/>
        </w:rPr>
        <w:t>聚合物链间烯烃复分解方法</w:t>
      </w:r>
      <w:r>
        <w:rPr>
          <w:rFonts w:ascii="微软雅黑" w:hAnsi="微软雅黑" w:eastAsia="微软雅黑" w:cs="Calibri"/>
          <w:sz w:val="18"/>
          <w:szCs w:val="18"/>
        </w:rPr>
        <w:t>，</w:t>
      </w:r>
      <w:r>
        <w:rPr>
          <w:rFonts w:hint="eastAsia" w:ascii="微软雅黑" w:hAnsi="微软雅黑" w:eastAsia="微软雅黑" w:cs="Calibri"/>
          <w:sz w:val="18"/>
          <w:szCs w:val="18"/>
        </w:rPr>
        <w:t>利用开环易位聚合和加氢技术，制备结晶</w:t>
      </w:r>
      <w:r>
        <w:rPr>
          <w:rFonts w:ascii="微软雅黑" w:hAnsi="微软雅黑" w:eastAsia="微软雅黑" w:cs="Calibri"/>
          <w:sz w:val="18"/>
          <w:szCs w:val="18"/>
        </w:rPr>
        <w:t>多嵌段共聚物</w:t>
      </w:r>
      <w:r>
        <w:rPr>
          <w:rFonts w:hint="eastAsia" w:ascii="微软雅黑" w:hAnsi="微软雅黑" w:eastAsia="微软雅黑" w:cs="Calibri"/>
          <w:sz w:val="18"/>
          <w:szCs w:val="18"/>
        </w:rPr>
        <w:t>(</w:t>
      </w:r>
      <w:r>
        <w:rPr>
          <w:rFonts w:ascii="Times New Roman" w:eastAsia="微软雅黑"/>
          <w:i/>
          <w:sz w:val="18"/>
          <w:szCs w:val="18"/>
        </w:rPr>
        <w:t>Cell Reports Physical Science,</w:t>
      </w:r>
      <w:r>
        <w:rPr>
          <w:rFonts w:hint="eastAsia" w:ascii="Times New Roman" w:eastAsia="微软雅黑"/>
          <w:iCs/>
          <w:sz w:val="18"/>
          <w:szCs w:val="18"/>
        </w:rPr>
        <w:t xml:space="preserve"> </w:t>
      </w:r>
      <w:r>
        <w:rPr>
          <w:rFonts w:ascii="Times New Roman" w:eastAsia="微软雅黑"/>
          <w:b/>
          <w:bCs/>
          <w:iCs/>
          <w:sz w:val="18"/>
          <w:szCs w:val="18"/>
        </w:rPr>
        <w:t>2026</w:t>
      </w:r>
      <w:r>
        <w:rPr>
          <w:rFonts w:ascii="Times New Roman" w:eastAsia="微软雅黑"/>
          <w:iCs/>
          <w:sz w:val="18"/>
          <w:szCs w:val="18"/>
        </w:rPr>
        <w:t xml:space="preserve">, </w:t>
      </w:r>
      <w:r>
        <w:rPr>
          <w:rFonts w:ascii="Times New Roman" w:eastAsia="微软雅黑"/>
          <w:i/>
          <w:sz w:val="18"/>
          <w:szCs w:val="18"/>
        </w:rPr>
        <w:t>7</w:t>
      </w:r>
      <w:r>
        <w:rPr>
          <w:rFonts w:hint="eastAsia" w:ascii="Times New Roman" w:eastAsia="微软雅黑"/>
          <w:iCs/>
          <w:sz w:val="18"/>
          <w:szCs w:val="18"/>
        </w:rPr>
        <w:t>, 103135)</w:t>
      </w:r>
      <w:r>
        <w:rPr>
          <w:rFonts w:ascii="微软雅黑" w:hAnsi="微软雅黑" w:eastAsia="微软雅黑" w:cs="Calibri"/>
          <w:sz w:val="18"/>
          <w:szCs w:val="18"/>
        </w:rPr>
        <w:t xml:space="preserve"> </w:t>
      </w:r>
      <w:r>
        <w:rPr>
          <w:rFonts w:hint="eastAsia" w:ascii="微软雅黑" w:hAnsi="微软雅黑" w:eastAsia="微软雅黑" w:cs="Calibri"/>
          <w:sz w:val="18"/>
          <w:szCs w:val="18"/>
        </w:rPr>
        <w:t>。</w:t>
      </w:r>
    </w:p>
    <w:p w14:paraId="5A32848A">
      <w:pPr>
        <w:spacing w:line="240" w:lineRule="auto"/>
        <w:rPr>
          <w:rFonts w:ascii="微软雅黑" w:hAnsi="微软雅黑" w:eastAsia="微软雅黑" w:cs="Calibri"/>
          <w:sz w:val="18"/>
          <w:szCs w:val="18"/>
        </w:rPr>
      </w:pPr>
      <w:r>
        <w:rPr>
          <w:rFonts w:hint="eastAsia" w:ascii="微软雅黑" w:hAnsi="微软雅黑" w:eastAsia="微软雅黑" w:cs="Calibri"/>
          <w:b/>
          <w:bCs/>
          <w:sz w:val="18"/>
          <w:szCs w:val="18"/>
        </w:rPr>
        <w:t>参与项目</w:t>
      </w:r>
      <w:r>
        <w:rPr>
          <w:rFonts w:ascii="微软雅黑" w:hAnsi="微软雅黑" w:eastAsia="微软雅黑" w:cs="Calibri"/>
          <w:b/>
          <w:bCs/>
          <w:sz w:val="18"/>
          <w:szCs w:val="18"/>
        </w:rPr>
        <w:t>：</w:t>
      </w:r>
      <w:r>
        <w:rPr>
          <w:rFonts w:ascii="微软雅黑" w:hAnsi="微软雅黑" w:eastAsia="微软雅黑" w:cs="Calibri"/>
          <w:sz w:val="18"/>
          <w:szCs w:val="18"/>
        </w:rPr>
        <w:t xml:space="preserve"> 聚烯烃塑料的可持续循环利用 (</w:t>
      </w:r>
      <w:r>
        <w:rPr>
          <w:rFonts w:ascii="Times New Roman" w:eastAsia="微软雅黑"/>
          <w:sz w:val="18"/>
          <w:szCs w:val="18"/>
        </w:rPr>
        <w:t xml:space="preserve">Princeton </w:t>
      </w:r>
      <w:r>
        <w:rPr>
          <w:rFonts w:hint="eastAsia" w:ascii="Times New Roman" w:eastAsia="微软雅黑"/>
          <w:sz w:val="18"/>
          <w:szCs w:val="18"/>
        </w:rPr>
        <w:t xml:space="preserve">Catalysis </w:t>
      </w:r>
      <w:r>
        <w:rPr>
          <w:rFonts w:ascii="Times New Roman" w:eastAsia="微软雅黑"/>
          <w:sz w:val="18"/>
          <w:szCs w:val="18"/>
        </w:rPr>
        <w:t>Initiativ</w:t>
      </w:r>
      <w:r>
        <w:rPr>
          <w:rFonts w:hint="eastAsia" w:ascii="Times New Roman" w:eastAsia="微软雅黑"/>
          <w:sz w:val="18"/>
          <w:szCs w:val="18"/>
        </w:rPr>
        <w:t xml:space="preserve">e, </w:t>
      </w:r>
      <w:r>
        <w:rPr>
          <w:rFonts w:ascii="Times New Roman" w:eastAsia="微软雅黑"/>
          <w:sz w:val="18"/>
          <w:szCs w:val="18"/>
        </w:rPr>
        <w:t>100,000</w:t>
      </w:r>
      <w:r>
        <w:rPr>
          <w:rFonts w:hint="eastAsia" w:ascii="Times New Roman" w:eastAsia="微软雅黑"/>
          <w:sz w:val="18"/>
          <w:szCs w:val="18"/>
        </w:rPr>
        <w:t xml:space="preserve"> </w:t>
      </w:r>
      <w:r>
        <w:rPr>
          <w:rFonts w:ascii="Times New Roman" w:eastAsia="微软雅黑"/>
          <w:sz w:val="18"/>
          <w:szCs w:val="18"/>
        </w:rPr>
        <w:t>USD/year</w:t>
      </w:r>
      <w:r>
        <w:rPr>
          <w:rFonts w:ascii="微软雅黑" w:hAnsi="微软雅黑" w:eastAsia="微软雅黑" w:cs="Calibri"/>
          <w:sz w:val="18"/>
          <w:szCs w:val="18"/>
        </w:rPr>
        <w:t>)</w:t>
      </w:r>
      <w:r>
        <w:rPr>
          <w:rFonts w:hint="eastAsia" w:ascii="微软雅黑" w:hAnsi="微软雅黑" w:eastAsia="微软雅黑" w:cs="Calibri"/>
          <w:sz w:val="18"/>
          <w:szCs w:val="18"/>
        </w:rPr>
        <w:t>，</w:t>
      </w:r>
      <w:r>
        <w:rPr>
          <w:rFonts w:ascii="微软雅黑" w:hAnsi="微软雅黑" w:eastAsia="微软雅黑" w:cs="Calibri"/>
          <w:sz w:val="18"/>
          <w:szCs w:val="18"/>
        </w:rPr>
        <w:t>指导多名本科生进入阿斯利康等全球</w:t>
      </w:r>
      <w:r>
        <w:rPr>
          <w:rFonts w:ascii="Times New Roman" w:eastAsia="微软雅黑"/>
          <w:sz w:val="18"/>
          <w:szCs w:val="18"/>
        </w:rPr>
        <w:t>500</w:t>
      </w:r>
      <w:r>
        <w:rPr>
          <w:rFonts w:ascii="微软雅黑" w:hAnsi="微软雅黑" w:eastAsia="微软雅黑" w:cs="Calibri"/>
          <w:sz w:val="18"/>
          <w:szCs w:val="18"/>
        </w:rPr>
        <w:t>强企业 。</w:t>
      </w:r>
    </w:p>
    <w:p w14:paraId="48D873E5">
      <w:pPr>
        <w:spacing w:after="140" w:line="240" w:lineRule="auto"/>
        <w:rPr>
          <w:rFonts w:ascii="微软雅黑" w:hAnsi="微软雅黑" w:eastAsia="微软雅黑" w:cs="Calibri"/>
          <w:b/>
          <w:iCs/>
          <w:sz w:val="18"/>
          <w:szCs w:val="18"/>
          <w:u w:val="single"/>
        </w:rPr>
      </w:pPr>
    </w:p>
    <w:p w14:paraId="284C620D">
      <w:pPr>
        <w:spacing w:line="240" w:lineRule="auto"/>
        <w:rPr>
          <w:rFonts w:ascii="微软雅黑" w:hAnsi="微软雅黑" w:eastAsia="微软雅黑" w:cs="Calibri"/>
          <w:sz w:val="18"/>
          <w:szCs w:val="18"/>
        </w:rPr>
      </w:pPr>
      <w:r>
        <w:rPr>
          <w:rFonts w:ascii="Times New Roman" w:eastAsia="微软雅黑"/>
          <w:b/>
          <w:iCs/>
          <w:sz w:val="18"/>
          <w:szCs w:val="18"/>
        </w:rPr>
        <w:t>07/2017-05/2019</w:t>
      </w:r>
      <w:r>
        <w:rPr>
          <w:rFonts w:ascii="微软雅黑" w:hAnsi="微软雅黑" w:eastAsia="微软雅黑" w:cs="Calibri"/>
          <w:b/>
          <w:iCs/>
          <w:sz w:val="18"/>
          <w:szCs w:val="18"/>
        </w:rPr>
        <w:t>,</w:t>
      </w:r>
      <w:r>
        <w:rPr>
          <w:rFonts w:ascii="微软雅黑" w:hAnsi="微软雅黑" w:eastAsia="微软雅黑" w:cs="Calibri"/>
          <w:sz w:val="18"/>
          <w:szCs w:val="18"/>
        </w:rPr>
        <w:t xml:space="preserve"> </w:t>
      </w:r>
      <w:r>
        <w:rPr>
          <w:rFonts w:hint="eastAsia" w:ascii="微软雅黑" w:hAnsi="微软雅黑" w:eastAsia="微软雅黑" w:cs="Calibri"/>
          <w:sz w:val="18"/>
          <w:szCs w:val="18"/>
        </w:rPr>
        <w:t>美国北卡罗来纳大学教堂山分校和美国能源部前沿太阳能燃料研究中心，博士后研究员，合作导师：</w:t>
      </w:r>
      <w:r>
        <w:rPr>
          <w:rFonts w:ascii="Times New Roman" w:eastAsia="微软雅黑"/>
          <w:sz w:val="18"/>
          <w:szCs w:val="18"/>
        </w:rPr>
        <w:t>Thomas J. Meyer</w:t>
      </w:r>
      <w:r>
        <w:rPr>
          <w:rFonts w:hint="eastAsia" w:ascii="微软雅黑" w:hAnsi="微软雅黑" w:eastAsia="微软雅黑" w:cs="Calibri"/>
          <w:sz w:val="18"/>
          <w:szCs w:val="18"/>
        </w:rPr>
        <w:t>美国两院院士</w:t>
      </w:r>
    </w:p>
    <w:p w14:paraId="32A79B68">
      <w:pPr>
        <w:spacing w:line="240" w:lineRule="auto"/>
        <w:rPr>
          <w:rFonts w:ascii="Times New Roman" w:eastAsia="微软雅黑"/>
          <w:sz w:val="18"/>
          <w:szCs w:val="18"/>
        </w:rPr>
      </w:pPr>
      <w:r>
        <w:rPr>
          <w:rFonts w:hint="eastAsia" w:ascii="微软雅黑" w:hAnsi="微软雅黑" w:eastAsia="微软雅黑" w:cs="Calibri"/>
          <w:b/>
          <w:bCs/>
          <w:sz w:val="18"/>
          <w:szCs w:val="18"/>
        </w:rPr>
        <w:t>工作职能</w:t>
      </w:r>
      <w:r>
        <w:rPr>
          <w:rFonts w:ascii="微软雅黑" w:hAnsi="微软雅黑" w:eastAsia="微软雅黑" w:cs="Calibri"/>
          <w:b/>
          <w:bCs/>
          <w:sz w:val="18"/>
          <w:szCs w:val="18"/>
        </w:rPr>
        <w:t>：</w:t>
      </w:r>
      <w:r>
        <w:rPr>
          <w:rFonts w:hint="eastAsia" w:ascii="微软雅黑" w:hAnsi="微软雅黑" w:eastAsia="微软雅黑" w:cs="Calibri"/>
          <w:sz w:val="18"/>
          <w:szCs w:val="18"/>
        </w:rPr>
        <w:t>运用聚合物界面接枝技术，使用电化学聚合方法，在介孔电极界面进行原位生长分子型光敏剂/催化剂的交联聚合物薄膜，用于稳定电化学电极，解决了电极稳定性的问题，使其能够长时间稳定的持续生产太阳能燃料(</w:t>
      </w:r>
      <w:r>
        <w:rPr>
          <w:rFonts w:ascii="Times New Roman" w:eastAsia="微软雅黑"/>
          <w:i/>
          <w:sz w:val="18"/>
          <w:szCs w:val="18"/>
        </w:rPr>
        <w:t>J. Am. Chem. Soc.</w:t>
      </w:r>
      <w:r>
        <w:rPr>
          <w:rFonts w:ascii="Times New Roman" w:eastAsia="微软雅黑"/>
          <w:sz w:val="18"/>
          <w:szCs w:val="18"/>
        </w:rPr>
        <w:t xml:space="preserve">, </w:t>
      </w:r>
      <w:r>
        <w:rPr>
          <w:rFonts w:ascii="Times New Roman" w:eastAsia="微软雅黑"/>
          <w:b/>
          <w:bCs/>
          <w:sz w:val="18"/>
          <w:szCs w:val="18"/>
        </w:rPr>
        <w:t>2018</w:t>
      </w:r>
      <w:r>
        <w:rPr>
          <w:rFonts w:ascii="Times New Roman" w:eastAsia="微软雅黑"/>
          <w:sz w:val="18"/>
          <w:szCs w:val="18"/>
        </w:rPr>
        <w:t xml:space="preserve">, </w:t>
      </w:r>
      <w:r>
        <w:rPr>
          <w:rFonts w:ascii="Times New Roman" w:eastAsia="微软雅黑"/>
          <w:i/>
          <w:iCs/>
          <w:sz w:val="18"/>
          <w:szCs w:val="18"/>
        </w:rPr>
        <w:t>140</w:t>
      </w:r>
      <w:r>
        <w:rPr>
          <w:rFonts w:ascii="Times New Roman" w:eastAsia="微软雅黑"/>
          <w:sz w:val="18"/>
          <w:szCs w:val="18"/>
        </w:rPr>
        <w:t>, 15062</w:t>
      </w:r>
      <w:r>
        <w:rPr>
          <w:rFonts w:hint="eastAsia" w:ascii="Times New Roman" w:eastAsia="微软雅黑"/>
          <w:sz w:val="18"/>
          <w:szCs w:val="18"/>
        </w:rPr>
        <w:t xml:space="preserve">; </w:t>
      </w:r>
      <w:r>
        <w:rPr>
          <w:rFonts w:ascii="Times New Roman" w:eastAsia="微软雅黑"/>
          <w:i/>
          <w:sz w:val="18"/>
          <w:szCs w:val="18"/>
        </w:rPr>
        <w:t>ACS Appl. Mater. Interfaces</w:t>
      </w:r>
      <w:r>
        <w:rPr>
          <w:rFonts w:ascii="Times New Roman" w:eastAsia="微软雅黑"/>
          <w:sz w:val="18"/>
          <w:szCs w:val="18"/>
        </w:rPr>
        <w:t xml:space="preserve">, </w:t>
      </w:r>
      <w:r>
        <w:rPr>
          <w:rFonts w:ascii="Times New Roman" w:eastAsia="微软雅黑"/>
          <w:b/>
          <w:bCs/>
          <w:sz w:val="18"/>
          <w:szCs w:val="18"/>
        </w:rPr>
        <w:t>2019</w:t>
      </w:r>
      <w:r>
        <w:rPr>
          <w:rFonts w:ascii="Times New Roman" w:eastAsia="微软雅黑"/>
          <w:sz w:val="18"/>
          <w:szCs w:val="18"/>
        </w:rPr>
        <w:t xml:space="preserve">, </w:t>
      </w:r>
      <w:r>
        <w:rPr>
          <w:rFonts w:ascii="Times New Roman" w:eastAsia="微软雅黑"/>
          <w:i/>
          <w:iCs/>
          <w:sz w:val="18"/>
          <w:szCs w:val="18"/>
        </w:rPr>
        <w:t>11</w:t>
      </w:r>
      <w:r>
        <w:rPr>
          <w:rFonts w:ascii="Times New Roman" w:eastAsia="微软雅黑"/>
          <w:sz w:val="18"/>
          <w:szCs w:val="18"/>
        </w:rPr>
        <w:t>, 4560</w:t>
      </w:r>
      <w:r>
        <w:rPr>
          <w:rFonts w:hint="eastAsia" w:ascii="Times New Roman" w:eastAsia="微软雅黑"/>
          <w:sz w:val="18"/>
          <w:szCs w:val="18"/>
        </w:rPr>
        <w:t xml:space="preserve">; </w:t>
      </w:r>
      <w:r>
        <w:rPr>
          <w:rFonts w:ascii="Times New Roman" w:eastAsia="微软雅黑"/>
          <w:i/>
          <w:sz w:val="18"/>
          <w:szCs w:val="18"/>
        </w:rPr>
        <w:t>ACS Cent. Sci.,</w:t>
      </w:r>
      <w:r>
        <w:rPr>
          <w:rFonts w:ascii="Times New Roman" w:eastAsia="微软雅黑"/>
          <w:iCs/>
          <w:sz w:val="18"/>
          <w:szCs w:val="18"/>
        </w:rPr>
        <w:t xml:space="preserve"> </w:t>
      </w:r>
      <w:r>
        <w:rPr>
          <w:rFonts w:ascii="Times New Roman" w:eastAsia="微软雅黑"/>
          <w:b/>
          <w:bCs/>
          <w:iCs/>
          <w:sz w:val="18"/>
          <w:szCs w:val="18"/>
        </w:rPr>
        <w:t>2019</w:t>
      </w:r>
      <w:r>
        <w:rPr>
          <w:rFonts w:ascii="Times New Roman" w:eastAsia="微软雅黑"/>
          <w:iCs/>
          <w:sz w:val="18"/>
          <w:szCs w:val="18"/>
        </w:rPr>
        <w:t>,</w:t>
      </w:r>
      <w:r>
        <w:rPr>
          <w:rFonts w:ascii="Times New Roman" w:eastAsia="微软雅黑"/>
          <w:sz w:val="18"/>
          <w:szCs w:val="18"/>
        </w:rPr>
        <w:t xml:space="preserve"> </w:t>
      </w:r>
      <w:r>
        <w:rPr>
          <w:rFonts w:ascii="Times New Roman" w:eastAsia="微软雅黑"/>
          <w:i/>
          <w:iCs/>
          <w:sz w:val="18"/>
          <w:szCs w:val="18"/>
        </w:rPr>
        <w:t>5</w:t>
      </w:r>
      <w:r>
        <w:rPr>
          <w:rFonts w:ascii="Times New Roman" w:eastAsia="微软雅黑"/>
          <w:sz w:val="18"/>
          <w:szCs w:val="18"/>
        </w:rPr>
        <w:t>, 506</w:t>
      </w:r>
      <w:r>
        <w:rPr>
          <w:rFonts w:hint="eastAsia" w:ascii="Times New Roman" w:eastAsia="微软雅黑"/>
          <w:iCs/>
          <w:sz w:val="18"/>
          <w:szCs w:val="18"/>
        </w:rPr>
        <w:t xml:space="preserve">; </w:t>
      </w:r>
      <w:r>
        <w:rPr>
          <w:rFonts w:ascii="Times New Roman" w:eastAsia="微软雅黑"/>
          <w:i/>
          <w:iCs/>
          <w:sz w:val="18"/>
          <w:szCs w:val="18"/>
        </w:rPr>
        <w:t>Proc. Natl. Acad. Sci.</w:t>
      </w:r>
      <w:r>
        <w:rPr>
          <w:rFonts w:ascii="Times New Roman" w:eastAsia="微软雅黑"/>
          <w:sz w:val="18"/>
          <w:szCs w:val="18"/>
        </w:rPr>
        <w:t xml:space="preserve">, </w:t>
      </w:r>
      <w:r>
        <w:rPr>
          <w:rFonts w:ascii="Times New Roman" w:eastAsia="微软雅黑"/>
          <w:b/>
          <w:bCs/>
          <w:sz w:val="18"/>
          <w:szCs w:val="18"/>
        </w:rPr>
        <w:t>2019</w:t>
      </w:r>
      <w:r>
        <w:rPr>
          <w:rFonts w:ascii="Times New Roman" w:eastAsia="微软雅黑"/>
          <w:sz w:val="18"/>
          <w:szCs w:val="18"/>
        </w:rPr>
        <w:t xml:space="preserve">, </w:t>
      </w:r>
      <w:r>
        <w:rPr>
          <w:rFonts w:ascii="Times New Roman" w:eastAsia="微软雅黑"/>
          <w:i/>
          <w:iCs/>
          <w:sz w:val="18"/>
          <w:szCs w:val="18"/>
        </w:rPr>
        <w:t>116</w:t>
      </w:r>
      <w:r>
        <w:rPr>
          <w:rFonts w:ascii="Times New Roman" w:eastAsia="微软雅黑"/>
          <w:sz w:val="18"/>
          <w:szCs w:val="18"/>
        </w:rPr>
        <w:t>, 11153</w:t>
      </w:r>
      <w:r>
        <w:rPr>
          <w:rFonts w:hint="eastAsia" w:ascii="Times New Roman" w:eastAsia="微软雅黑"/>
          <w:iCs/>
          <w:sz w:val="18"/>
          <w:szCs w:val="18"/>
        </w:rPr>
        <w:t>)。</w:t>
      </w:r>
    </w:p>
    <w:p w14:paraId="2F79F594">
      <w:pPr>
        <w:spacing w:line="240" w:lineRule="auto"/>
        <w:rPr>
          <w:rFonts w:ascii="Times New Roman" w:eastAsia="微软雅黑"/>
          <w:sz w:val="18"/>
          <w:szCs w:val="18"/>
        </w:rPr>
      </w:pPr>
      <w:r>
        <w:rPr>
          <w:rFonts w:hint="eastAsia" w:ascii="微软雅黑" w:hAnsi="微软雅黑" w:eastAsia="微软雅黑" w:cs="Calibri"/>
          <w:b/>
          <w:bCs/>
          <w:sz w:val="18"/>
          <w:szCs w:val="18"/>
        </w:rPr>
        <w:t>参与项目</w:t>
      </w:r>
      <w:r>
        <w:rPr>
          <w:rFonts w:ascii="微软雅黑" w:hAnsi="微软雅黑" w:eastAsia="微软雅黑" w:cs="Calibri"/>
          <w:b/>
          <w:bCs/>
          <w:sz w:val="18"/>
          <w:szCs w:val="18"/>
        </w:rPr>
        <w:t>：</w:t>
      </w:r>
      <w:r>
        <w:rPr>
          <w:rFonts w:ascii="Times New Roman" w:eastAsia="微软雅黑"/>
          <w:sz w:val="18"/>
          <w:szCs w:val="18"/>
        </w:rPr>
        <w:t xml:space="preserve">U.S. </w:t>
      </w:r>
      <w:r>
        <w:rPr>
          <w:rFonts w:hint="eastAsia" w:ascii="Times New Roman" w:eastAsia="微软雅黑"/>
          <w:sz w:val="18"/>
          <w:szCs w:val="18"/>
        </w:rPr>
        <w:t xml:space="preserve">DOE </w:t>
      </w:r>
      <w:r>
        <w:rPr>
          <w:rFonts w:ascii="Times New Roman" w:eastAsia="微软雅黑"/>
          <w:sz w:val="18"/>
          <w:szCs w:val="18"/>
        </w:rPr>
        <w:t>UNC Energy Frontier Research Center</w:t>
      </w:r>
      <w:r>
        <w:rPr>
          <w:rFonts w:hint="eastAsia" w:ascii="Times New Roman" w:eastAsia="微软雅黑"/>
          <w:sz w:val="18"/>
          <w:szCs w:val="18"/>
        </w:rPr>
        <w:t xml:space="preserve"> (</w:t>
      </w:r>
      <w:r>
        <w:rPr>
          <w:rFonts w:ascii="Times New Roman" w:eastAsia="微软雅黑"/>
          <w:sz w:val="18"/>
          <w:szCs w:val="18"/>
        </w:rPr>
        <w:t>2 million USD/year</w:t>
      </w:r>
      <w:r>
        <w:rPr>
          <w:rFonts w:hint="eastAsia" w:ascii="Times New Roman" w:eastAsia="微软雅黑"/>
          <w:sz w:val="18"/>
          <w:szCs w:val="18"/>
        </w:rPr>
        <w:t>)</w:t>
      </w:r>
    </w:p>
    <w:p w14:paraId="4353AD75">
      <w:pPr>
        <w:spacing w:after="140" w:line="240" w:lineRule="auto"/>
        <w:rPr>
          <w:rFonts w:ascii="微软雅黑" w:hAnsi="微软雅黑" w:eastAsia="微软雅黑" w:cs="Calibri"/>
          <w:b/>
          <w:iCs/>
          <w:sz w:val="18"/>
          <w:szCs w:val="18"/>
          <w:u w:val="single"/>
        </w:rPr>
      </w:pPr>
    </w:p>
    <w:p w14:paraId="64D714EB">
      <w:pPr>
        <w:spacing w:line="240" w:lineRule="auto"/>
        <w:rPr>
          <w:rFonts w:ascii="微软雅黑" w:hAnsi="微软雅黑" w:eastAsia="微软雅黑" w:cs="Calibri"/>
          <w:sz w:val="18"/>
          <w:szCs w:val="18"/>
        </w:rPr>
      </w:pPr>
      <w:r>
        <w:rPr>
          <w:rFonts w:hint="eastAsia" w:ascii="微软雅黑" w:hAnsi="微软雅黑" w:eastAsia="微软雅黑" w:cs="Calibri"/>
          <w:b/>
          <w:iCs/>
          <w:sz w:val="18"/>
          <w:szCs w:val="18"/>
          <w:u w:val="single"/>
        </w:rPr>
        <w:t>教育背景：</w:t>
      </w:r>
    </w:p>
    <w:p w14:paraId="319E6027">
      <w:pPr>
        <w:spacing w:line="240" w:lineRule="auto"/>
        <w:rPr>
          <w:rFonts w:ascii="Times New Roman" w:eastAsia="微软雅黑"/>
          <w:sz w:val="18"/>
          <w:szCs w:val="18"/>
        </w:rPr>
      </w:pPr>
      <w:r>
        <w:rPr>
          <w:rFonts w:ascii="Times New Roman" w:eastAsia="微软雅黑"/>
          <w:b/>
          <w:bCs/>
          <w:sz w:val="18"/>
          <w:szCs w:val="18"/>
        </w:rPr>
        <w:t>2011.12</w:t>
      </w:r>
      <w:r>
        <w:rPr>
          <w:rFonts w:hint="eastAsia" w:ascii="Times New Roman" w:eastAsia="微软雅黑"/>
          <w:b/>
          <w:bCs/>
          <w:sz w:val="18"/>
          <w:szCs w:val="18"/>
        </w:rPr>
        <w:t>-</w:t>
      </w:r>
      <w:r>
        <w:rPr>
          <w:rFonts w:ascii="Times New Roman" w:eastAsia="微软雅黑"/>
          <w:b/>
          <w:bCs/>
          <w:sz w:val="18"/>
          <w:szCs w:val="18"/>
        </w:rPr>
        <w:t>2016.07</w:t>
      </w:r>
      <w:r>
        <w:rPr>
          <w:rFonts w:hint="eastAsia" w:ascii="Times New Roman" w:eastAsia="微软雅黑"/>
          <w:b/>
          <w:bCs/>
          <w:sz w:val="18"/>
          <w:szCs w:val="18"/>
        </w:rPr>
        <w:t>，</w:t>
      </w:r>
      <w:r>
        <w:rPr>
          <w:rFonts w:hint="eastAsia" w:ascii="Times New Roman" w:eastAsia="微软雅黑"/>
          <w:sz w:val="18"/>
          <w:szCs w:val="18"/>
        </w:rPr>
        <w:t>高分子化学，</w:t>
      </w:r>
      <w:r>
        <w:rPr>
          <w:rFonts w:ascii="微软雅黑" w:hAnsi="微软雅黑" w:eastAsia="微软雅黑"/>
          <w:sz w:val="18"/>
          <w:szCs w:val="18"/>
        </w:rPr>
        <w:t>自然科学博士，德国亚琛工业大学</w:t>
      </w:r>
      <w:r>
        <w:rPr>
          <w:rFonts w:hint="eastAsia" w:ascii="微软雅黑" w:hAnsi="微软雅黑" w:eastAsia="微软雅黑"/>
          <w:sz w:val="18"/>
          <w:szCs w:val="18"/>
        </w:rPr>
        <w:t>，导师：</w:t>
      </w:r>
      <w:r>
        <w:rPr>
          <w:rFonts w:ascii="Times New Roman" w:eastAsia="微软雅黑"/>
          <w:sz w:val="18"/>
          <w:szCs w:val="18"/>
        </w:rPr>
        <w:t>Alexander Böker教授</w:t>
      </w:r>
    </w:p>
    <w:p w14:paraId="4D1FC79B">
      <w:pPr>
        <w:spacing w:line="240" w:lineRule="auto"/>
        <w:rPr>
          <w:rFonts w:ascii="微软雅黑" w:hAnsi="微软雅黑" w:eastAsia="微软雅黑" w:cs="Calibri"/>
          <w:sz w:val="18"/>
          <w:szCs w:val="18"/>
        </w:rPr>
      </w:pPr>
      <w:r>
        <w:rPr>
          <w:rFonts w:hint="eastAsia" w:ascii="Times New Roman" w:eastAsia="微软雅黑"/>
          <w:b/>
          <w:bCs/>
          <w:sz w:val="18"/>
          <w:szCs w:val="18"/>
        </w:rPr>
        <w:t>2008.09 – 2011.07，</w:t>
      </w:r>
      <w:r>
        <w:rPr>
          <w:rFonts w:hint="eastAsia" w:ascii="微软雅黑" w:hAnsi="微软雅黑" w:eastAsia="微软雅黑" w:cs="Calibri"/>
          <w:sz w:val="18"/>
          <w:szCs w:val="18"/>
        </w:rPr>
        <w:t>高分子物理与化学，理学硕士，中国科学院国家纳米科学中心，导师：唐智勇院士和宋锐教授</w:t>
      </w:r>
    </w:p>
    <w:p w14:paraId="5288CAC0">
      <w:pPr>
        <w:spacing w:line="240" w:lineRule="auto"/>
        <w:rPr>
          <w:rFonts w:ascii="Times New Roman" w:eastAsia="微软雅黑"/>
          <w:b/>
          <w:bCs/>
          <w:sz w:val="18"/>
          <w:szCs w:val="18"/>
        </w:rPr>
      </w:pPr>
      <w:r>
        <w:rPr>
          <w:rFonts w:hint="eastAsia" w:ascii="Times New Roman" w:eastAsia="微软雅黑"/>
          <w:b/>
          <w:bCs/>
          <w:sz w:val="18"/>
          <w:szCs w:val="18"/>
        </w:rPr>
        <w:t>2003.09 – 2007.07，</w:t>
      </w:r>
      <w:r>
        <w:rPr>
          <w:rFonts w:hint="eastAsia" w:ascii="微软雅黑" w:hAnsi="微软雅黑" w:eastAsia="微软雅黑"/>
          <w:sz w:val="18"/>
          <w:szCs w:val="18"/>
        </w:rPr>
        <w:t>高分子材料与工程，工学学士，同济大学</w:t>
      </w:r>
    </w:p>
    <w:p w14:paraId="6957691A">
      <w:pPr>
        <w:spacing w:after="140" w:line="240" w:lineRule="auto"/>
        <w:rPr>
          <w:rFonts w:ascii="微软雅黑" w:hAnsi="微软雅黑" w:eastAsia="微软雅黑" w:cs="Calibri"/>
          <w:sz w:val="18"/>
          <w:szCs w:val="18"/>
        </w:rPr>
      </w:pPr>
    </w:p>
    <w:p w14:paraId="7A87ADA7">
      <w:pPr>
        <w:spacing w:line="240" w:lineRule="auto"/>
        <w:rPr>
          <w:rFonts w:ascii="微软雅黑" w:hAnsi="微软雅黑" w:eastAsia="微软雅黑" w:cs="Calibri"/>
          <w:b/>
          <w:iCs/>
          <w:sz w:val="18"/>
          <w:szCs w:val="18"/>
          <w:u w:val="single"/>
        </w:rPr>
      </w:pPr>
      <w:r>
        <w:rPr>
          <w:rFonts w:hint="eastAsia" w:ascii="微软雅黑" w:hAnsi="微软雅黑" w:eastAsia="微软雅黑" w:cs="Calibri"/>
          <w:b/>
          <w:iCs/>
          <w:sz w:val="18"/>
          <w:szCs w:val="18"/>
          <w:u w:val="single"/>
        </w:rPr>
        <w:t>科研成果</w:t>
      </w:r>
      <w:r>
        <w:rPr>
          <w:rFonts w:ascii="微软雅黑" w:hAnsi="微软雅黑" w:eastAsia="微软雅黑" w:cs="Calibri"/>
          <w:b/>
          <w:iCs/>
          <w:sz w:val="18"/>
          <w:szCs w:val="18"/>
          <w:u w:val="single"/>
        </w:rPr>
        <w:t>:</w:t>
      </w:r>
    </w:p>
    <w:p w14:paraId="6A9575FC">
      <w:pPr>
        <w:spacing w:line="240" w:lineRule="auto"/>
        <w:rPr>
          <w:rFonts w:ascii="Times New Roman" w:eastAsia="微软雅黑"/>
          <w:i/>
          <w:sz w:val="18"/>
          <w:szCs w:val="18"/>
        </w:rPr>
      </w:pPr>
      <w:r>
        <w:rPr>
          <w:rFonts w:ascii="Times New Roman" w:eastAsia="微软雅黑"/>
          <w:i/>
          <w:sz w:val="18"/>
          <w:szCs w:val="18"/>
        </w:rPr>
        <w:t>postdoc work in Princeton and HKUST</w:t>
      </w:r>
    </w:p>
    <w:p w14:paraId="02DC2AFA">
      <w:pPr>
        <w:spacing w:line="240" w:lineRule="auto"/>
        <w:rPr>
          <w:rFonts w:ascii="Times New Roman" w:eastAsia="微软雅黑"/>
          <w:iCs/>
          <w:sz w:val="18"/>
          <w:szCs w:val="18"/>
        </w:rPr>
      </w:pPr>
      <w:r>
        <w:rPr>
          <w:rFonts w:ascii="Times New Roman" w:eastAsia="微软雅黑"/>
          <w:iCs/>
          <w:sz w:val="18"/>
          <w:szCs w:val="18"/>
        </w:rPr>
        <w:t>1. Aggregation-Induced Emission Bottlebrush Polymers: Verification of Internal Crowdedness in Bottlebrush Polymers using AIE Effect</w:t>
      </w:r>
    </w:p>
    <w:p w14:paraId="536977E9">
      <w:pPr>
        <w:spacing w:line="240" w:lineRule="auto"/>
        <w:rPr>
          <w:rFonts w:ascii="Times New Roman" w:eastAsia="微软雅黑"/>
          <w:sz w:val="18"/>
          <w:szCs w:val="18"/>
        </w:rPr>
      </w:pPr>
      <w:r>
        <w:rPr>
          <w:rFonts w:ascii="Times New Roman" w:eastAsia="微软雅黑"/>
          <w:sz w:val="18"/>
          <w:szCs w:val="18"/>
        </w:rPr>
        <w:t>Lei Wu, Ulrich Glebe, Kyan T. K. Kwok, Jianwei Sun, Jacky W. Y. Lam, Ben Zhong Tang*</w:t>
      </w:r>
    </w:p>
    <w:p w14:paraId="1029FD3E">
      <w:pPr>
        <w:spacing w:line="240" w:lineRule="auto"/>
        <w:rPr>
          <w:rFonts w:ascii="Times New Roman" w:eastAsia="微软雅黑"/>
          <w:iCs/>
          <w:sz w:val="18"/>
          <w:szCs w:val="18"/>
        </w:rPr>
      </w:pPr>
      <w:r>
        <w:rPr>
          <w:rFonts w:ascii="Times New Roman" w:eastAsia="微软雅黑"/>
          <w:i/>
          <w:sz w:val="18"/>
          <w:szCs w:val="18"/>
        </w:rPr>
        <w:t>Angew. Chem. Int. Ed.</w:t>
      </w:r>
      <w:r>
        <w:rPr>
          <w:rFonts w:ascii="Times New Roman" w:eastAsia="微软雅黑"/>
          <w:iCs/>
          <w:sz w:val="18"/>
          <w:szCs w:val="18"/>
        </w:rPr>
        <w:t xml:space="preserve"> </w:t>
      </w:r>
      <w:r>
        <w:rPr>
          <w:rFonts w:ascii="Times New Roman" w:eastAsia="微软雅黑"/>
          <w:b/>
          <w:bCs/>
          <w:iCs/>
          <w:sz w:val="18"/>
          <w:szCs w:val="18"/>
        </w:rPr>
        <w:t>2025</w:t>
      </w:r>
      <w:r>
        <w:rPr>
          <w:rFonts w:ascii="Times New Roman" w:eastAsia="微软雅黑"/>
          <w:iCs/>
          <w:sz w:val="18"/>
          <w:szCs w:val="18"/>
        </w:rPr>
        <w:t xml:space="preserve">, </w:t>
      </w:r>
      <w:r>
        <w:rPr>
          <w:rFonts w:ascii="Times New Roman" w:eastAsia="微软雅黑"/>
          <w:i/>
          <w:sz w:val="18"/>
          <w:szCs w:val="18"/>
        </w:rPr>
        <w:t>64</w:t>
      </w:r>
      <w:r>
        <w:rPr>
          <w:rFonts w:ascii="Times New Roman" w:eastAsia="微软雅黑"/>
          <w:iCs/>
          <w:sz w:val="18"/>
          <w:szCs w:val="18"/>
        </w:rPr>
        <w:t>, e202500850</w:t>
      </w:r>
    </w:p>
    <w:p w14:paraId="4880E075">
      <w:pPr>
        <w:spacing w:line="240" w:lineRule="auto"/>
        <w:rPr>
          <w:rFonts w:ascii="Times New Roman" w:eastAsia="微软雅黑"/>
          <w:iCs/>
          <w:sz w:val="18"/>
          <w:szCs w:val="18"/>
        </w:rPr>
      </w:pPr>
      <w:r>
        <w:rPr>
          <w:rFonts w:hint="eastAsia" w:ascii="Times New Roman" w:eastAsia="微软雅黑"/>
          <w:iCs/>
          <w:sz w:val="18"/>
          <w:szCs w:val="18"/>
        </w:rPr>
        <w:t>2</w:t>
      </w:r>
      <w:r>
        <w:rPr>
          <w:rFonts w:ascii="Times New Roman" w:eastAsia="微软雅黑"/>
          <w:iCs/>
          <w:sz w:val="18"/>
          <w:szCs w:val="18"/>
        </w:rPr>
        <w:t>. Macromolecular Cross-Metathesis – a Top-Down Approach Fusing Polyolefin Homopolymers to Multiblock Copolymers</w:t>
      </w:r>
    </w:p>
    <w:p w14:paraId="4F78533A">
      <w:pPr>
        <w:spacing w:line="240" w:lineRule="auto"/>
        <w:rPr>
          <w:rFonts w:ascii="Times New Roman" w:eastAsia="微软雅黑"/>
          <w:iCs/>
          <w:sz w:val="18"/>
          <w:szCs w:val="18"/>
        </w:rPr>
      </w:pPr>
      <w:r>
        <w:rPr>
          <w:rFonts w:hint="eastAsia" w:ascii="Times New Roman" w:eastAsia="微软雅黑"/>
          <w:iCs/>
          <w:sz w:val="18"/>
          <w:szCs w:val="18"/>
        </w:rPr>
        <w:t xml:space="preserve">Lei Wu, Ulrich Glebe, </w:t>
      </w:r>
      <w:r>
        <w:rPr>
          <w:rFonts w:ascii="Times New Roman" w:eastAsia="微软雅黑"/>
          <w:sz w:val="18"/>
          <w:szCs w:val="18"/>
        </w:rPr>
        <w:t>Kyan T. K. Kwok</w:t>
      </w:r>
      <w:r>
        <w:rPr>
          <w:rFonts w:hint="eastAsia" w:ascii="Times New Roman" w:eastAsia="微软雅黑"/>
          <w:iCs/>
          <w:sz w:val="18"/>
          <w:szCs w:val="18"/>
        </w:rPr>
        <w:t xml:space="preserve">, Jianwei Sun, Jacky W. Y. </w:t>
      </w:r>
      <w:r>
        <w:rPr>
          <w:rFonts w:ascii="Times New Roman" w:eastAsia="微软雅黑"/>
          <w:iCs/>
          <w:sz w:val="18"/>
          <w:szCs w:val="18"/>
        </w:rPr>
        <w:t>Lam</w:t>
      </w:r>
      <w:r>
        <w:rPr>
          <w:rFonts w:hint="eastAsia" w:ascii="Times New Roman" w:eastAsia="微软雅黑"/>
          <w:iCs/>
          <w:sz w:val="18"/>
          <w:szCs w:val="18"/>
        </w:rPr>
        <w:t>, Ben Zhong Tang</w:t>
      </w:r>
      <w:r>
        <w:rPr>
          <w:rFonts w:ascii="Times New Roman" w:eastAsia="微软雅黑"/>
          <w:sz w:val="18"/>
          <w:szCs w:val="18"/>
        </w:rPr>
        <w:t>*</w:t>
      </w:r>
    </w:p>
    <w:p w14:paraId="35E4E49A">
      <w:pPr>
        <w:spacing w:line="240" w:lineRule="auto"/>
        <w:rPr>
          <w:rFonts w:ascii="Times New Roman" w:eastAsia="微软雅黑"/>
          <w:iCs/>
          <w:sz w:val="18"/>
          <w:szCs w:val="18"/>
        </w:rPr>
      </w:pPr>
      <w:r>
        <w:rPr>
          <w:rFonts w:ascii="Times New Roman" w:eastAsia="微软雅黑"/>
          <w:i/>
          <w:sz w:val="18"/>
          <w:szCs w:val="18"/>
        </w:rPr>
        <w:t>Cell Reports Physical Science,</w:t>
      </w:r>
      <w:r>
        <w:rPr>
          <w:rFonts w:hint="eastAsia" w:ascii="Times New Roman" w:eastAsia="微软雅黑"/>
          <w:iCs/>
          <w:sz w:val="18"/>
          <w:szCs w:val="18"/>
        </w:rPr>
        <w:t xml:space="preserve"> </w:t>
      </w:r>
      <w:r>
        <w:rPr>
          <w:rFonts w:ascii="Times New Roman" w:eastAsia="微软雅黑"/>
          <w:b/>
          <w:bCs/>
          <w:iCs/>
          <w:sz w:val="18"/>
          <w:szCs w:val="18"/>
        </w:rPr>
        <w:t>2026</w:t>
      </w:r>
      <w:r>
        <w:rPr>
          <w:rFonts w:ascii="Times New Roman" w:eastAsia="微软雅黑"/>
          <w:iCs/>
          <w:sz w:val="18"/>
          <w:szCs w:val="18"/>
        </w:rPr>
        <w:t xml:space="preserve">, </w:t>
      </w:r>
      <w:r>
        <w:rPr>
          <w:rFonts w:ascii="Times New Roman" w:eastAsia="微软雅黑"/>
          <w:i/>
          <w:sz w:val="18"/>
          <w:szCs w:val="18"/>
        </w:rPr>
        <w:t>7</w:t>
      </w:r>
      <w:r>
        <w:rPr>
          <w:rFonts w:hint="eastAsia" w:ascii="Times New Roman" w:eastAsia="微软雅黑"/>
          <w:iCs/>
          <w:sz w:val="18"/>
          <w:szCs w:val="18"/>
        </w:rPr>
        <w:t>, 103135</w:t>
      </w:r>
    </w:p>
    <w:p w14:paraId="39601D66">
      <w:pPr>
        <w:spacing w:line="240" w:lineRule="auto"/>
        <w:rPr>
          <w:rFonts w:ascii="Times New Roman" w:eastAsia="微软雅黑"/>
          <w:iCs/>
          <w:sz w:val="18"/>
          <w:szCs w:val="18"/>
        </w:rPr>
      </w:pPr>
      <w:r>
        <w:rPr>
          <w:rFonts w:ascii="Times New Roman" w:eastAsia="微软雅黑"/>
          <w:iCs/>
          <w:sz w:val="18"/>
          <w:szCs w:val="18"/>
        </w:rPr>
        <w:t>Lei Wu, Ulrich Glebe, Wing Yip LAM, Benzhong Tang</w:t>
      </w:r>
    </w:p>
    <w:p w14:paraId="354BAF60">
      <w:pPr>
        <w:spacing w:line="240" w:lineRule="auto"/>
        <w:rPr>
          <w:rFonts w:ascii="Times New Roman" w:eastAsia="微软雅黑"/>
          <w:iCs/>
          <w:sz w:val="18"/>
          <w:szCs w:val="18"/>
        </w:rPr>
      </w:pPr>
      <w:r>
        <w:rPr>
          <w:rFonts w:hint="eastAsia" w:ascii="Times New Roman" w:eastAsia="微软雅黑"/>
          <w:iCs/>
          <w:sz w:val="18"/>
          <w:szCs w:val="18"/>
        </w:rPr>
        <w:t>3</w:t>
      </w:r>
      <w:r>
        <w:rPr>
          <w:rFonts w:ascii="Times New Roman" w:eastAsia="微软雅黑"/>
          <w:iCs/>
          <w:sz w:val="18"/>
          <w:szCs w:val="18"/>
        </w:rPr>
        <w:t>. Looking Inside Bottlebrush Polymers: A Combination Study of Aggregate States within Bottlebrush Polymers via Synthesis and Molecular Dynamics Simulations, in preparation, in preparation</w:t>
      </w:r>
    </w:p>
    <w:p w14:paraId="3393B81D">
      <w:pPr>
        <w:spacing w:line="240" w:lineRule="auto"/>
        <w:rPr>
          <w:rFonts w:ascii="Times New Roman" w:eastAsia="微软雅黑"/>
          <w:iCs/>
          <w:sz w:val="18"/>
          <w:szCs w:val="18"/>
        </w:rPr>
      </w:pPr>
      <w:r>
        <w:rPr>
          <w:rFonts w:ascii="Times New Roman" w:eastAsia="微软雅黑"/>
          <w:iCs/>
          <w:sz w:val="18"/>
          <w:szCs w:val="18"/>
        </w:rPr>
        <w:t>Lei Wu, Ulrich Glebe, Wing Yip LAM, Benzhong Tang</w:t>
      </w:r>
    </w:p>
    <w:p w14:paraId="450AF9E4">
      <w:pPr>
        <w:spacing w:line="240" w:lineRule="auto"/>
        <w:rPr>
          <w:rFonts w:ascii="Times New Roman" w:eastAsia="微软雅黑"/>
          <w:iCs/>
          <w:sz w:val="18"/>
          <w:szCs w:val="18"/>
        </w:rPr>
      </w:pPr>
      <w:r>
        <w:rPr>
          <w:rFonts w:hint="eastAsia" w:ascii="Times New Roman" w:eastAsia="微软雅黑"/>
          <w:iCs/>
          <w:sz w:val="18"/>
          <w:szCs w:val="18"/>
        </w:rPr>
        <w:t>4</w:t>
      </w:r>
      <w:r>
        <w:rPr>
          <w:rFonts w:ascii="Times New Roman" w:eastAsia="微软雅黑"/>
          <w:iCs/>
          <w:sz w:val="18"/>
          <w:szCs w:val="18"/>
        </w:rPr>
        <w:t>. Rational Macromonomer Design Enables Controlled and Efficient Synthesis of AIE Bottlebrush Polymers, in preparation</w:t>
      </w:r>
    </w:p>
    <w:p w14:paraId="512172FF">
      <w:pPr>
        <w:spacing w:line="240" w:lineRule="auto"/>
        <w:rPr>
          <w:rFonts w:ascii="Times New Roman" w:eastAsia="微软雅黑"/>
          <w:iCs/>
          <w:sz w:val="18"/>
          <w:szCs w:val="18"/>
        </w:rPr>
      </w:pPr>
      <w:r>
        <w:rPr>
          <w:rFonts w:ascii="Times New Roman" w:eastAsia="微软雅黑"/>
          <w:iCs/>
          <w:sz w:val="18"/>
          <w:szCs w:val="18"/>
        </w:rPr>
        <w:t>Lei Wu, Ulrich Glebe, Wing Yip LAM, Benzhong Tang</w:t>
      </w:r>
    </w:p>
    <w:p w14:paraId="547012FE">
      <w:pPr>
        <w:spacing w:after="140" w:line="240" w:lineRule="auto"/>
        <w:rPr>
          <w:rFonts w:ascii="微软雅黑" w:hAnsi="微软雅黑" w:eastAsia="微软雅黑" w:cs="Calibri"/>
          <w:sz w:val="18"/>
          <w:szCs w:val="18"/>
        </w:rPr>
      </w:pPr>
    </w:p>
    <w:p w14:paraId="29EC4B80">
      <w:pPr>
        <w:spacing w:line="240" w:lineRule="auto"/>
        <w:rPr>
          <w:rFonts w:ascii="Times New Roman" w:eastAsia="微软雅黑"/>
          <w:i/>
          <w:sz w:val="18"/>
          <w:szCs w:val="18"/>
        </w:rPr>
      </w:pPr>
      <w:r>
        <w:rPr>
          <w:rFonts w:ascii="Times New Roman" w:eastAsia="微软雅黑"/>
          <w:i/>
          <w:sz w:val="18"/>
          <w:szCs w:val="18"/>
        </w:rPr>
        <w:t>postdoc work in UNC Chapel Hill</w:t>
      </w:r>
    </w:p>
    <w:p w14:paraId="69193A86">
      <w:pPr>
        <w:spacing w:line="240" w:lineRule="auto"/>
        <w:rPr>
          <w:rFonts w:ascii="Times New Roman" w:eastAsia="微软雅黑"/>
          <w:sz w:val="18"/>
          <w:szCs w:val="18"/>
        </w:rPr>
      </w:pPr>
      <w:r>
        <w:rPr>
          <w:rFonts w:hint="eastAsia" w:ascii="Times New Roman" w:eastAsia="微软雅黑"/>
          <w:sz w:val="18"/>
          <w:szCs w:val="18"/>
        </w:rPr>
        <w:t>5</w:t>
      </w:r>
      <w:r>
        <w:rPr>
          <w:rFonts w:ascii="Times New Roman" w:eastAsia="微软雅黑"/>
          <w:sz w:val="18"/>
          <w:szCs w:val="18"/>
        </w:rPr>
        <w:t>. A Molecular Silane-Derivatized Ru(II) Catalyst for Photoelectrochemical Water Oxidation,</w:t>
      </w:r>
    </w:p>
    <w:p w14:paraId="07E71C65">
      <w:pPr>
        <w:spacing w:line="240" w:lineRule="auto"/>
        <w:rPr>
          <w:rFonts w:ascii="Times New Roman" w:eastAsia="微软雅黑"/>
          <w:sz w:val="18"/>
          <w:szCs w:val="18"/>
        </w:rPr>
      </w:pPr>
      <w:r>
        <w:rPr>
          <w:rFonts w:ascii="Times New Roman" w:eastAsia="微软雅黑"/>
          <w:sz w:val="18"/>
          <w:szCs w:val="18"/>
        </w:rPr>
        <w:t>Lei Wu, Michael Eberhart, Animesh Nayak, M. Kyle Brennaman, Bing Shan, and Thomas J. Meyer*</w:t>
      </w:r>
    </w:p>
    <w:p w14:paraId="48390FE1">
      <w:pPr>
        <w:spacing w:line="240" w:lineRule="auto"/>
        <w:rPr>
          <w:rFonts w:ascii="Times New Roman" w:eastAsia="微软雅黑"/>
          <w:sz w:val="18"/>
          <w:szCs w:val="18"/>
        </w:rPr>
      </w:pPr>
      <w:r>
        <w:rPr>
          <w:rFonts w:ascii="Times New Roman" w:eastAsia="微软雅黑"/>
          <w:i/>
          <w:sz w:val="18"/>
          <w:szCs w:val="18"/>
        </w:rPr>
        <w:t>J. Am. Chem. Soc.</w:t>
      </w:r>
      <w:r>
        <w:rPr>
          <w:rFonts w:ascii="Times New Roman" w:eastAsia="微软雅黑"/>
          <w:sz w:val="18"/>
          <w:szCs w:val="18"/>
        </w:rPr>
        <w:t xml:space="preserve">, </w:t>
      </w:r>
      <w:r>
        <w:rPr>
          <w:rFonts w:ascii="Times New Roman" w:eastAsia="微软雅黑"/>
          <w:b/>
          <w:bCs/>
          <w:sz w:val="18"/>
          <w:szCs w:val="18"/>
        </w:rPr>
        <w:t>2018</w:t>
      </w:r>
      <w:r>
        <w:rPr>
          <w:rFonts w:ascii="Times New Roman" w:eastAsia="微软雅黑"/>
          <w:sz w:val="18"/>
          <w:szCs w:val="18"/>
        </w:rPr>
        <w:t xml:space="preserve">, </w:t>
      </w:r>
      <w:r>
        <w:rPr>
          <w:rFonts w:ascii="Times New Roman" w:eastAsia="微软雅黑"/>
          <w:i/>
          <w:iCs/>
          <w:sz w:val="18"/>
          <w:szCs w:val="18"/>
        </w:rPr>
        <w:t>140</w:t>
      </w:r>
      <w:r>
        <w:rPr>
          <w:rFonts w:ascii="Times New Roman" w:eastAsia="微软雅黑"/>
          <w:sz w:val="18"/>
          <w:szCs w:val="18"/>
        </w:rPr>
        <w:t>, 15062-15069</w:t>
      </w:r>
    </w:p>
    <w:p w14:paraId="502305A0">
      <w:pPr>
        <w:spacing w:line="240" w:lineRule="auto"/>
        <w:rPr>
          <w:rFonts w:ascii="Times New Roman" w:eastAsia="微软雅黑"/>
          <w:sz w:val="18"/>
          <w:szCs w:val="18"/>
        </w:rPr>
      </w:pPr>
      <w:r>
        <w:rPr>
          <w:rFonts w:hint="eastAsia" w:ascii="Times New Roman" w:eastAsia="微软雅黑"/>
          <w:sz w:val="18"/>
          <w:szCs w:val="18"/>
        </w:rPr>
        <w:t>6</w:t>
      </w:r>
      <w:r>
        <w:rPr>
          <w:rFonts w:ascii="Times New Roman" w:eastAsia="微软雅黑"/>
          <w:sz w:val="18"/>
          <w:szCs w:val="18"/>
        </w:rPr>
        <w:t>. Stable Molecular Surface Modification of Nanostructured, Mesoporous Metal Oxide Photoanodes by Silane and Click Chemistry,</w:t>
      </w:r>
    </w:p>
    <w:p w14:paraId="6A9BB1A0">
      <w:pPr>
        <w:spacing w:line="240" w:lineRule="auto"/>
        <w:rPr>
          <w:rFonts w:ascii="Times New Roman" w:eastAsia="微软雅黑"/>
          <w:sz w:val="18"/>
          <w:szCs w:val="18"/>
        </w:rPr>
      </w:pPr>
      <w:r>
        <w:rPr>
          <w:rFonts w:ascii="Times New Roman" w:eastAsia="微软雅黑"/>
          <w:sz w:val="18"/>
          <w:szCs w:val="18"/>
        </w:rPr>
        <w:t>Lei Wu, Michael Eberhart, Bing Shan, Animesh Nayak, M. Kyle Brennaman, Alexander J. M. Miller*, Jing Shao*, and Thomas J. Meyer*</w:t>
      </w:r>
    </w:p>
    <w:p w14:paraId="71FA338B">
      <w:pPr>
        <w:spacing w:line="240" w:lineRule="auto"/>
        <w:rPr>
          <w:rFonts w:ascii="Times New Roman" w:eastAsia="微软雅黑"/>
          <w:sz w:val="18"/>
          <w:szCs w:val="18"/>
        </w:rPr>
      </w:pPr>
      <w:r>
        <w:rPr>
          <w:rFonts w:ascii="Times New Roman" w:eastAsia="微软雅黑"/>
          <w:i/>
          <w:sz w:val="18"/>
          <w:szCs w:val="18"/>
        </w:rPr>
        <w:t>ACS Appl. Mater. Interfaces</w:t>
      </w:r>
      <w:r>
        <w:rPr>
          <w:rFonts w:ascii="Times New Roman" w:eastAsia="微软雅黑"/>
          <w:sz w:val="18"/>
          <w:szCs w:val="18"/>
        </w:rPr>
        <w:t xml:space="preserve">, </w:t>
      </w:r>
      <w:r>
        <w:rPr>
          <w:rFonts w:ascii="Times New Roman" w:eastAsia="微软雅黑"/>
          <w:b/>
          <w:bCs/>
          <w:sz w:val="18"/>
          <w:szCs w:val="18"/>
        </w:rPr>
        <w:t>2019</w:t>
      </w:r>
      <w:r>
        <w:rPr>
          <w:rFonts w:ascii="Times New Roman" w:eastAsia="微软雅黑"/>
          <w:sz w:val="18"/>
          <w:szCs w:val="18"/>
        </w:rPr>
        <w:t xml:space="preserve">, </w:t>
      </w:r>
      <w:r>
        <w:rPr>
          <w:rFonts w:ascii="Times New Roman" w:eastAsia="微软雅黑"/>
          <w:i/>
          <w:iCs/>
          <w:sz w:val="18"/>
          <w:szCs w:val="18"/>
        </w:rPr>
        <w:t>11</w:t>
      </w:r>
      <w:r>
        <w:rPr>
          <w:rFonts w:ascii="Times New Roman" w:eastAsia="微软雅黑"/>
          <w:sz w:val="18"/>
          <w:szCs w:val="18"/>
        </w:rPr>
        <w:t>, 4560–4567</w:t>
      </w:r>
    </w:p>
    <w:p w14:paraId="26985555">
      <w:pPr>
        <w:spacing w:line="240" w:lineRule="auto"/>
        <w:rPr>
          <w:rFonts w:ascii="Times New Roman" w:eastAsia="微软雅黑"/>
          <w:sz w:val="18"/>
          <w:szCs w:val="18"/>
        </w:rPr>
      </w:pPr>
      <w:r>
        <w:rPr>
          <w:rFonts w:hint="eastAsia" w:ascii="Times New Roman" w:eastAsia="微软雅黑"/>
          <w:sz w:val="18"/>
          <w:szCs w:val="18"/>
        </w:rPr>
        <w:t>7</w:t>
      </w:r>
      <w:r>
        <w:rPr>
          <w:rFonts w:ascii="Times New Roman" w:eastAsia="微软雅黑"/>
          <w:sz w:val="18"/>
          <w:szCs w:val="18"/>
        </w:rPr>
        <w:t>. Stabilization of Ruthenium(II) Polypyridyl Chromophores on Mesoporous TiO2 Electrodes: Surface Reductive Electropolymerization and Silane Chemistry,</w:t>
      </w:r>
    </w:p>
    <w:p w14:paraId="3D0E5ED8">
      <w:pPr>
        <w:spacing w:line="240" w:lineRule="auto"/>
        <w:rPr>
          <w:rFonts w:ascii="Times New Roman" w:eastAsia="微软雅黑"/>
          <w:sz w:val="18"/>
          <w:szCs w:val="18"/>
        </w:rPr>
      </w:pPr>
      <w:r>
        <w:rPr>
          <w:rFonts w:ascii="Times New Roman" w:eastAsia="微软雅黑"/>
          <w:sz w:val="18"/>
          <w:szCs w:val="18"/>
        </w:rPr>
        <w:t>Lei Wu, M. Kyle Brennaman, Animesh Nayak, Michael Eberhart, Alexander J. M. Miller, Thomas J. Meyer*</w:t>
      </w:r>
    </w:p>
    <w:p w14:paraId="6B594A73">
      <w:pPr>
        <w:spacing w:line="240" w:lineRule="auto"/>
        <w:rPr>
          <w:rFonts w:ascii="Times New Roman" w:eastAsia="微软雅黑"/>
          <w:iCs/>
          <w:sz w:val="18"/>
          <w:szCs w:val="18"/>
        </w:rPr>
      </w:pPr>
      <w:r>
        <w:rPr>
          <w:rFonts w:ascii="Times New Roman" w:eastAsia="微软雅黑"/>
          <w:i/>
          <w:sz w:val="18"/>
          <w:szCs w:val="18"/>
        </w:rPr>
        <w:t>ACS Cent. Sci.,</w:t>
      </w:r>
      <w:r>
        <w:rPr>
          <w:rFonts w:ascii="Times New Roman" w:eastAsia="微软雅黑"/>
          <w:iCs/>
          <w:sz w:val="18"/>
          <w:szCs w:val="18"/>
        </w:rPr>
        <w:t xml:space="preserve"> </w:t>
      </w:r>
      <w:r>
        <w:rPr>
          <w:rFonts w:ascii="Times New Roman" w:eastAsia="微软雅黑"/>
          <w:b/>
          <w:bCs/>
          <w:iCs/>
          <w:sz w:val="18"/>
          <w:szCs w:val="18"/>
        </w:rPr>
        <w:t>2019</w:t>
      </w:r>
      <w:r>
        <w:rPr>
          <w:rFonts w:ascii="Times New Roman" w:eastAsia="微软雅黑"/>
          <w:iCs/>
          <w:sz w:val="18"/>
          <w:szCs w:val="18"/>
        </w:rPr>
        <w:t>,</w:t>
      </w:r>
      <w:r>
        <w:rPr>
          <w:rFonts w:ascii="Times New Roman" w:eastAsia="微软雅黑"/>
          <w:sz w:val="18"/>
          <w:szCs w:val="18"/>
        </w:rPr>
        <w:t xml:space="preserve"> </w:t>
      </w:r>
      <w:r>
        <w:rPr>
          <w:rFonts w:ascii="Times New Roman" w:eastAsia="微软雅黑"/>
          <w:i/>
          <w:iCs/>
          <w:sz w:val="18"/>
          <w:szCs w:val="18"/>
        </w:rPr>
        <w:t>5</w:t>
      </w:r>
      <w:r>
        <w:rPr>
          <w:rFonts w:ascii="Times New Roman" w:eastAsia="微软雅黑"/>
          <w:sz w:val="18"/>
          <w:szCs w:val="18"/>
        </w:rPr>
        <w:t>, 506-514</w:t>
      </w:r>
    </w:p>
    <w:p w14:paraId="5B8A10A4">
      <w:pPr>
        <w:spacing w:line="240" w:lineRule="auto"/>
        <w:rPr>
          <w:rFonts w:ascii="Times New Roman" w:eastAsia="微软雅黑"/>
          <w:sz w:val="18"/>
          <w:szCs w:val="18"/>
        </w:rPr>
      </w:pPr>
      <w:r>
        <w:rPr>
          <w:rFonts w:hint="eastAsia" w:ascii="Times New Roman" w:eastAsia="微软雅黑"/>
          <w:sz w:val="18"/>
          <w:szCs w:val="18"/>
        </w:rPr>
        <w:t>8</w:t>
      </w:r>
      <w:r>
        <w:rPr>
          <w:rFonts w:ascii="Times New Roman" w:eastAsia="微软雅黑"/>
          <w:sz w:val="18"/>
          <w:szCs w:val="18"/>
        </w:rPr>
        <w:t>. Crossing the Bridge from Molecular Catalysis to a Heterogenous Electrode in Electrocatalytic Water Oxidation</w:t>
      </w:r>
    </w:p>
    <w:p w14:paraId="5AAD4EF3">
      <w:pPr>
        <w:spacing w:line="240" w:lineRule="auto"/>
        <w:rPr>
          <w:rFonts w:ascii="Times New Roman" w:eastAsia="微软雅黑"/>
          <w:sz w:val="18"/>
          <w:szCs w:val="18"/>
        </w:rPr>
      </w:pPr>
      <w:r>
        <w:rPr>
          <w:rFonts w:ascii="Times New Roman" w:eastAsia="微软雅黑"/>
          <w:sz w:val="18"/>
          <w:szCs w:val="18"/>
        </w:rPr>
        <w:t>Lei Wu, Animesh Nayak, Jing Shao,* Thomas J. Meyer*</w:t>
      </w:r>
    </w:p>
    <w:p w14:paraId="24638F4D">
      <w:pPr>
        <w:spacing w:line="240" w:lineRule="auto"/>
        <w:rPr>
          <w:rFonts w:ascii="Times New Roman" w:eastAsia="微软雅黑"/>
          <w:sz w:val="18"/>
          <w:szCs w:val="18"/>
        </w:rPr>
      </w:pPr>
      <w:r>
        <w:rPr>
          <w:rFonts w:ascii="Times New Roman" w:eastAsia="微软雅黑"/>
          <w:i/>
          <w:iCs/>
          <w:sz w:val="18"/>
          <w:szCs w:val="18"/>
        </w:rPr>
        <w:t>Proc. Natl. Acad. Sci.</w:t>
      </w:r>
      <w:r>
        <w:rPr>
          <w:rFonts w:ascii="Times New Roman" w:eastAsia="微软雅黑"/>
          <w:sz w:val="18"/>
          <w:szCs w:val="18"/>
        </w:rPr>
        <w:t xml:space="preserve">, </w:t>
      </w:r>
      <w:r>
        <w:rPr>
          <w:rFonts w:ascii="Times New Roman" w:eastAsia="微软雅黑"/>
          <w:b/>
          <w:bCs/>
          <w:sz w:val="18"/>
          <w:szCs w:val="18"/>
        </w:rPr>
        <w:t>2019</w:t>
      </w:r>
      <w:r>
        <w:rPr>
          <w:rFonts w:ascii="Times New Roman" w:eastAsia="微软雅黑"/>
          <w:sz w:val="18"/>
          <w:szCs w:val="18"/>
        </w:rPr>
        <w:t xml:space="preserve">, </w:t>
      </w:r>
      <w:r>
        <w:rPr>
          <w:rFonts w:ascii="Times New Roman" w:eastAsia="微软雅黑"/>
          <w:i/>
          <w:iCs/>
          <w:sz w:val="18"/>
          <w:szCs w:val="18"/>
        </w:rPr>
        <w:t>116</w:t>
      </w:r>
      <w:r>
        <w:rPr>
          <w:rFonts w:ascii="Times New Roman" w:eastAsia="微软雅黑"/>
          <w:sz w:val="18"/>
          <w:szCs w:val="18"/>
        </w:rPr>
        <w:t>, 11153-11158</w:t>
      </w:r>
    </w:p>
    <w:p w14:paraId="1A7D5624">
      <w:pPr>
        <w:spacing w:line="240" w:lineRule="auto"/>
        <w:rPr>
          <w:rFonts w:ascii="Times New Roman" w:eastAsia="微软雅黑"/>
          <w:sz w:val="18"/>
          <w:szCs w:val="18"/>
        </w:rPr>
      </w:pPr>
      <w:r>
        <w:rPr>
          <w:rFonts w:hint="eastAsia" w:ascii="Times New Roman" w:eastAsia="微软雅黑"/>
          <w:sz w:val="18"/>
          <w:szCs w:val="18"/>
        </w:rPr>
        <w:t>9</w:t>
      </w:r>
      <w:r>
        <w:rPr>
          <w:rFonts w:ascii="Times New Roman" w:eastAsia="微软雅黑"/>
          <w:sz w:val="18"/>
          <w:szCs w:val="18"/>
        </w:rPr>
        <w:t>. Charge Transfer from Upconverting Nanocrystals to Semiconducting Electrodes: Optimizing Thermodynamic Outputs by Electronic Energy Transfer</w:t>
      </w:r>
    </w:p>
    <w:p w14:paraId="555E5C66">
      <w:pPr>
        <w:spacing w:line="240" w:lineRule="auto"/>
        <w:rPr>
          <w:rFonts w:ascii="Times New Roman" w:eastAsia="微软雅黑"/>
          <w:sz w:val="18"/>
          <w:szCs w:val="18"/>
        </w:rPr>
      </w:pPr>
      <w:r>
        <w:rPr>
          <w:rFonts w:ascii="Times New Roman" w:eastAsia="微软雅黑"/>
          <w:sz w:val="18"/>
          <w:szCs w:val="18"/>
        </w:rPr>
        <w:t>Bing Shan, Ting-Ting Li, M. Kyle Brennaman, Animesh Nayak, Lei Wu, and Thomas J. Meyer*</w:t>
      </w:r>
    </w:p>
    <w:p w14:paraId="200B8D2C">
      <w:pPr>
        <w:spacing w:line="240" w:lineRule="auto"/>
        <w:rPr>
          <w:rFonts w:ascii="Times New Roman" w:eastAsia="微软雅黑"/>
          <w:sz w:val="18"/>
          <w:szCs w:val="18"/>
        </w:rPr>
      </w:pPr>
      <w:r>
        <w:rPr>
          <w:rFonts w:ascii="Times New Roman" w:eastAsia="微软雅黑"/>
          <w:i/>
          <w:iCs/>
          <w:sz w:val="18"/>
          <w:szCs w:val="18"/>
        </w:rPr>
        <w:t>J. Am. Chem. Soc.</w:t>
      </w:r>
      <w:r>
        <w:rPr>
          <w:rFonts w:ascii="Times New Roman" w:eastAsia="微软雅黑"/>
          <w:sz w:val="18"/>
          <w:szCs w:val="18"/>
        </w:rPr>
        <w:t xml:space="preserve">, </w:t>
      </w:r>
      <w:r>
        <w:rPr>
          <w:rFonts w:ascii="Times New Roman" w:eastAsia="微软雅黑"/>
          <w:b/>
          <w:bCs/>
          <w:sz w:val="18"/>
          <w:szCs w:val="18"/>
        </w:rPr>
        <w:t>2019</w:t>
      </w:r>
      <w:r>
        <w:rPr>
          <w:rFonts w:ascii="Times New Roman" w:eastAsia="微软雅黑"/>
          <w:sz w:val="18"/>
          <w:szCs w:val="18"/>
        </w:rPr>
        <w:t xml:space="preserve">, </w:t>
      </w:r>
      <w:r>
        <w:rPr>
          <w:rFonts w:ascii="Times New Roman" w:eastAsia="微软雅黑"/>
          <w:i/>
          <w:iCs/>
          <w:sz w:val="18"/>
          <w:szCs w:val="18"/>
        </w:rPr>
        <w:t>141</w:t>
      </w:r>
      <w:r>
        <w:rPr>
          <w:rFonts w:ascii="Times New Roman" w:eastAsia="微软雅黑"/>
          <w:sz w:val="18"/>
          <w:szCs w:val="18"/>
        </w:rPr>
        <w:t>, 463–471</w:t>
      </w:r>
    </w:p>
    <w:p w14:paraId="76339BD6">
      <w:pPr>
        <w:spacing w:line="240" w:lineRule="auto"/>
        <w:rPr>
          <w:rFonts w:ascii="Times New Roman" w:eastAsia="微软雅黑"/>
          <w:sz w:val="18"/>
          <w:szCs w:val="18"/>
        </w:rPr>
      </w:pPr>
      <w:r>
        <w:rPr>
          <w:rFonts w:hint="eastAsia" w:ascii="Times New Roman" w:eastAsia="微软雅黑"/>
          <w:sz w:val="18"/>
          <w:szCs w:val="18"/>
        </w:rPr>
        <w:t>10</w:t>
      </w:r>
      <w:r>
        <w:rPr>
          <w:rFonts w:ascii="Times New Roman" w:eastAsia="微软雅黑"/>
          <w:sz w:val="18"/>
          <w:szCs w:val="18"/>
        </w:rPr>
        <w:t>. Electron-Withdrawing Boron Dipyrromethene Dyes As Visible Light Absorber/Sensitizers on Semiconductor Oxide Surfaces</w:t>
      </w:r>
    </w:p>
    <w:p w14:paraId="34EE4C31">
      <w:pPr>
        <w:spacing w:line="240" w:lineRule="auto"/>
        <w:rPr>
          <w:rFonts w:ascii="Times New Roman" w:eastAsia="微软雅黑"/>
          <w:sz w:val="18"/>
          <w:szCs w:val="18"/>
        </w:rPr>
      </w:pPr>
      <w:r>
        <w:rPr>
          <w:rFonts w:ascii="Times New Roman" w:eastAsia="微软雅黑"/>
          <w:sz w:val="18"/>
          <w:szCs w:val="18"/>
        </w:rPr>
        <w:t>Deepak Badgurjar, Bing Shan, Animesh Nayak, Lei Wu, Raghu Chitta, and Thomas J. Meyer*</w:t>
      </w:r>
    </w:p>
    <w:p w14:paraId="34EDB98F">
      <w:pPr>
        <w:spacing w:line="240" w:lineRule="auto"/>
        <w:rPr>
          <w:rFonts w:ascii="Times New Roman" w:eastAsia="微软雅黑"/>
          <w:sz w:val="18"/>
          <w:szCs w:val="18"/>
        </w:rPr>
      </w:pPr>
      <w:r>
        <w:rPr>
          <w:rFonts w:ascii="Times New Roman" w:eastAsia="微软雅黑"/>
          <w:i/>
          <w:iCs/>
          <w:sz w:val="18"/>
          <w:szCs w:val="18"/>
        </w:rPr>
        <w:t>ACS Appl. Mater. Interfaces</w:t>
      </w:r>
      <w:r>
        <w:rPr>
          <w:rFonts w:ascii="Times New Roman" w:eastAsia="微软雅黑"/>
          <w:sz w:val="18"/>
          <w:szCs w:val="18"/>
        </w:rPr>
        <w:t xml:space="preserve">, </w:t>
      </w:r>
      <w:r>
        <w:rPr>
          <w:rFonts w:ascii="Times New Roman" w:eastAsia="微软雅黑"/>
          <w:b/>
          <w:bCs/>
          <w:sz w:val="18"/>
          <w:szCs w:val="18"/>
        </w:rPr>
        <w:t>2020</w:t>
      </w:r>
      <w:r>
        <w:rPr>
          <w:rFonts w:ascii="Times New Roman" w:eastAsia="微软雅黑"/>
          <w:sz w:val="18"/>
          <w:szCs w:val="18"/>
        </w:rPr>
        <w:t xml:space="preserve">, </w:t>
      </w:r>
      <w:r>
        <w:rPr>
          <w:rFonts w:ascii="Times New Roman" w:eastAsia="微软雅黑"/>
          <w:i/>
          <w:iCs/>
          <w:sz w:val="18"/>
          <w:szCs w:val="18"/>
        </w:rPr>
        <w:t>12</w:t>
      </w:r>
      <w:r>
        <w:rPr>
          <w:rFonts w:ascii="Times New Roman" w:eastAsia="微软雅黑"/>
          <w:sz w:val="18"/>
          <w:szCs w:val="18"/>
        </w:rPr>
        <w:t>, 7768–7776</w:t>
      </w:r>
    </w:p>
    <w:p w14:paraId="4D5751DC">
      <w:pPr>
        <w:spacing w:after="140" w:line="240" w:lineRule="auto"/>
        <w:rPr>
          <w:rFonts w:ascii="微软雅黑" w:hAnsi="微软雅黑" w:eastAsia="微软雅黑" w:cs="Calibri"/>
          <w:sz w:val="18"/>
          <w:szCs w:val="18"/>
        </w:rPr>
      </w:pPr>
    </w:p>
    <w:p w14:paraId="5BEFC505">
      <w:pPr>
        <w:spacing w:line="240" w:lineRule="auto"/>
        <w:rPr>
          <w:rFonts w:ascii="Times New Roman" w:eastAsia="微软雅黑"/>
          <w:i/>
          <w:sz w:val="18"/>
          <w:szCs w:val="18"/>
        </w:rPr>
      </w:pPr>
      <w:r>
        <w:rPr>
          <w:rFonts w:ascii="Times New Roman" w:eastAsia="微软雅黑"/>
          <w:i/>
          <w:sz w:val="18"/>
          <w:szCs w:val="18"/>
        </w:rPr>
        <w:t>PhD work in RWTH Aachen</w:t>
      </w:r>
    </w:p>
    <w:p w14:paraId="1866330D">
      <w:pPr>
        <w:spacing w:line="240" w:lineRule="auto"/>
        <w:rPr>
          <w:rFonts w:ascii="Times New Roman" w:eastAsia="微软雅黑"/>
          <w:sz w:val="18"/>
          <w:szCs w:val="18"/>
        </w:rPr>
      </w:pPr>
      <w:r>
        <w:rPr>
          <w:rFonts w:hint="eastAsia" w:ascii="Times New Roman" w:eastAsia="微软雅黑"/>
          <w:sz w:val="18"/>
          <w:szCs w:val="18"/>
        </w:rPr>
        <w:t>11</w:t>
      </w:r>
      <w:r>
        <w:rPr>
          <w:rFonts w:ascii="Times New Roman" w:eastAsia="微软雅黑"/>
          <w:sz w:val="18"/>
          <w:szCs w:val="18"/>
        </w:rPr>
        <w:t>. Surface-initiated controlled radical polymerizations from silica nanoparticles, gold nanocrystals, and bionanoparticles,</w:t>
      </w:r>
    </w:p>
    <w:p w14:paraId="23C13238">
      <w:pPr>
        <w:spacing w:line="240" w:lineRule="auto"/>
        <w:rPr>
          <w:rFonts w:ascii="Times New Roman" w:eastAsia="微软雅黑"/>
          <w:sz w:val="18"/>
          <w:szCs w:val="18"/>
        </w:rPr>
      </w:pPr>
      <w:r>
        <w:rPr>
          <w:rFonts w:ascii="Times New Roman" w:eastAsia="微软雅黑"/>
          <w:sz w:val="18"/>
          <w:szCs w:val="18"/>
        </w:rPr>
        <w:t>Lei Wu, Ulrich Glebe, and Alexander Böker*</w:t>
      </w:r>
    </w:p>
    <w:p w14:paraId="45B06689">
      <w:pPr>
        <w:spacing w:line="240" w:lineRule="auto"/>
        <w:rPr>
          <w:rFonts w:ascii="Times New Roman" w:eastAsia="微软雅黑"/>
          <w:sz w:val="18"/>
          <w:szCs w:val="18"/>
        </w:rPr>
      </w:pPr>
      <w:r>
        <w:rPr>
          <w:rFonts w:ascii="Times New Roman" w:eastAsia="微软雅黑"/>
          <w:i/>
          <w:sz w:val="18"/>
          <w:szCs w:val="18"/>
        </w:rPr>
        <w:t>Polymer Chemistry</w:t>
      </w:r>
      <w:r>
        <w:rPr>
          <w:rFonts w:ascii="Times New Roman" w:eastAsia="微软雅黑"/>
          <w:sz w:val="18"/>
          <w:szCs w:val="18"/>
        </w:rPr>
        <w:t xml:space="preserve">, </w:t>
      </w:r>
      <w:r>
        <w:rPr>
          <w:rFonts w:ascii="Times New Roman" w:eastAsia="微软雅黑"/>
          <w:b/>
          <w:sz w:val="18"/>
          <w:szCs w:val="18"/>
        </w:rPr>
        <w:t>2015</w:t>
      </w:r>
      <w:r>
        <w:rPr>
          <w:rFonts w:ascii="Times New Roman" w:eastAsia="微软雅黑"/>
          <w:sz w:val="18"/>
          <w:szCs w:val="18"/>
        </w:rPr>
        <w:t xml:space="preserve">, </w:t>
      </w:r>
      <w:r>
        <w:rPr>
          <w:rFonts w:ascii="Times New Roman" w:eastAsia="微软雅黑"/>
          <w:i/>
          <w:sz w:val="18"/>
          <w:szCs w:val="18"/>
        </w:rPr>
        <w:t>6</w:t>
      </w:r>
      <w:r>
        <w:rPr>
          <w:rFonts w:ascii="Times New Roman" w:eastAsia="微软雅黑"/>
          <w:sz w:val="18"/>
          <w:szCs w:val="18"/>
        </w:rPr>
        <w:t>, 5143-5184</w:t>
      </w:r>
    </w:p>
    <w:p w14:paraId="1B5A6798">
      <w:pPr>
        <w:spacing w:line="240" w:lineRule="auto"/>
        <w:rPr>
          <w:rFonts w:ascii="Times New Roman" w:eastAsia="微软雅黑"/>
          <w:sz w:val="18"/>
          <w:szCs w:val="18"/>
        </w:rPr>
      </w:pPr>
      <w:r>
        <w:rPr>
          <w:rFonts w:hint="eastAsia" w:ascii="Times New Roman" w:eastAsia="微软雅黑"/>
          <w:sz w:val="18"/>
          <w:szCs w:val="18"/>
        </w:rPr>
        <w:t>12</w:t>
      </w:r>
      <w:r>
        <w:rPr>
          <w:rFonts w:ascii="Times New Roman" w:eastAsia="微软雅黑"/>
          <w:sz w:val="18"/>
          <w:szCs w:val="18"/>
        </w:rPr>
        <w:t>. Synthesis of Binary Polystyrene and Poly(4-vinylpyridine) Mixed Grafted Silica Nanoparticles via a Combination of ATRP and Cu</w:t>
      </w:r>
      <w:r>
        <w:rPr>
          <w:rFonts w:ascii="Times New Roman" w:eastAsia="微软雅黑"/>
          <w:sz w:val="18"/>
          <w:szCs w:val="18"/>
          <w:vertAlign w:val="superscript"/>
        </w:rPr>
        <w:t>I</w:t>
      </w:r>
      <w:r>
        <w:rPr>
          <w:rFonts w:ascii="Times New Roman" w:eastAsia="微软雅黑"/>
          <w:sz w:val="18"/>
          <w:szCs w:val="18"/>
        </w:rPr>
        <w:t>-catalyzed Azide-Alkyne Click Chemistry,</w:t>
      </w:r>
    </w:p>
    <w:p w14:paraId="7644F32E">
      <w:pPr>
        <w:spacing w:line="240" w:lineRule="auto"/>
        <w:rPr>
          <w:rFonts w:ascii="Times New Roman" w:eastAsia="微软雅黑"/>
          <w:sz w:val="18"/>
          <w:szCs w:val="18"/>
        </w:rPr>
      </w:pPr>
      <w:r>
        <w:rPr>
          <w:rFonts w:ascii="Times New Roman" w:eastAsia="微软雅黑"/>
          <w:sz w:val="18"/>
          <w:szCs w:val="18"/>
        </w:rPr>
        <w:t>Lei Wu, Ulrich Glebe, and Alexander Böker*</w:t>
      </w:r>
    </w:p>
    <w:p w14:paraId="4E32180F">
      <w:pPr>
        <w:spacing w:line="240" w:lineRule="auto"/>
        <w:rPr>
          <w:rFonts w:ascii="Times New Roman" w:eastAsia="微软雅黑"/>
          <w:sz w:val="18"/>
          <w:szCs w:val="18"/>
        </w:rPr>
      </w:pPr>
      <w:r>
        <w:rPr>
          <w:rFonts w:ascii="Times New Roman" w:eastAsia="微软雅黑"/>
          <w:i/>
          <w:sz w:val="18"/>
          <w:szCs w:val="18"/>
        </w:rPr>
        <w:t>Macromolecular Rapid Communications</w:t>
      </w:r>
      <w:r>
        <w:rPr>
          <w:rFonts w:ascii="Times New Roman" w:eastAsia="微软雅黑"/>
          <w:sz w:val="18"/>
          <w:szCs w:val="18"/>
        </w:rPr>
        <w:t xml:space="preserve">, </w:t>
      </w:r>
      <w:r>
        <w:rPr>
          <w:rFonts w:ascii="Times New Roman" w:eastAsia="微软雅黑"/>
          <w:b/>
          <w:sz w:val="18"/>
          <w:szCs w:val="18"/>
        </w:rPr>
        <w:t>2017</w:t>
      </w:r>
      <w:r>
        <w:rPr>
          <w:rFonts w:ascii="Times New Roman" w:eastAsia="微软雅黑"/>
          <w:sz w:val="18"/>
          <w:szCs w:val="18"/>
        </w:rPr>
        <w:t xml:space="preserve">, </w:t>
      </w:r>
      <w:r>
        <w:rPr>
          <w:rFonts w:ascii="Times New Roman" w:eastAsia="微软雅黑"/>
          <w:i/>
          <w:sz w:val="18"/>
          <w:szCs w:val="18"/>
        </w:rPr>
        <w:t>38</w:t>
      </w:r>
      <w:r>
        <w:rPr>
          <w:rFonts w:ascii="Times New Roman" w:eastAsia="微软雅黑"/>
          <w:sz w:val="18"/>
          <w:szCs w:val="18"/>
        </w:rPr>
        <w:t>, 1600475</w:t>
      </w:r>
    </w:p>
    <w:p w14:paraId="72D1C419">
      <w:pPr>
        <w:spacing w:line="240" w:lineRule="auto"/>
        <w:rPr>
          <w:rFonts w:ascii="Times New Roman" w:eastAsia="微软雅黑"/>
          <w:sz w:val="18"/>
          <w:szCs w:val="18"/>
        </w:rPr>
      </w:pPr>
      <w:r>
        <w:rPr>
          <w:rFonts w:hint="eastAsia" w:ascii="Times New Roman" w:eastAsia="微软雅黑"/>
          <w:sz w:val="18"/>
          <w:szCs w:val="18"/>
        </w:rPr>
        <w:t>13</w:t>
      </w:r>
      <w:r>
        <w:rPr>
          <w:rFonts w:ascii="Times New Roman" w:eastAsia="微软雅黑"/>
          <w:sz w:val="18"/>
          <w:szCs w:val="18"/>
        </w:rPr>
        <w:t>. Synthesis of Hybrid Silica Nanoparticles Densely Grafted with Thermo- and pH-Dual Responsive Poly(</w:t>
      </w:r>
      <w:r>
        <w:rPr>
          <w:rFonts w:ascii="Times New Roman" w:eastAsia="微软雅黑"/>
          <w:i/>
          <w:sz w:val="18"/>
          <w:szCs w:val="18"/>
        </w:rPr>
        <w:t>N</w:t>
      </w:r>
      <w:r>
        <w:rPr>
          <w:rFonts w:ascii="Times New Roman" w:eastAsia="微软雅黑"/>
          <w:sz w:val="18"/>
          <w:szCs w:val="18"/>
        </w:rPr>
        <w:t>-isopropyl acrylamide)-b-Poly(4-vinylpyridine) via Surface-Initiated ATRP,</w:t>
      </w:r>
    </w:p>
    <w:p w14:paraId="745CEC50">
      <w:pPr>
        <w:spacing w:line="240" w:lineRule="auto"/>
        <w:rPr>
          <w:rFonts w:ascii="Times New Roman" w:eastAsia="微软雅黑"/>
          <w:sz w:val="18"/>
          <w:szCs w:val="18"/>
        </w:rPr>
      </w:pPr>
      <w:r>
        <w:rPr>
          <w:rFonts w:ascii="Times New Roman" w:eastAsia="微软雅黑"/>
          <w:sz w:val="18"/>
          <w:szCs w:val="18"/>
        </w:rPr>
        <w:t>Lei Wu, Ulrich Glebe, and Alexander Böker*</w:t>
      </w:r>
    </w:p>
    <w:p w14:paraId="2BE2B55F">
      <w:pPr>
        <w:spacing w:line="240" w:lineRule="auto"/>
        <w:rPr>
          <w:rFonts w:ascii="Times New Roman" w:eastAsia="微软雅黑"/>
          <w:sz w:val="18"/>
          <w:szCs w:val="18"/>
        </w:rPr>
      </w:pPr>
      <w:r>
        <w:rPr>
          <w:rFonts w:ascii="Times New Roman" w:eastAsia="微软雅黑"/>
          <w:i/>
          <w:sz w:val="18"/>
          <w:szCs w:val="18"/>
        </w:rPr>
        <w:t>Macromolecules</w:t>
      </w:r>
      <w:r>
        <w:rPr>
          <w:rFonts w:ascii="Times New Roman" w:eastAsia="微软雅黑"/>
          <w:sz w:val="18"/>
          <w:szCs w:val="18"/>
        </w:rPr>
        <w:t xml:space="preserve">, </w:t>
      </w:r>
      <w:r>
        <w:rPr>
          <w:rFonts w:ascii="Times New Roman" w:eastAsia="微软雅黑"/>
          <w:b/>
          <w:sz w:val="18"/>
          <w:szCs w:val="18"/>
        </w:rPr>
        <w:t>2016</w:t>
      </w:r>
      <w:r>
        <w:rPr>
          <w:rFonts w:ascii="Times New Roman" w:eastAsia="微软雅黑"/>
          <w:sz w:val="18"/>
          <w:szCs w:val="18"/>
        </w:rPr>
        <w:t xml:space="preserve">, </w:t>
      </w:r>
      <w:r>
        <w:rPr>
          <w:rFonts w:ascii="Times New Roman" w:eastAsia="微软雅黑"/>
          <w:i/>
          <w:sz w:val="18"/>
          <w:szCs w:val="18"/>
        </w:rPr>
        <w:t>49</w:t>
      </w:r>
      <w:r>
        <w:rPr>
          <w:rFonts w:ascii="Times New Roman" w:eastAsia="微软雅黑"/>
          <w:sz w:val="18"/>
          <w:szCs w:val="18"/>
        </w:rPr>
        <w:t>, 9586-9596</w:t>
      </w:r>
    </w:p>
    <w:p w14:paraId="3354BE2D">
      <w:pPr>
        <w:spacing w:line="240" w:lineRule="auto"/>
        <w:rPr>
          <w:rFonts w:ascii="Times New Roman" w:eastAsia="微软雅黑"/>
          <w:sz w:val="18"/>
          <w:szCs w:val="18"/>
        </w:rPr>
      </w:pPr>
      <w:r>
        <w:rPr>
          <w:rFonts w:hint="eastAsia" w:ascii="Times New Roman" w:eastAsia="微软雅黑"/>
          <w:sz w:val="18"/>
          <w:szCs w:val="18"/>
        </w:rPr>
        <w:t>14</w:t>
      </w:r>
      <w:r>
        <w:rPr>
          <w:rFonts w:ascii="Times New Roman" w:eastAsia="微软雅黑"/>
          <w:sz w:val="18"/>
          <w:szCs w:val="18"/>
        </w:rPr>
        <w:t>. Fabrication of Thermoresponsive Plasmonic Core-Satellite Nanoassemblies with a Tunable Stoichiometry via Surface-Initiated RAFT Polymerization from Silica Nanoparticles,</w:t>
      </w:r>
    </w:p>
    <w:p w14:paraId="551094D2">
      <w:pPr>
        <w:spacing w:line="240" w:lineRule="auto"/>
        <w:rPr>
          <w:rFonts w:ascii="Times New Roman" w:eastAsia="微软雅黑"/>
          <w:sz w:val="18"/>
          <w:szCs w:val="18"/>
        </w:rPr>
      </w:pPr>
      <w:r>
        <w:rPr>
          <w:rFonts w:ascii="Times New Roman" w:eastAsia="微软雅黑"/>
          <w:sz w:val="18"/>
          <w:szCs w:val="18"/>
        </w:rPr>
        <w:t>Lei Wu, Ulrich Glebe, and Alexander Böker*,</w:t>
      </w:r>
    </w:p>
    <w:p w14:paraId="782A1946">
      <w:pPr>
        <w:spacing w:line="240" w:lineRule="auto"/>
        <w:rPr>
          <w:rFonts w:ascii="Times New Roman" w:eastAsia="微软雅黑"/>
          <w:sz w:val="18"/>
          <w:szCs w:val="18"/>
        </w:rPr>
      </w:pPr>
      <w:r>
        <w:rPr>
          <w:rFonts w:ascii="Times New Roman" w:eastAsia="微软雅黑"/>
          <w:i/>
          <w:sz w:val="18"/>
          <w:szCs w:val="18"/>
        </w:rPr>
        <w:t>Advanced Materials Interfaces</w:t>
      </w:r>
      <w:r>
        <w:rPr>
          <w:rFonts w:ascii="Times New Roman" w:eastAsia="微软雅黑"/>
          <w:sz w:val="18"/>
          <w:szCs w:val="18"/>
        </w:rPr>
        <w:t xml:space="preserve">, </w:t>
      </w:r>
      <w:r>
        <w:rPr>
          <w:rFonts w:ascii="Times New Roman" w:eastAsia="微软雅黑"/>
          <w:b/>
          <w:sz w:val="18"/>
          <w:szCs w:val="18"/>
        </w:rPr>
        <w:t xml:space="preserve">2017, </w:t>
      </w:r>
      <w:r>
        <w:rPr>
          <w:rFonts w:ascii="Times New Roman" w:eastAsia="微软雅黑"/>
          <w:i/>
          <w:sz w:val="18"/>
          <w:szCs w:val="18"/>
        </w:rPr>
        <w:t>4,</w:t>
      </w:r>
      <w:r>
        <w:rPr>
          <w:rFonts w:ascii="Times New Roman" w:eastAsia="微软雅黑"/>
          <w:sz w:val="18"/>
          <w:szCs w:val="18"/>
        </w:rPr>
        <w:t xml:space="preserve"> </w:t>
      </w:r>
      <w:r>
        <w:rPr>
          <w:rFonts w:ascii="Times New Roman" w:eastAsia="微软雅黑"/>
          <w:color w:val="1C1D1E"/>
          <w:sz w:val="18"/>
          <w:szCs w:val="18"/>
          <w:shd w:val="clear" w:color="auto" w:fill="FFFFFF"/>
        </w:rPr>
        <w:t>1700092</w:t>
      </w:r>
    </w:p>
    <w:p w14:paraId="612ED009">
      <w:pPr>
        <w:spacing w:after="140" w:line="240" w:lineRule="auto"/>
        <w:rPr>
          <w:rFonts w:ascii="微软雅黑" w:hAnsi="微软雅黑" w:eastAsia="微软雅黑" w:cs="Calibri"/>
          <w:sz w:val="18"/>
          <w:szCs w:val="18"/>
        </w:rPr>
      </w:pPr>
    </w:p>
    <w:p w14:paraId="3B68234E">
      <w:pPr>
        <w:spacing w:line="240" w:lineRule="auto"/>
        <w:rPr>
          <w:rFonts w:ascii="Times New Roman" w:eastAsia="微软雅黑"/>
          <w:i/>
          <w:sz w:val="18"/>
          <w:szCs w:val="18"/>
        </w:rPr>
      </w:pPr>
      <w:r>
        <w:rPr>
          <w:rFonts w:ascii="Times New Roman" w:eastAsia="微软雅黑"/>
          <w:i/>
          <w:sz w:val="18"/>
          <w:szCs w:val="18"/>
        </w:rPr>
        <w:t>Master Work in GUCAS and NCNST</w:t>
      </w:r>
    </w:p>
    <w:p w14:paraId="251F4081">
      <w:pPr>
        <w:spacing w:line="240" w:lineRule="auto"/>
        <w:rPr>
          <w:rFonts w:ascii="Times New Roman" w:eastAsia="微软雅黑"/>
          <w:sz w:val="18"/>
          <w:szCs w:val="18"/>
        </w:rPr>
      </w:pPr>
      <w:r>
        <w:rPr>
          <w:rFonts w:hint="eastAsia" w:ascii="Times New Roman" w:eastAsia="微软雅黑"/>
          <w:sz w:val="18"/>
          <w:szCs w:val="18"/>
        </w:rPr>
        <w:t>15</w:t>
      </w:r>
      <w:r>
        <w:rPr>
          <w:rFonts w:ascii="Times New Roman" w:eastAsia="微软雅黑"/>
          <w:sz w:val="18"/>
          <w:szCs w:val="18"/>
        </w:rPr>
        <w:t>. One-Pot Synthesis of Liquid Hg/Solid β-HgS Metal−Semiconductor Heterostructures with Unique Electrical Properties,</w:t>
      </w:r>
    </w:p>
    <w:p w14:paraId="3AFA4E2F">
      <w:pPr>
        <w:spacing w:line="240" w:lineRule="auto"/>
        <w:rPr>
          <w:rFonts w:ascii="Times New Roman" w:eastAsia="微软雅黑"/>
          <w:sz w:val="18"/>
          <w:szCs w:val="18"/>
        </w:rPr>
      </w:pPr>
      <w:r>
        <w:rPr>
          <w:rFonts w:ascii="Times New Roman" w:eastAsia="微软雅黑"/>
          <w:sz w:val="18"/>
          <w:szCs w:val="18"/>
        </w:rPr>
        <w:t>Lei Wu, Baogang Quan, Yaling Liu,* Rui Song,* and Zhiyong Tang*</w:t>
      </w:r>
    </w:p>
    <w:p w14:paraId="311CD7A8">
      <w:pPr>
        <w:spacing w:line="240" w:lineRule="auto"/>
        <w:rPr>
          <w:rFonts w:ascii="Times New Roman" w:eastAsia="微软雅黑"/>
          <w:sz w:val="18"/>
          <w:szCs w:val="18"/>
        </w:rPr>
      </w:pPr>
      <w:r>
        <w:rPr>
          <w:rFonts w:ascii="Times New Roman" w:eastAsia="微软雅黑"/>
          <w:i/>
          <w:sz w:val="18"/>
          <w:szCs w:val="18"/>
        </w:rPr>
        <w:t>ACS Nano</w:t>
      </w:r>
      <w:r>
        <w:rPr>
          <w:rFonts w:ascii="Times New Roman" w:eastAsia="微软雅黑"/>
          <w:sz w:val="18"/>
          <w:szCs w:val="18"/>
        </w:rPr>
        <w:t xml:space="preserve">, </w:t>
      </w:r>
      <w:r>
        <w:rPr>
          <w:rFonts w:ascii="Times New Roman" w:eastAsia="微软雅黑"/>
          <w:b/>
          <w:sz w:val="18"/>
          <w:szCs w:val="18"/>
        </w:rPr>
        <w:t>2011</w:t>
      </w:r>
      <w:r>
        <w:rPr>
          <w:rFonts w:ascii="Times New Roman" w:eastAsia="微软雅黑"/>
          <w:sz w:val="18"/>
          <w:szCs w:val="18"/>
        </w:rPr>
        <w:t xml:space="preserve">, </w:t>
      </w:r>
      <w:r>
        <w:rPr>
          <w:rFonts w:ascii="Times New Roman" w:eastAsia="微软雅黑"/>
          <w:i/>
          <w:sz w:val="18"/>
          <w:szCs w:val="18"/>
        </w:rPr>
        <w:t>5</w:t>
      </w:r>
      <w:r>
        <w:rPr>
          <w:rFonts w:ascii="Times New Roman" w:eastAsia="微软雅黑"/>
          <w:sz w:val="18"/>
          <w:szCs w:val="18"/>
        </w:rPr>
        <w:t>, 2224–2230</w:t>
      </w:r>
    </w:p>
    <w:p w14:paraId="4DE84E1A">
      <w:pPr>
        <w:spacing w:line="240" w:lineRule="auto"/>
        <w:rPr>
          <w:rFonts w:ascii="Times New Roman" w:eastAsia="微软雅黑"/>
          <w:iCs/>
          <w:sz w:val="18"/>
          <w:szCs w:val="18"/>
        </w:rPr>
      </w:pPr>
      <w:r>
        <w:rPr>
          <w:rFonts w:hint="eastAsia" w:ascii="Times New Roman" w:eastAsia="微软雅黑"/>
          <w:iCs/>
          <w:sz w:val="18"/>
          <w:szCs w:val="18"/>
        </w:rPr>
        <w:t>16</w:t>
      </w:r>
      <w:r>
        <w:rPr>
          <w:rFonts w:ascii="Times New Roman" w:eastAsia="微软雅黑"/>
          <w:iCs/>
          <w:sz w:val="18"/>
          <w:szCs w:val="18"/>
        </w:rPr>
        <w:t>. Cu</w:t>
      </w:r>
      <w:r>
        <w:rPr>
          <w:rFonts w:ascii="Times New Roman" w:eastAsia="微软雅黑"/>
          <w:iCs/>
          <w:sz w:val="18"/>
          <w:szCs w:val="18"/>
          <w:vertAlign w:val="subscript"/>
        </w:rPr>
        <w:t>2</w:t>
      </w:r>
      <w:r>
        <w:rPr>
          <w:rFonts w:ascii="Times New Roman" w:eastAsia="微软雅黑"/>
          <w:iCs/>
          <w:sz w:val="18"/>
          <w:szCs w:val="18"/>
        </w:rPr>
        <w:t>O clusters grown on TiO</w:t>
      </w:r>
      <w:r>
        <w:rPr>
          <w:rFonts w:ascii="Times New Roman" w:eastAsia="微软雅黑"/>
          <w:iCs/>
          <w:sz w:val="18"/>
          <w:szCs w:val="18"/>
          <w:vertAlign w:val="subscript"/>
        </w:rPr>
        <w:t>2</w:t>
      </w:r>
      <w:r>
        <w:rPr>
          <w:rFonts w:ascii="Times New Roman" w:eastAsia="微软雅黑"/>
          <w:iCs/>
          <w:sz w:val="18"/>
          <w:szCs w:val="18"/>
        </w:rPr>
        <w:t xml:space="preserve"> nanoplates as efficient photocatalysts for hydrogen generation,</w:t>
      </w:r>
    </w:p>
    <w:p w14:paraId="64092C96">
      <w:pPr>
        <w:spacing w:line="240" w:lineRule="auto"/>
        <w:rPr>
          <w:rFonts w:ascii="Times New Roman" w:eastAsia="微软雅黑"/>
          <w:iCs/>
          <w:sz w:val="18"/>
          <w:szCs w:val="18"/>
        </w:rPr>
      </w:pPr>
      <w:r>
        <w:rPr>
          <w:rFonts w:ascii="Times New Roman" w:eastAsia="微软雅黑"/>
          <w:iCs/>
          <w:sz w:val="18"/>
          <w:szCs w:val="18"/>
        </w:rPr>
        <w:t>Kun Zhao, Shenlong Zhao, Jian Qi, Huajie Yin, Chao Gao, Abdul Muqsit Khattak, Yijin Wu, Azhar Iqbal, Lei Wu, Yan Gao,* Ranbo Yu,* and  Zhiyong Tang*</w:t>
      </w:r>
    </w:p>
    <w:p w14:paraId="66B945E5">
      <w:pPr>
        <w:spacing w:line="240" w:lineRule="auto"/>
        <w:rPr>
          <w:rFonts w:ascii="Times New Roman" w:eastAsia="微软雅黑"/>
          <w:iCs/>
          <w:sz w:val="18"/>
          <w:szCs w:val="18"/>
        </w:rPr>
      </w:pPr>
      <w:r>
        <w:rPr>
          <w:rFonts w:ascii="Times New Roman" w:eastAsia="微软雅黑"/>
          <w:i/>
          <w:sz w:val="18"/>
          <w:szCs w:val="18"/>
        </w:rPr>
        <w:t>Inorg. Chem. Front.</w:t>
      </w:r>
      <w:r>
        <w:rPr>
          <w:rFonts w:ascii="Times New Roman" w:eastAsia="微软雅黑"/>
          <w:iCs/>
          <w:sz w:val="18"/>
          <w:szCs w:val="18"/>
        </w:rPr>
        <w:t xml:space="preserve">, </w:t>
      </w:r>
      <w:r>
        <w:rPr>
          <w:rFonts w:ascii="Times New Roman" w:eastAsia="微软雅黑"/>
          <w:b/>
          <w:bCs/>
          <w:iCs/>
          <w:sz w:val="18"/>
          <w:szCs w:val="18"/>
        </w:rPr>
        <w:t>2016</w:t>
      </w:r>
      <w:r>
        <w:rPr>
          <w:rFonts w:ascii="Times New Roman" w:eastAsia="微软雅黑"/>
          <w:iCs/>
          <w:sz w:val="18"/>
          <w:szCs w:val="18"/>
        </w:rPr>
        <w:t xml:space="preserve">, </w:t>
      </w:r>
      <w:r>
        <w:rPr>
          <w:rFonts w:ascii="Times New Roman" w:eastAsia="微软雅黑"/>
          <w:i/>
          <w:sz w:val="18"/>
          <w:szCs w:val="18"/>
        </w:rPr>
        <w:t>3</w:t>
      </w:r>
      <w:r>
        <w:rPr>
          <w:rFonts w:ascii="Times New Roman" w:eastAsia="微软雅黑"/>
          <w:iCs/>
          <w:sz w:val="18"/>
          <w:szCs w:val="18"/>
        </w:rPr>
        <w:t>, 488-493</w:t>
      </w:r>
    </w:p>
    <w:sectPr>
      <w:pgSz w:w="11906" w:h="16838"/>
      <w:pgMar w:top="1440" w:right="1800" w:bottom="1440" w:left="1800" w:header="851" w:footer="992" w:gutter="0"/>
      <w:cols w:space="425"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C86"/>
    <w:rsid w:val="00002FF8"/>
    <w:rsid w:val="000539E3"/>
    <w:rsid w:val="00055BAD"/>
    <w:rsid w:val="00063050"/>
    <w:rsid w:val="0006477F"/>
    <w:rsid w:val="000926BA"/>
    <w:rsid w:val="000A63F5"/>
    <w:rsid w:val="000B157A"/>
    <w:rsid w:val="000B17C5"/>
    <w:rsid w:val="000B3D04"/>
    <w:rsid w:val="000B44F1"/>
    <w:rsid w:val="000E2B40"/>
    <w:rsid w:val="000E2C16"/>
    <w:rsid w:val="000E36F4"/>
    <w:rsid w:val="00110C0C"/>
    <w:rsid w:val="0012114F"/>
    <w:rsid w:val="001634A5"/>
    <w:rsid w:val="0017198D"/>
    <w:rsid w:val="00183A4F"/>
    <w:rsid w:val="001902AD"/>
    <w:rsid w:val="001922E9"/>
    <w:rsid w:val="001936A6"/>
    <w:rsid w:val="00197E79"/>
    <w:rsid w:val="001A07BE"/>
    <w:rsid w:val="001B218D"/>
    <w:rsid w:val="001D21EB"/>
    <w:rsid w:val="001D4D1B"/>
    <w:rsid w:val="001D64AB"/>
    <w:rsid w:val="001E4E2D"/>
    <w:rsid w:val="00204B2E"/>
    <w:rsid w:val="00213355"/>
    <w:rsid w:val="00225B20"/>
    <w:rsid w:val="0022775E"/>
    <w:rsid w:val="00230055"/>
    <w:rsid w:val="00236265"/>
    <w:rsid w:val="0025047A"/>
    <w:rsid w:val="00251B0C"/>
    <w:rsid w:val="00273555"/>
    <w:rsid w:val="002812ED"/>
    <w:rsid w:val="002A1DC7"/>
    <w:rsid w:val="002A6F29"/>
    <w:rsid w:val="002B27AC"/>
    <w:rsid w:val="002D1322"/>
    <w:rsid w:val="002F7261"/>
    <w:rsid w:val="002F7461"/>
    <w:rsid w:val="003209A6"/>
    <w:rsid w:val="003222FA"/>
    <w:rsid w:val="0032507B"/>
    <w:rsid w:val="00374907"/>
    <w:rsid w:val="003766A6"/>
    <w:rsid w:val="00381F96"/>
    <w:rsid w:val="0038613C"/>
    <w:rsid w:val="00391D77"/>
    <w:rsid w:val="00397B5D"/>
    <w:rsid w:val="003A3ACA"/>
    <w:rsid w:val="003C14A6"/>
    <w:rsid w:val="003C3AE6"/>
    <w:rsid w:val="003C5F86"/>
    <w:rsid w:val="003D6B66"/>
    <w:rsid w:val="003F319F"/>
    <w:rsid w:val="00400902"/>
    <w:rsid w:val="00411C0F"/>
    <w:rsid w:val="00412EE2"/>
    <w:rsid w:val="00421C86"/>
    <w:rsid w:val="00462D36"/>
    <w:rsid w:val="004719EF"/>
    <w:rsid w:val="00483CA2"/>
    <w:rsid w:val="00484398"/>
    <w:rsid w:val="00492A62"/>
    <w:rsid w:val="0049537F"/>
    <w:rsid w:val="004A00E9"/>
    <w:rsid w:val="004E34BA"/>
    <w:rsid w:val="004F12E9"/>
    <w:rsid w:val="004F29EE"/>
    <w:rsid w:val="005037B9"/>
    <w:rsid w:val="00516BA8"/>
    <w:rsid w:val="00520B51"/>
    <w:rsid w:val="0053033C"/>
    <w:rsid w:val="00536EBD"/>
    <w:rsid w:val="00537B71"/>
    <w:rsid w:val="00565A9D"/>
    <w:rsid w:val="00565CC8"/>
    <w:rsid w:val="00574AE7"/>
    <w:rsid w:val="005777A3"/>
    <w:rsid w:val="005849D9"/>
    <w:rsid w:val="005868C2"/>
    <w:rsid w:val="0058791D"/>
    <w:rsid w:val="00592275"/>
    <w:rsid w:val="00593B7E"/>
    <w:rsid w:val="005A601B"/>
    <w:rsid w:val="005B161D"/>
    <w:rsid w:val="005C2DB2"/>
    <w:rsid w:val="005C7399"/>
    <w:rsid w:val="005D121A"/>
    <w:rsid w:val="005E121A"/>
    <w:rsid w:val="005F311B"/>
    <w:rsid w:val="005F5763"/>
    <w:rsid w:val="006032D5"/>
    <w:rsid w:val="006058E3"/>
    <w:rsid w:val="00626775"/>
    <w:rsid w:val="00645C0E"/>
    <w:rsid w:val="00655968"/>
    <w:rsid w:val="00655E74"/>
    <w:rsid w:val="00680A4F"/>
    <w:rsid w:val="00681F9D"/>
    <w:rsid w:val="0068721A"/>
    <w:rsid w:val="006934EE"/>
    <w:rsid w:val="00694517"/>
    <w:rsid w:val="006A398F"/>
    <w:rsid w:val="006A5682"/>
    <w:rsid w:val="006B4D64"/>
    <w:rsid w:val="006D0003"/>
    <w:rsid w:val="006D569F"/>
    <w:rsid w:val="00706E32"/>
    <w:rsid w:val="00710DC1"/>
    <w:rsid w:val="00716D92"/>
    <w:rsid w:val="00716DB4"/>
    <w:rsid w:val="00717974"/>
    <w:rsid w:val="0073275B"/>
    <w:rsid w:val="007417F2"/>
    <w:rsid w:val="00750392"/>
    <w:rsid w:val="0075087C"/>
    <w:rsid w:val="0076029B"/>
    <w:rsid w:val="0077243F"/>
    <w:rsid w:val="00775014"/>
    <w:rsid w:val="0078095C"/>
    <w:rsid w:val="007A3E0A"/>
    <w:rsid w:val="007A7931"/>
    <w:rsid w:val="007C7458"/>
    <w:rsid w:val="007D4AC0"/>
    <w:rsid w:val="007F471E"/>
    <w:rsid w:val="007F4FAB"/>
    <w:rsid w:val="0080497D"/>
    <w:rsid w:val="00804EBE"/>
    <w:rsid w:val="0081098F"/>
    <w:rsid w:val="008246B8"/>
    <w:rsid w:val="008261AE"/>
    <w:rsid w:val="00830519"/>
    <w:rsid w:val="00836729"/>
    <w:rsid w:val="0083789C"/>
    <w:rsid w:val="00837F48"/>
    <w:rsid w:val="00850A0E"/>
    <w:rsid w:val="00856CA6"/>
    <w:rsid w:val="008721E6"/>
    <w:rsid w:val="008A2D84"/>
    <w:rsid w:val="008B34B4"/>
    <w:rsid w:val="008C4EB0"/>
    <w:rsid w:val="008D716C"/>
    <w:rsid w:val="008E7900"/>
    <w:rsid w:val="009177AC"/>
    <w:rsid w:val="00922C51"/>
    <w:rsid w:val="00934572"/>
    <w:rsid w:val="0094338C"/>
    <w:rsid w:val="009443B6"/>
    <w:rsid w:val="00960F9E"/>
    <w:rsid w:val="00975D13"/>
    <w:rsid w:val="00980008"/>
    <w:rsid w:val="00983FE8"/>
    <w:rsid w:val="009A2517"/>
    <w:rsid w:val="009A2A43"/>
    <w:rsid w:val="009C310F"/>
    <w:rsid w:val="009C7325"/>
    <w:rsid w:val="009D35B6"/>
    <w:rsid w:val="009E34FD"/>
    <w:rsid w:val="009E3B4F"/>
    <w:rsid w:val="009E701B"/>
    <w:rsid w:val="009E7B92"/>
    <w:rsid w:val="009E7E83"/>
    <w:rsid w:val="009F2312"/>
    <w:rsid w:val="00A2486F"/>
    <w:rsid w:val="00A24D14"/>
    <w:rsid w:val="00A364C8"/>
    <w:rsid w:val="00A4173D"/>
    <w:rsid w:val="00A44DF8"/>
    <w:rsid w:val="00A47BC1"/>
    <w:rsid w:val="00A47F23"/>
    <w:rsid w:val="00A67A48"/>
    <w:rsid w:val="00A67B45"/>
    <w:rsid w:val="00A7316E"/>
    <w:rsid w:val="00AA25CB"/>
    <w:rsid w:val="00AB29AB"/>
    <w:rsid w:val="00AB44BF"/>
    <w:rsid w:val="00AC16F4"/>
    <w:rsid w:val="00AD1C9E"/>
    <w:rsid w:val="00AF2132"/>
    <w:rsid w:val="00B00247"/>
    <w:rsid w:val="00B00E02"/>
    <w:rsid w:val="00B0162D"/>
    <w:rsid w:val="00B15DB9"/>
    <w:rsid w:val="00B40155"/>
    <w:rsid w:val="00B417FD"/>
    <w:rsid w:val="00B45AC3"/>
    <w:rsid w:val="00B54557"/>
    <w:rsid w:val="00B56713"/>
    <w:rsid w:val="00B8645C"/>
    <w:rsid w:val="00BB353E"/>
    <w:rsid w:val="00BB6D9B"/>
    <w:rsid w:val="00BB6DA7"/>
    <w:rsid w:val="00BD13B4"/>
    <w:rsid w:val="00BE0082"/>
    <w:rsid w:val="00BF5E75"/>
    <w:rsid w:val="00C00FC4"/>
    <w:rsid w:val="00C031AD"/>
    <w:rsid w:val="00C05C90"/>
    <w:rsid w:val="00C067A2"/>
    <w:rsid w:val="00C1307C"/>
    <w:rsid w:val="00C17334"/>
    <w:rsid w:val="00C259F5"/>
    <w:rsid w:val="00C37549"/>
    <w:rsid w:val="00C456ED"/>
    <w:rsid w:val="00C8713B"/>
    <w:rsid w:val="00CC1BF0"/>
    <w:rsid w:val="00CC2F16"/>
    <w:rsid w:val="00CC492D"/>
    <w:rsid w:val="00CD5D49"/>
    <w:rsid w:val="00CE741D"/>
    <w:rsid w:val="00D36F7C"/>
    <w:rsid w:val="00D44F66"/>
    <w:rsid w:val="00D67780"/>
    <w:rsid w:val="00D677DB"/>
    <w:rsid w:val="00D71D00"/>
    <w:rsid w:val="00D7255C"/>
    <w:rsid w:val="00D86E7E"/>
    <w:rsid w:val="00D8785E"/>
    <w:rsid w:val="00DC26C2"/>
    <w:rsid w:val="00DE4599"/>
    <w:rsid w:val="00DF4F92"/>
    <w:rsid w:val="00E00070"/>
    <w:rsid w:val="00E02BF3"/>
    <w:rsid w:val="00E02D2C"/>
    <w:rsid w:val="00E21742"/>
    <w:rsid w:val="00E21E89"/>
    <w:rsid w:val="00E417D7"/>
    <w:rsid w:val="00E565EF"/>
    <w:rsid w:val="00E66FD6"/>
    <w:rsid w:val="00E73B69"/>
    <w:rsid w:val="00E85CC6"/>
    <w:rsid w:val="00E878F4"/>
    <w:rsid w:val="00E90249"/>
    <w:rsid w:val="00EA2588"/>
    <w:rsid w:val="00EB1E84"/>
    <w:rsid w:val="00EB3D37"/>
    <w:rsid w:val="00EB3D40"/>
    <w:rsid w:val="00EC36DA"/>
    <w:rsid w:val="00ED3072"/>
    <w:rsid w:val="00ED462C"/>
    <w:rsid w:val="00F13758"/>
    <w:rsid w:val="00F2132C"/>
    <w:rsid w:val="00F262BF"/>
    <w:rsid w:val="00F416F7"/>
    <w:rsid w:val="00F4596F"/>
    <w:rsid w:val="00F479D9"/>
    <w:rsid w:val="00F50BC8"/>
    <w:rsid w:val="00F62C13"/>
    <w:rsid w:val="00F802B8"/>
    <w:rsid w:val="00F90292"/>
    <w:rsid w:val="00F932D2"/>
    <w:rsid w:val="00FA334A"/>
    <w:rsid w:val="00FB57FE"/>
    <w:rsid w:val="00FE35DA"/>
    <w:rsid w:val="00FE5CB4"/>
    <w:rsid w:val="01086C64"/>
    <w:rsid w:val="01671BDD"/>
    <w:rsid w:val="09750C0F"/>
    <w:rsid w:val="0EF32D02"/>
    <w:rsid w:val="189310B2"/>
    <w:rsid w:val="1AF35AF5"/>
    <w:rsid w:val="288051AE"/>
    <w:rsid w:val="295B1778"/>
    <w:rsid w:val="2ACD2201"/>
    <w:rsid w:val="2CA927FA"/>
    <w:rsid w:val="2FFF10AF"/>
    <w:rsid w:val="301374FE"/>
    <w:rsid w:val="303D1BD7"/>
    <w:rsid w:val="364A0BAA"/>
    <w:rsid w:val="36A209E6"/>
    <w:rsid w:val="3D0715A3"/>
    <w:rsid w:val="3D78424E"/>
    <w:rsid w:val="4004001B"/>
    <w:rsid w:val="517B2107"/>
    <w:rsid w:val="543A0058"/>
    <w:rsid w:val="57CE11E3"/>
    <w:rsid w:val="5B202892"/>
    <w:rsid w:val="5BDE576D"/>
    <w:rsid w:val="5D9562FF"/>
    <w:rsid w:val="5E7128C8"/>
    <w:rsid w:val="6B0F76F1"/>
    <w:rsid w:val="70F01D72"/>
    <w:rsid w:val="75D02172"/>
    <w:rsid w:val="7C350F8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hAnsi="Times New Roman" w:cs="Times New Roman" w:asciiTheme="minorHAnsi" w:eastAsiaTheme="minorEastAsia"/>
      <w:sz w:val="22"/>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unhideWhenUsed/>
    <w:qFormat/>
    <w:uiPriority w:val="99"/>
    <w:pPr>
      <w:spacing w:line="240" w:lineRule="auto"/>
    </w:pPr>
    <w:rPr>
      <w:sz w:val="20"/>
      <w:szCs w:val="20"/>
    </w:rPr>
  </w:style>
  <w:style w:type="paragraph" w:styleId="3">
    <w:name w:val="Balloon Text"/>
    <w:basedOn w:val="1"/>
    <w:link w:val="14"/>
    <w:semiHidden/>
    <w:unhideWhenUsed/>
    <w:qFormat/>
    <w:uiPriority w:val="99"/>
    <w:pPr>
      <w:spacing w:after="0" w:line="240" w:lineRule="auto"/>
    </w:pPr>
    <w:rPr>
      <w:rFonts w:ascii="Microsoft YaHei UI" w:eastAsia="Microsoft YaHei UI"/>
      <w:sz w:val="18"/>
      <w:szCs w:val="18"/>
    </w:rPr>
  </w:style>
  <w:style w:type="paragraph" w:styleId="4">
    <w:name w:val="footer"/>
    <w:basedOn w:val="1"/>
    <w:link w:val="17"/>
    <w:unhideWhenUsed/>
    <w:qFormat/>
    <w:uiPriority w:val="99"/>
    <w:pPr>
      <w:tabs>
        <w:tab w:val="center" w:pos="4153"/>
        <w:tab w:val="right" w:pos="8306"/>
      </w:tabs>
      <w:snapToGrid w:val="0"/>
    </w:pPr>
  </w:style>
  <w:style w:type="paragraph" w:styleId="5">
    <w:name w:val="header"/>
    <w:basedOn w:val="1"/>
    <w:link w:val="16"/>
    <w:unhideWhenUsed/>
    <w:qFormat/>
    <w:uiPriority w:val="99"/>
    <w:pPr>
      <w:tabs>
        <w:tab w:val="center" w:pos="4153"/>
        <w:tab w:val="right" w:pos="8306"/>
      </w:tabs>
      <w:snapToGrid w:val="0"/>
    </w:pPr>
  </w:style>
  <w:style w:type="paragraph" w:styleId="6">
    <w:name w:val="annotation subject"/>
    <w:basedOn w:val="2"/>
    <w:next w:val="2"/>
    <w:link w:val="13"/>
    <w:semiHidden/>
    <w:unhideWhenUsed/>
    <w:qFormat/>
    <w:uiPriority w:val="99"/>
    <w:rPr>
      <w:b/>
      <w:bCs/>
    </w:rPr>
  </w:style>
  <w:style w:type="character" w:styleId="9">
    <w:name w:val="Hyperlink"/>
    <w:basedOn w:val="8"/>
    <w:unhideWhenUsed/>
    <w:qFormat/>
    <w:uiPriority w:val="99"/>
    <w:rPr>
      <w:color w:val="0563C1" w:themeColor="hyperlink"/>
      <w:u w:val="single"/>
      <w14:textFill>
        <w14:solidFill>
          <w14:schemeClr w14:val="hlink"/>
        </w14:solidFill>
      </w14:textFill>
    </w:rPr>
  </w:style>
  <w:style w:type="character" w:styleId="10">
    <w:name w:val="annotation reference"/>
    <w:basedOn w:val="8"/>
    <w:semiHidden/>
    <w:unhideWhenUsed/>
    <w:qFormat/>
    <w:uiPriority w:val="99"/>
    <w:rPr>
      <w:sz w:val="16"/>
      <w:szCs w:val="16"/>
    </w:rPr>
  </w:style>
  <w:style w:type="character" w:customStyle="1" w:styleId="11">
    <w:name w:val="Mention"/>
    <w:basedOn w:val="8"/>
    <w:semiHidden/>
    <w:unhideWhenUsed/>
    <w:qFormat/>
    <w:uiPriority w:val="99"/>
    <w:rPr>
      <w:color w:val="2B579A"/>
      <w:shd w:val="clear" w:color="auto" w:fill="E6E6E6"/>
    </w:rPr>
  </w:style>
  <w:style w:type="character" w:customStyle="1" w:styleId="12">
    <w:name w:val="批注文字 字符"/>
    <w:basedOn w:val="8"/>
    <w:link w:val="2"/>
    <w:qFormat/>
    <w:uiPriority w:val="99"/>
    <w:rPr>
      <w:sz w:val="20"/>
      <w:szCs w:val="20"/>
    </w:rPr>
  </w:style>
  <w:style w:type="character" w:customStyle="1" w:styleId="13">
    <w:name w:val="批注主题 字符"/>
    <w:basedOn w:val="12"/>
    <w:link w:val="6"/>
    <w:semiHidden/>
    <w:qFormat/>
    <w:uiPriority w:val="99"/>
    <w:rPr>
      <w:b/>
      <w:bCs/>
      <w:sz w:val="20"/>
      <w:szCs w:val="20"/>
    </w:rPr>
  </w:style>
  <w:style w:type="character" w:customStyle="1" w:styleId="14">
    <w:name w:val="批注框文本 字符"/>
    <w:basedOn w:val="8"/>
    <w:link w:val="3"/>
    <w:semiHidden/>
    <w:qFormat/>
    <w:uiPriority w:val="99"/>
    <w:rPr>
      <w:rFonts w:ascii="Microsoft YaHei UI" w:eastAsia="Microsoft YaHei UI"/>
      <w:sz w:val="18"/>
      <w:szCs w:val="18"/>
    </w:rPr>
  </w:style>
  <w:style w:type="character" w:customStyle="1" w:styleId="15">
    <w:name w:val="Unresolved Mention"/>
    <w:basedOn w:val="8"/>
    <w:semiHidden/>
    <w:unhideWhenUsed/>
    <w:qFormat/>
    <w:uiPriority w:val="99"/>
    <w:rPr>
      <w:color w:val="808080"/>
      <w:shd w:val="clear" w:color="auto" w:fill="E6E6E6"/>
    </w:rPr>
  </w:style>
  <w:style w:type="character" w:customStyle="1" w:styleId="16">
    <w:name w:val="页眉 字符"/>
    <w:basedOn w:val="8"/>
    <w:link w:val="5"/>
    <w:qFormat/>
    <w:uiPriority w:val="99"/>
  </w:style>
  <w:style w:type="character" w:customStyle="1" w:styleId="17">
    <w:name w:val="页脚 字符"/>
    <w:basedOn w:val="8"/>
    <w:link w:val="4"/>
    <w:qFormat/>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1332</Words>
  <Characters>4785</Characters>
  <Lines>38</Lines>
  <Paragraphs>10</Paragraphs>
  <TotalTime>0</TotalTime>
  <ScaleCrop>false</ScaleCrop>
  <LinksUpToDate>false</LinksUpToDate>
  <CharactersWithSpaces>5392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2025-09-04T01:39:00Z</dcterms:created>
  <dc:creator>Administrator</dc:creator>
  <cp:lastModifiedBy>WPS_1645063837</cp:lastModifiedBy>
  <cp:lastPrinted>2026-04-02T13:42:00Z</cp:lastPrinted>
  <dcterms:modified xsi:type="dcterms:W3CDTF">2026-05-25T03:44:23Z</dcterms:modified>
  <cp:revision>545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eyJoZGlkIjoiNTQ2NjIwZTMxMDliYjlhMTI2ZDY1YmNiZGFiNmM4MjQiLCJ1c2VySWQiOiIxMzMxNTkzNjc1In0=</vt:lpwstr>
  </property>
  <property fmtid="{D5CDD505-2E9C-101B-9397-08002B2CF9AE}" pid="3" name="KSOProductBuildVer">
    <vt:lpwstr>2052-12.1.0.26375</vt:lpwstr>
  </property>
  <property fmtid="{D5CDD505-2E9C-101B-9397-08002B2CF9AE}" pid="4" name="ICV">
    <vt:lpwstr>65787B7B579242C3B3541E9C11BEFC12_12</vt:lpwstr>
  </property>
</Properties>
</file>