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仿宋_GB2312" w:cs="仿宋_GB2312" w:eastAsia="仿宋_GB2312" w:hAnsi="仿宋_GB2312"/>
          <w:b/>
          <w:bCs/>
          <w:sz w:val="32"/>
          <w:szCs w:val="32"/>
        </w:rPr>
        <w:t xml:space="preserve">科技研发图谱需求征集表</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600"/>
        <w:gridCol w:w="1200"/>
        <w:gridCol w:w="8000"/>
        <w:gridCol w:w="1500"/>
        <w:gridCol w:w="2700"/>
      </w:tblGrid>
      <w:tr>
        <w:trPr>
          <w:trHeight w:val="500" w:hRule="atLeast"/>
        </w:trPr>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分类</w:t>
            </w:r>
          </w:p>
        </w:tc>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分项</w:t>
            </w:r>
          </w:p>
        </w:tc>
        <w:tc>
          <w:tcPr>
            <w:tcW w:type="dxa" w:w="5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方向</w:t>
            </w:r>
          </w:p>
        </w:tc>
        <w:tc>
          <w:tcPr>
            <w:tcW w:type="dxa" w:w="600"/>
            <w:vMerge w:val="restart"/>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需求提出部门</w:t>
            </w:r>
          </w:p>
        </w:tc>
        <w:tc>
          <w:tcPr>
            <w:tcW w:type="dxa" w:w="13400"/>
            <w:gridSpan w:val="4"/>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jc w:val="center"/>
            </w:pPr>
            <w:r>
              <w:rPr>
                <w:rFonts w:ascii="宋体" w:cs="宋体" w:eastAsia="宋体" w:hAnsi="宋体"/>
                <w:b/>
                <w:bCs/>
                <w:sz w:val="18"/>
                <w:szCs w:val="18"/>
              </w:rPr>
              <w:t xml:space="preserve">问题征集</w:t>
            </w:r>
          </w:p>
        </w:tc>
      </w:tr>
      <w:tr>
        <w:trPr>
          <w:trHeight w:val="500" w:hRule="atLeast"/>
        </w:trP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500"/>
            <w:vMerge w:val="continue"/>
            <w:tcBorders>
              <w:top w:val="single" w:color="000000" w:sz="1"/>
              <w:left w:val="single" w:color="000000" w:sz="1"/>
              <w:bottom w:val="single" w:color="000000" w:sz="1"/>
              <w:right w:val="single" w:color="000000" w:sz="1"/>
            </w:tcBorders>
          </w:tcPr>
          <w:p>
            <w:r>
              <w:t xml:space="preserve"/>
            </w:r>
          </w:p>
        </w:tc>
        <w:tc>
          <w:tcPr>
            <w:tcW w:type="dxa" w:w="600"/>
            <w:vMerge w:val="continue"/>
            <w:tcBorders>
              <w:top w:val="single" w:color="000000" w:sz="1"/>
              <w:left w:val="single" w:color="000000" w:sz="1"/>
              <w:bottom w:val="single" w:color="000000" w:sz="1"/>
              <w:right w:val="single" w:color="000000" w:sz="1"/>
            </w:tcBorders>
          </w:tcPr>
          <w:p>
            <w:r>
              <w:t xml:space="preserve"/>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工程建设计划</w:t>
            </w:r>
          </w:p>
        </w:tc>
        <w:tc>
          <w:tcPr>
            <w:tcW w:type="dxa" w:w="8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工程卡点</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卡点问题需要解决时间</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40" w:after="40" w:line="260"/>
              <w:jc w:val="center"/>
            </w:pPr>
            <w:r>
              <w:rPr>
                <w:rFonts w:ascii="宋体" w:cs="宋体" w:eastAsia="宋体" w:hAnsi="宋体"/>
                <w:b/>
                <w:bCs/>
                <w:sz w:val="18"/>
                <w:szCs w:val="18"/>
              </w:rPr>
              <w:t xml:space="preserve">研发需求及成果分类</w:t>
            </w:r>
          </w:p>
        </w:tc>
      </w:tr>
      <w:tr>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YX工程</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数字化</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运行能力设计验证与控制基础设施及全生命周期一体化</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before="20" w:after="20" w:line="260"/>
              <w:jc w:val="center"/>
            </w:pPr>
            <w:r>
              <w:rPr>
                <w:rFonts w:ascii="宋体" w:cs="宋体" w:eastAsia="宋体" w:hAnsi="宋体"/>
                <w:sz w:val="16"/>
                <w:szCs w:val="16"/>
              </w:rPr>
              <w:t xml:space="preserve">数信部</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sz w:val="16"/>
                <w:szCs w:val="16"/>
              </w:rPr>
              <w:t xml:space="preserve">2025年7月，工程正式开工；</w:t>
            </w:r>
          </w:p>
          <w:p>
            <w:pPr>
              <w:spacing w:before="20" w:after="20" w:line="276"/>
            </w:pPr>
            <w:r>
              <w:rPr>
                <w:rFonts w:ascii="宋体" w:cs="宋体" w:eastAsia="宋体" w:hAnsi="宋体"/>
                <w:sz w:val="16"/>
                <w:szCs w:val="16"/>
              </w:rPr>
              <w:t xml:space="preserve">2026–2028年，引水隧洞、调压设施、地下厂房等关键水工结构施工推进，设计参数逐步锁定，监测埋设、控制线缆、通信链路随隧洞施工同步实施；</w:t>
            </w:r>
          </w:p>
          <w:p>
            <w:pPr>
              <w:spacing w:before="20" w:after="20" w:line="276"/>
            </w:pPr>
            <w:r>
              <w:rPr>
                <w:rFonts w:ascii="宋体" w:cs="宋体" w:eastAsia="宋体" w:hAnsi="宋体"/>
                <w:sz w:val="16"/>
                <w:szCs w:val="16"/>
              </w:rPr>
              <w:t xml:space="preserve">2029年，首批机组安装调试；</w:t>
            </w:r>
          </w:p>
          <w:p>
            <w:pPr>
              <w:spacing w:before="20" w:after="20" w:line="276"/>
            </w:pPr>
            <w:r>
              <w:rPr>
                <w:rFonts w:ascii="宋体" w:cs="宋体" w:eastAsia="宋体" w:hAnsi="宋体"/>
                <w:sz w:val="16"/>
                <w:szCs w:val="16"/>
              </w:rPr>
              <w:t xml:space="preserve">2030年，部分机组发电；</w:t>
            </w:r>
          </w:p>
          <w:p>
            <w:pPr>
              <w:spacing w:before="20" w:after="20" w:line="276"/>
            </w:pPr>
            <w:r>
              <w:rPr>
                <w:rFonts w:ascii="宋体" w:cs="宋体" w:eastAsia="宋体" w:hAnsi="宋体"/>
                <w:sz w:val="16"/>
                <w:szCs w:val="16"/>
              </w:rPr>
              <w:t xml:space="preserve">2035年前后，5座梯级电站全面投产。</w:t>
            </w:r>
          </w:p>
        </w:tc>
        <w:tc>
          <w:tcPr>
            <w:tcW w:type="dxa" w:w="80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60" w:after="20" w:line="276"/>
            </w:pPr>
            <w:r>
              <w:rPr>
                <w:rFonts w:ascii="宋体" w:cs="宋体" w:eastAsia="宋体" w:hAnsi="宋体"/>
                <w:b/>
                <w:bCs/>
                <w:sz w:val="16"/>
                <w:szCs w:val="16"/>
              </w:rPr>
              <w:t xml:space="preserve">超高水头多梯级耦合系统关键设计参数缺乏系统级运行能力校核手段，控制所需的感知与传输基础设施面临与水工结构同步锁定压力。</w:t>
            </w:r>
          </w:p>
          <w:p>
            <w:pPr>
              <w:spacing w:before="20" w:after="20" w:line="276"/>
            </w:pPr>
            <w:r>
              <w:rPr>
                <w:rFonts w:ascii="宋体" w:cs="宋体" w:eastAsia="宋体" w:hAnsi="宋体"/>
                <w:sz w:val="16"/>
                <w:szCs w:val="16"/>
              </w:rPr>
              <w:t xml:space="preserve">问题描述：YX工程5座梯级电站共享约2200米总落差有压引水系统，调压室尺寸、引水隧洞断面、阀门响应特性等水工结构参数，以及传感器点位、控制线缆通道、通信链路等控制基础设施参数，一经施工均不可更改。现行设计体系通过水锤计算等手段校核了少数极端工况下的“生存安全”，但对影响设计决策的另一类约束——5座电站长期协同稳定性、运行方式频繁切换时的瞬变平顺性、正常与受限工况下的调节裕度——缺乏标准化的设计阶段校核手段。与此同时，闭环控制所需的感知与传输基础设施必须在设计阶段随水工结构同步确定：传感器装在哪里、测什么、多快采一次，由控制回路的可观测性和控制带宽决定；通信链路的带宽、时延、冗余度，由控制回路的安全性和实时性要求决定。这些控制驱动的需求远比结构安全监测或数字孪生模型校准更为苛刻，却未被纳入现行设计流程。</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更深层的问题在于：传统水利工程按“设计→建设→运行”三段式交接，每个阶段的模型、数据、工具各自独立。设计阶段的仿真模型交付后即废弃，运行阶段重新建模；BIM在设计阶段是三维图纸、到施工阶段退化为可视化工具、到运行阶段又重建资产模型；数据标准三个阶段各搞一套，交接时人工转换。这种阶段割裂导致每次交接知识大幅衰减。对于YX这样建设周期10年以上、按千年尺度运行的工程，系统级仿真模型、BIM、数据标准都应当从设计阶段开始就按“设计–建设–运行一体化”架构来规划，确保模型可持续演进、数据可全周期复用、知识零衰减传递。</w:t>
            </w:r>
          </w:p>
          <w:p>
            <w:pPr>
              <w:spacing w:before="20" w:after="20" w:line="276"/>
            </w:pPr>
            <w:r>
              <w:rPr>
                <w:rFonts w:ascii="宋体" w:cs="宋体" w:eastAsia="宋体" w:hAnsi="宋体"/>
                <w:sz w:val="16"/>
                <w:szCs w:val="16"/>
              </w:rPr>
              <w:t xml:space="preserve"/>
            </w:r>
          </w:p>
          <w:p>
            <w:pPr>
              <w:spacing w:before="80" w:after="20" w:line="276"/>
            </w:pPr>
            <w:r>
              <w:rPr>
                <w:rFonts w:ascii="宋体" w:cs="宋体" w:eastAsia="宋体" w:hAnsi="宋体"/>
                <w:b/>
                <w:bCs/>
                <w:sz w:val="16"/>
                <w:szCs w:val="16"/>
              </w:rPr>
              <w:t xml:space="preserve">核心卡点：</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A. 设计验证类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1. 关键水工参数缺乏多梯级耦合条件下的系统级校核。</w:t>
            </w:r>
          </w:p>
          <w:p>
            <w:pPr>
              <w:spacing w:before="20" w:after="20" w:line="276"/>
            </w:pPr>
            <w:r>
              <w:rPr>
                <w:rFonts w:ascii="宋体" w:cs="宋体" w:eastAsia="宋体" w:hAnsi="宋体"/>
                <w:sz w:val="16"/>
                <w:szCs w:val="16"/>
              </w:rPr>
              <w:t xml:space="preserve">卡点说明：调压室容积、引水隧洞断面参数、控制阀组响应时间与开度特性等关键设计变量，目前主要按单站极端工况进行静态校核。但YX工程5座电站通过有压引水系统强耦合，上游电站的任何运行状态变化都通过压力波快速传导至下游各站。这些参数在多站耦合条件下的取值是否合理，缺乏覆盖“水力–水机–电气”多专业耦合的系统级仿真校核手段。设计参数一旦随施工锁定，后期调整的代价极为高昂。</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2. 设计方案的运行边界未经系统性量化界定。</w:t>
            </w:r>
          </w:p>
          <w:p>
            <w:pPr>
              <w:spacing w:before="20" w:after="20" w:line="276"/>
            </w:pPr>
            <w:r>
              <w:rPr>
                <w:rFonts w:ascii="宋体" w:cs="宋体" w:eastAsia="宋体" w:hAnsi="宋体"/>
                <w:sz w:val="16"/>
                <w:szCs w:val="16"/>
              </w:rPr>
              <w:t xml:space="preserve">卡点说明：对于“某套设计参数在哪些条件下能稳定运行、哪些条件下需要限制运行、哪些条件下不可接受”这一关键问题，目前没有结构化的量化评估方法。设计工程师在确定调压室尺寸、阀组配置等方案时，无法系统性地知道所选方案的运行裕度到底有多大。这直接影响冗余配置是否合理：冗余过大则浪费工程投资，冗余不足则留下运行安全隐患。</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3. 多梯级协同调度逻辑对设计参数的反馈约束无法前置验证。</w:t>
            </w:r>
          </w:p>
          <w:p>
            <w:pPr>
              <w:spacing w:before="20" w:after="20" w:line="276"/>
            </w:pPr>
            <w:r>
              <w:rPr>
                <w:rFonts w:ascii="宋体" w:cs="宋体" w:eastAsia="宋体" w:hAnsi="宋体"/>
                <w:sz w:val="16"/>
                <w:szCs w:val="16"/>
              </w:rPr>
              <w:t xml:space="preserve">卡点说明：5座电站的调度规程和应急预案以文本形式存在，其中的协同逻辑（如多站启停顺序、甩负荷应对策略、安全降级规则）无法在仿真环境中进行多场景自动化测试。这意味着无法在设计阶段发现：调度规程中是否存在逻辑矛盾，现有设计参数能否支撑规程要求的各种运行方式切换，以及极端工况下的降级策略是否与水工结构参数相匹配。这些问题如果到投运后才暴露，调整成本将极为高昂。</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B. 控制基础设施类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4. 闭环控制的可观测性需求未纳入监测埋设设计，传感器部署随施工不可逆锁定。</w:t>
            </w:r>
          </w:p>
          <w:p>
            <w:pPr>
              <w:spacing w:before="20" w:after="20" w:line="276"/>
            </w:pPr>
            <w:r>
              <w:rPr>
                <w:rFonts w:ascii="宋体" w:cs="宋体" w:eastAsia="宋体" w:hAnsi="宋体"/>
                <w:sz w:val="16"/>
                <w:szCs w:val="16"/>
              </w:rPr>
              <w:t xml:space="preserve">卡点说明：现行监测点位设计以结构安全监测为目标——测应力、测渗压、测变形，采样频率低（小时–天级）、点位稀疏。但多梯级协同闭环控制的需求截然不同：控制回路要求对被控变量进行实时反馈，传感器的位置由控制理论的可观测性分析决定，采样频率由控制回路带宽决定（水力瞬变控制需要毫秒级），精度由控制精度目标决定。具体而言：调压室水位、关键断面压力、导叶开度、机组转速、有功功率等状态变量是控制回路的必要反馈，其测点布置必须保证控制系统对全部被控变量具备充分的可观测性。这些控制驱动的感知需求远比结构安全监测更为苛刻，也比数字孪生模型校准更为严格。在YX工程3000米深埋隧洞中，传感器必须随隧洞施工同步埋设，衬砌完成后无法补装。如果设计阶段不做控制可观测性分析，仅按结构安全需求布点，将有可能导致建成后控制系统“看不到”关键状态变量，被迫采取保守运行策略，浪费工程本可达到的控制精度。</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5. 控制通信架构需求未前置驱动传输基础设施设计，通信链路随施工同步锁定。</w:t>
            </w:r>
          </w:p>
          <w:p>
            <w:pPr>
              <w:spacing w:before="20" w:after="20" w:line="276"/>
            </w:pPr>
            <w:r>
              <w:rPr>
                <w:rFonts w:ascii="宋体" w:cs="宋体" w:eastAsia="宋体" w:hAnsi="宋体"/>
                <w:sz w:val="16"/>
                <w:szCs w:val="16"/>
              </w:rPr>
              <w:t xml:space="preserve">卡点说明：多站协同控制要求站间通信具备确定性低时延（有界时延，而非“尽力而为”），安全关键控制回路需要独立冗余通信路径。具体而言：水力瞬变控制要求站间通信时延低于毫秒量级、电气协同控制要求毫秒级同步；安全仪表系统（SIS）的紧急停机、事故闸门联锁等功能需要独立于常规控制的通信通道，确保常规通信故障时安全功能不受影响。这些控制驱动的通信规格远超过数据归档或数字孪生同步的需求。5座电站跨越200多公里河段，光缆路由、中继站布置、网络拓扑均随隧洞和交通基础设施施工同步确定，后期补建代价极高。如果仅按常规监控数据传输需求设计通信链路，将无法支撑未来多站协同控制和安全联锁的实时性与可靠性要求。</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C. 数据与平台类</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6. 多源异构数据融合标准缺失，控制与数字孪生缺乏统一数据底座。</w:t>
            </w:r>
          </w:p>
          <w:p>
            <w:pPr>
              <w:spacing w:before="20" w:after="20" w:line="276"/>
            </w:pPr>
            <w:r>
              <w:rPr>
                <w:rFonts w:ascii="宋体" w:cs="宋体" w:eastAsia="宋体" w:hAnsi="宋体"/>
                <w:sz w:val="16"/>
                <w:szCs w:val="16"/>
              </w:rPr>
              <w:t xml:space="preserve">卡点说明：5座梯级电站涉及水力、水机、电气、地质、气象、通信等多专业数据，目前各专业设计数据分散在不同系统中，缺乏统一的数据模型、接口协议和时空基准。控制系统需要多专业数据的实时融合来实现状态估计和前馈控制，数字孪生需要多专业数据的统一接入来实现模型校准与状态感知。如果设计阶段不规定统一的数据标准和交互协议，各专业数据在施工和运行阶段将无法互通，既无法支撑控制系统的多源融合决策，也无法支撑数字孪生的全系统状态感知。</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7. 缺乏在接近真实硬件约束条件下的设计方案全场景复核平台。</w:t>
            </w:r>
          </w:p>
          <w:p>
            <w:pPr>
              <w:spacing w:before="20" w:after="20" w:line="276"/>
            </w:pPr>
            <w:r>
              <w:rPr>
                <w:rFonts w:ascii="宋体" w:cs="宋体" w:eastAsia="宋体" w:hAnsi="宋体"/>
                <w:sz w:val="16"/>
                <w:szCs w:val="16"/>
              </w:rPr>
              <w:t xml:space="preserve">卡点说明：水锤计算是纯数字仿真，无法反映真实控制器的响应延时、通信链路的实际带宽与时延、以及设备在高海拔低气压环境下的性能退化。对于2200米落差的系统，这些工程约束可能显著影响设计参数的实际效果。行业缺乏能够将真实控制器、传感器、通信设备接入仿真环境的工程级复核平台。该平台在设计阶段服务于参数复核和控制策略验证，在运行阶段可直接转型为数字孪生的仿真校验底座和控制策略的持续演练设施，实现一次建设、全周期复用。</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8. 设计方案比选缺乏运行能力维度的量化依据。</w:t>
            </w:r>
          </w:p>
          <w:p>
            <w:pPr>
              <w:spacing w:before="20" w:after="20" w:line="276"/>
            </w:pPr>
            <w:r>
              <w:rPr>
                <w:rFonts w:ascii="宋体" w:cs="宋体" w:eastAsia="宋体" w:hAnsi="宋体"/>
                <w:sz w:val="16"/>
                <w:szCs w:val="16"/>
              </w:rPr>
              <w:t xml:space="preserve">卡点说明：当前多套设计方案的比选以结构安全和静态经济指标为主，缺乏从稳定性（多站协同调节时间、超调量）、安全性（级联工况下水位/水压越限概率）、可控性（控制系统对该方案能达到的最优控制精度）、韧性（故障后恢复时间、降级保持率）等运行能力维度的量化评价。这导致设计冗余主要依赖工程经验而非系统性计算，难以回答“能否通过提升控制精度来科学压减结构冗余”这一关键问题。</w:t>
            </w:r>
          </w:p>
          <w:p>
            <w:pPr>
              <w:spacing w:before="20" w:after="20" w:line="276"/>
            </w:pPr>
            <w:r>
              <w:rPr>
                <w:rFonts w:ascii="宋体" w:cs="宋体" w:eastAsia="宋体" w:hAnsi="宋体"/>
                <w:sz w:val="16"/>
                <w:szCs w:val="16"/>
              </w:rPr>
              <w:t xml:space="preserve"/>
            </w:r>
          </w:p>
          <w:p>
            <w:pPr>
              <w:spacing w:before="60" w:after="20" w:line="276"/>
            </w:pPr>
            <w:r>
              <w:rPr>
                <w:rFonts w:ascii="宋体" w:cs="宋体" w:eastAsia="宋体" w:hAnsi="宋体"/>
                <w:b/>
                <w:bCs/>
                <w:sz w:val="16"/>
                <w:szCs w:val="16"/>
              </w:rPr>
              <w:t xml:space="preserve">D. 设计–建设–运行一体化</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b/>
                <w:bCs/>
                <w:sz w:val="16"/>
                <w:szCs w:val="16"/>
              </w:rPr>
              <w:t xml:space="preserve">9. 仿真模型、BIM、数据标准均按阶段割裂设计，无法实现全生命周期贯通。</w:t>
            </w:r>
          </w:p>
          <w:p>
            <w:pPr>
              <w:spacing w:before="20" w:after="20" w:line="276"/>
            </w:pPr>
            <w:r>
              <w:rPr>
                <w:rFonts w:ascii="宋体" w:cs="宋体" w:eastAsia="宋体" w:hAnsi="宋体"/>
                <w:sz w:val="16"/>
                <w:szCs w:val="16"/>
              </w:rPr>
              <w:t xml:space="preserve">卡点说明：传统水利工程的模型、数据、工具按“设计→建设→运行”三段独立建设，每次阶段交接均重新起步。具体表现为三个断裂：（1）系统级仿真模型断裂——设计阶段构建的多专业耦合仿真模型，交付后即废弃，施工期无法用实测参数持续校准，运行期又从零重建数字孪生仿真内核，设计期积累的场景库、参数知识、验证结果全部丢失；（2）BIM断裂——设计BIM仅为三维图纸，到施工阶段退化为进度可视化，到运行阶段又重建资产模型，施工期的实测参数、变更记录、质量检测数据均无法自动回流至模型；（3）数据标准断裂——设计、施工、运行三个阶段各自定义数据模型，编码规则不统一，交接时依赖人工映射和格式转换。这三个断裂使得设计阶段投入的大量仿真、建模、验证工作无法为后续阶段所用，是巨大的知识浪费。对于YX工程这样建设周期10年以上、按千年尺度运行的系统，仿真模型应从设计复核工具持续演进为施工期参数校准载体、再演进为运行期数字孪生仿真内核；BIM应从三维设计模型持续演进为施工管理载体、再演进为运行期资产管理底座；数据标准应从一开始就规划覆盖全生命周期的统一编码、统一模型、统一接口。</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sz w:val="16"/>
                <w:szCs w:val="16"/>
              </w:rPr>
              <w:t xml:space="preserve">1、2027年完成多专业耦合系统级仿真模型与典型场景库构建，确定仿真模型“设计–建设–运行”一体化演进架构，同步完成控制可观测性分析与监测埋设方案优化建议；</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2、2028年完成调度协同逻辑的可执行表达与多场景仿真验证，确定控制通信架构规格、多源数据融合标准及覆盖全生命周期的统一数据模型与BIM演进规范，反馈设计约束；</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3、2029年完成工程级在环复核平台研制，支撑首批机组安装前的设计方案终审与控制策略预验证，仿真模型开始接入施工期实测参数进行持续校准；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4、2030年完成全场景复核与运行风险识别，支撑首批机组发电前系统联调，仿真模型同步转化为数字孪生仿真内核，BIM同步转入运行期资产管理模式；</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5、2031年输出设计参数优化建议报告，形成仿真模型、BIM、数据标准全生命周期一体化运行体系与持续演进能力。</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before="20" w:after="20" w:line="276"/>
            </w:pPr>
            <w:r>
              <w:rPr>
                <w:rFonts w:ascii="宋体" w:cs="宋体" w:eastAsia="宋体" w:hAnsi="宋体"/>
                <w:b/>
                <w:bCs/>
                <w:sz w:val="16"/>
                <w:szCs w:val="16"/>
              </w:rPr>
              <w:t xml:space="preserve">研发需求：</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-建立覆盖“水力–水机–电气”多专业耦合的系统级仿真模型，构建不少于800种设计复核场景库（方法/技术）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-研发调度规程与应急预案的可仿真验证结构化表达方法，实现协同逻辑对设计参数的自动化反馈校核（方法/技术）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-建立基于控制可观测性分析的监测埋设反向需求方法，输出同时满足控制反馈、结构安全与数字孪生校准三重需求的监测布设优化方案（方法/技术、标准）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-制定控制通信架构规格要求（含时延上界、冗余度、SIS独立性要求）及多源异构数据融合标准与接口协议（标准）</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-研制2200米落差系统毫秒级瞬变捕捉的工程级在环复核平台，设计阶段服务于参数复核与控制策略验证，运行阶段转型为数字孪生仿真校验底座（技术、仪器仪表）</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-建立涵盖稳定性、安全性、可控性、韧性的运行能力多维评价指标体系，输出设计方案数字化比选报告，结构冗余优化率≥5%（方法/技术）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-制定仿真模型、BIM、数据标准的“设计–建设–运行”一体化演进规范，实现模型可持续校准、数据零衰减传递、BIM全周期复用（标准、方法/技术）</w:t>
            </w:r>
          </w:p>
          <w:p>
            <w:pPr>
              <w:spacing w:before="20" w:after="20" w:line="276"/>
            </w:pPr>
            <w:r>
              <w:rPr>
                <w:rFonts w:ascii="宋体" w:cs="宋体" w:eastAsia="宋体" w:hAnsi="宋体"/>
                <w:sz w:val="16"/>
                <w:szCs w:val="16"/>
              </w:rPr>
              <w:t xml:space="preserve"/>
            </w:r>
          </w:p>
          <w:p>
            <w:pPr>
              <w:spacing w:before="20" w:after="20" w:line="276"/>
            </w:pPr>
            <w:r>
              <w:rPr>
                <w:rFonts w:ascii="宋体" w:cs="宋体" w:eastAsia="宋体" w:hAnsi="宋体"/>
                <w:sz w:val="16"/>
                <w:szCs w:val="16"/>
              </w:rPr>
              <w:t xml:space="preserve">-发明专利≥15项，软著≥8项，控制通信与数据标准/接口规范≥1份，行业标准草案≥1份</w:t>
            </w:r>
          </w:p>
        </w:tc>
      </w:tr>
    </w:tbl>
    <w:p>
      <w:pPr>
        <w:spacing w:before="200"/>
      </w:pPr>
    </w:p>
    <w:p>
      <w:pPr>
        <w:spacing w:before="100" w:line="300"/>
      </w:pPr>
      <w:r>
        <w:rPr>
          <w:rFonts w:ascii="宋体" w:cs="宋体" w:eastAsia="宋体" w:hAnsi="宋体"/>
          <w:sz w:val="18"/>
          <w:szCs w:val="18"/>
        </w:rPr>
        <w:t xml:space="preserve">注：1. 研究内容满足三个属性：</w:t>
      </w:r>
      <w:r>
        <w:rPr>
          <w:rFonts w:ascii="宋体" w:cs="宋体" w:eastAsia="宋体" w:hAnsi="宋体"/>
          <w:b/>
          <w:bCs/>
          <w:sz w:val="18"/>
          <w:szCs w:val="18"/>
        </w:rPr>
        <w:t xml:space="preserve">超规属性</w:t>
      </w:r>
      <w:r>
        <w:rPr>
          <w:rFonts w:ascii="宋体" w:cs="宋体" w:eastAsia="宋体" w:hAnsi="宋体"/>
          <w:sz w:val="18"/>
          <w:szCs w:val="18"/>
        </w:rPr>
        <w:t xml:space="preserve">——2200米落差多梯级强耦合系统的设计阶段运行能力校核、控制基础设施同步规划与仿真/BIM/数据全生命周期一体化，超出现行规范覆盖范围；</w:t>
      </w:r>
      <w:r>
        <w:rPr>
          <w:rFonts w:ascii="宋体" w:cs="宋体" w:eastAsia="宋体" w:hAnsi="宋体"/>
          <w:b/>
          <w:bCs/>
          <w:sz w:val="18"/>
          <w:szCs w:val="18"/>
        </w:rPr>
        <w:t xml:space="preserve">工程属性</w:t>
      </w:r>
      <w:r>
        <w:rPr>
          <w:rFonts w:ascii="宋体" w:cs="宋体" w:eastAsia="宋体" w:hAnsi="宋体"/>
          <w:sz w:val="18"/>
          <w:szCs w:val="18"/>
        </w:rPr>
        <w:t xml:space="preserve">——以YX工程5座梯级电站为明确工程对象，紧跟2026–2029年关键水工结构施工、控制线缆埋设与通信链路部署进度，服务于参数锁定前的复核决策；</w:t>
      </w:r>
      <w:r>
        <w:rPr>
          <w:rFonts w:ascii="宋体" w:cs="宋体" w:eastAsia="宋体" w:hAnsi="宋体"/>
          <w:b/>
          <w:bCs/>
          <w:sz w:val="18"/>
          <w:szCs w:val="18"/>
        </w:rPr>
        <w:t xml:space="preserve">科研属性</w:t>
      </w:r>
      <w:r>
        <w:rPr>
          <w:rFonts w:ascii="宋体" w:cs="宋体" w:eastAsia="宋体" w:hAnsi="宋体"/>
          <w:sz w:val="18"/>
          <w:szCs w:val="18"/>
        </w:rPr>
        <w:t xml:space="preserve">——将水锤计算的“建模–仿真–验证–反馈设计”逻辑拓展至全场景系统级复核，同步解决控制感知与传输基础设施“与工程同步诞生”以及仿真模型/BIM/数据标准“设计–建设–运行零衰减贯通”两大科学问题。</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2026-02-13T01:15:06.751Z</dcterms:created>
  <dcterms:modified xsi:type="dcterms:W3CDTF">2026-02-13T01:15:06.751Z</dcterms:modified>
</cp:coreProperties>
</file>

<file path=docProps/custom.xml><?xml version="1.0" encoding="utf-8"?>
<Properties xmlns="http://schemas.openxmlformats.org/officeDocument/2006/custom-properties" xmlns:vt="http://schemas.openxmlformats.org/officeDocument/2006/docPropsVTypes"/>
</file>