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仿宋_GB2312" w:cs="仿宋_GB2312" w:eastAsia="仿宋_GB2312" w:hAnsi="仿宋_GB2312"/>
          <w:b/>
          <w:bCs/>
          <w:sz w:val="32"/>
          <w:szCs w:val="32"/>
        </w:rPr>
        <w:t xml:space="preserve">科技研发图谱需求征集表</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600"/>
        <w:gridCol w:w="1200"/>
        <w:gridCol w:w="8000"/>
        <w:gridCol w:w="1500"/>
        <w:gridCol w:w="2700"/>
      </w:tblGrid>
      <w:tr>
        <w:trPr>
          <w:trHeight w:val="500" w:hRule="atLeast"/>
        </w:trPr>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分类</w:t>
            </w:r>
          </w:p>
        </w:tc>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分项</w:t>
            </w:r>
          </w:p>
        </w:tc>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方向</w:t>
            </w:r>
          </w:p>
        </w:tc>
        <w:tc>
          <w:tcPr>
            <w:tcW w:type="dxa" w:w="6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需求提出部门</w:t>
            </w:r>
          </w:p>
        </w:tc>
        <w:tc>
          <w:tcPr>
            <w:tcW w:type="dxa" w:w="13400"/>
            <w:gridSpan w:val="4"/>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jc w:val="center"/>
            </w:pPr>
            <w:r>
              <w:rPr>
                <w:rFonts w:ascii="宋体" w:cs="宋体" w:eastAsia="宋体" w:hAnsi="宋体"/>
                <w:b/>
                <w:bCs/>
                <w:sz w:val="18"/>
                <w:szCs w:val="18"/>
              </w:rPr>
              <w:t xml:space="preserve">问题征集</w:t>
            </w:r>
          </w:p>
        </w:tc>
      </w:tr>
      <w:tr>
        <w:trPr>
          <w:trHeight w:val="500" w:hRule="atLeast"/>
        </w:trP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600"/>
            <w:vMerge w:val="continue"/>
            <w:tcBorders>
              <w:top w:val="single" w:color="000000" w:sz="1"/>
              <w:left w:val="single" w:color="000000" w:sz="1"/>
              <w:bottom w:val="single" w:color="000000" w:sz="1"/>
              <w:right w:val="single" w:color="000000" w:sz="1"/>
            </w:tcBorders>
          </w:tcPr>
          <w:p>
            <w:r>
              <w:t xml:space="preserve"/>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工程建设计划</w:t>
            </w:r>
          </w:p>
        </w:tc>
        <w:tc>
          <w:tcPr>
            <w:tcW w:type="dxa" w:w="8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工程卡点</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卡点问题需要解决时间</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研发需求及成果分类</w:t>
            </w:r>
          </w:p>
        </w:tc>
      </w:tr>
      <w:tr>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YX工程</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数字化</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运行能力设计验证与控制基础设施及全生命周期一体化</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数信部</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sz w:val="16"/>
                <w:szCs w:val="16"/>
              </w:rPr>
              <w:t xml:space="preserve">2025年7月，工程正式开工；</w:t>
            </w:r>
          </w:p>
          <w:p>
            <w:pPr>
              <w:spacing w:before="20" w:after="20" w:line="276"/>
            </w:pPr>
            <w:r>
              <w:rPr>
                <w:rFonts w:ascii="宋体" w:cs="宋体" w:eastAsia="宋体" w:hAnsi="宋体"/>
                <w:sz w:val="16"/>
                <w:szCs w:val="16"/>
              </w:rPr>
              <w:t xml:space="preserve">2026–2028年，引水隧洞、调压设施、地下厂房等关键水工结构施工推进，设计参数逐步锁定，监测埋设、控制线缆、通信链路随隧洞施工同步实施；</w:t>
            </w:r>
          </w:p>
          <w:p>
            <w:pPr>
              <w:spacing w:before="20" w:after="20" w:line="276"/>
            </w:pPr>
            <w:r>
              <w:rPr>
                <w:rFonts w:ascii="宋体" w:cs="宋体" w:eastAsia="宋体" w:hAnsi="宋体"/>
                <w:sz w:val="16"/>
                <w:szCs w:val="16"/>
              </w:rPr>
              <w:t xml:space="preserve">2029年，首批机组安装调试；</w:t>
            </w:r>
          </w:p>
          <w:p>
            <w:pPr>
              <w:spacing w:before="20" w:after="20" w:line="276"/>
            </w:pPr>
            <w:r>
              <w:rPr>
                <w:rFonts w:ascii="宋体" w:cs="宋体" w:eastAsia="宋体" w:hAnsi="宋体"/>
                <w:sz w:val="16"/>
                <w:szCs w:val="16"/>
              </w:rPr>
              <w:t xml:space="preserve">2030年，部分机组发电；</w:t>
            </w:r>
          </w:p>
          <w:p>
            <w:pPr>
              <w:spacing w:before="20" w:after="20" w:line="276"/>
            </w:pPr>
            <w:r>
              <w:rPr>
                <w:rFonts w:ascii="宋体" w:cs="宋体" w:eastAsia="宋体" w:hAnsi="宋体"/>
                <w:sz w:val="16"/>
                <w:szCs w:val="16"/>
              </w:rPr>
              <w:t xml:space="preserve">2035年前后，5座梯级电站全面投产。</w:t>
            </w:r>
          </w:p>
        </w:tc>
        <w:tc>
          <w:tcPr>
            <w:tcW w:type="dxa" w:w="80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60" w:after="20" w:line="276"/>
            </w:pPr>
            <w:r>
              <w:rPr>
                <w:rFonts w:ascii="宋体" w:cs="宋体" w:eastAsia="宋体" w:hAnsi="宋体"/>
                <w:b/>
                <w:bCs/>
                <w:sz w:val="16"/>
                <w:szCs w:val="16"/>
              </w:rPr>
              <w:t xml:space="preserve">超高水头多梯级耦合系统关键设计参数缺乏系统级运行能力校核手段，控制所需的感知与传输基础设施面临必须与水工结构同步锁定的时间压力。</w:t>
            </w:r>
          </w:p>
          <w:p>
            <w:pPr>
              <w:spacing w:before="20" w:after="20" w:line="276"/>
            </w:pPr>
            <w:r>
              <w:rPr>
                <w:rFonts w:ascii="宋体" w:cs="宋体" w:eastAsia="宋体" w:hAnsi="宋体"/>
                <w:sz w:val="16"/>
                <w:szCs w:val="16"/>
              </w:rPr>
              <w:t xml:space="preserve">问题描述：YX工程5座梯级电站共享约2200米总落差有压引水系统，调压室尺寸、引水隧洞断面、阀门响应特性等水工结构参数，以及传感器点位、控制线缆通道、通信链路等控制基础设施参数，一经施工均不可更改。现行设计体系通过水锤计算等手段校核了少数极端工况下的“生存安全”，但对影响设计决策的另一类约束——5座电站长期协同稳定性、运行方式频繁切换时的瞬变平顺性、正常与受限工况下的调节裕度——缺乏标准化的设计阶段校核手段。与此同时，闭环控制所需的感知与传输基础设施必须在设计阶段随水工结构同步确定：传感器装在哪里、测什么、多快采一次，由控制回路的可观测性和控制带宽决定；通信链路的带宽、时延、冗余度，由控制回路的安全性和实时性要求决定。这些控制驱动的需求远比结构安全监测或数字孪生模型校准更为苛刻，却未被纳入现行设计流程。</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更深层的问题在于：传统水利工程按“设计→建设→运行”三段式交接，每个阶段的模型、数据、工具各自独立。设计阶段的仿真模型交付后即废弃，运行阶段重新建模；BIM在设计阶段是三维图纸、到施工阶段退化为可视化工具、到运行阶段又重建资产模型；数据标准三个阶段各搞一套，交接时人工转换。这种阶段割裂导致每次交接知识大幅衰减。对于YX这样建设周期10年以上、按千年尺度运行的工程，系统级仿真模型、BIM、数据标准都应当从设计阶段开始就按“设计–建设–运行一体化”架构来规划，确保模型可持续演进、数据可全周期复用、知识零衰减传递。</w:t>
            </w:r>
          </w:p>
          <w:p>
            <w:pPr>
              <w:spacing w:before="20" w:after="20" w:line="276"/>
            </w:pPr>
            <w:r>
              <w:rPr>
                <w:rFonts w:ascii="宋体" w:cs="宋体" w:eastAsia="宋体" w:hAnsi="宋体"/>
                <w:sz w:val="16"/>
                <w:szCs w:val="16"/>
              </w:rPr>
              <w:t xml:space="preserve"/>
            </w:r>
          </w:p>
          <w:p>
            <w:pPr>
              <w:spacing w:before="80" w:after="20" w:line="276"/>
            </w:pPr>
            <w:r>
              <w:rPr>
                <w:rFonts w:ascii="宋体" w:cs="宋体" w:eastAsia="宋体" w:hAnsi="宋体"/>
                <w:b/>
                <w:bCs/>
                <w:sz w:val="16"/>
                <w:szCs w:val="16"/>
              </w:rPr>
              <w:t xml:space="preserve">核心卡点：</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A. 设计验证类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1. 关键水工参数缺乏多梯级耦合条件下的系统级校核。</w:t>
            </w:r>
          </w:p>
          <w:p>
            <w:pPr>
              <w:spacing w:before="20" w:after="20" w:line="276"/>
            </w:pPr>
            <w:r>
              <w:rPr>
                <w:rFonts w:ascii="宋体" w:cs="宋体" w:eastAsia="宋体" w:hAnsi="宋体"/>
                <w:sz w:val="16"/>
                <w:szCs w:val="16"/>
              </w:rPr>
              <w:t xml:space="preserve">卡点说明：调压室容积、引水隧洞断面参数、控制阀组响应时间与开度特性等关键设计变量，目前主要按单站极端工况进行静态校核。但YX工程5座电站通过有压引水系统强耦合，实际运行中至少存在三类跨专业耦合效应：（1）水力耦合——上游站导叶开度变化引发的压力波以每秒约800–1200米的速度沿有压管道传导，在调压室和岔管处发生复杂反射与叠加，多个调压室间可能出现耦合振荡模态，这是单站水锤计算无法发现的；（2）水机耦合——水轮机在不同工况点的效率特性、空化特性、S区闭锁区间直接影响调速器的可调节范围，且上下游机组的工况点通过水头变化相互影响；（3）电气耦合——5台机组同接电网时的功角振荡、无功调节与水力瞬变过程相互叠加，可能激发水力–电气耦合振荡。这些跨专业耦合效应在单专业仿真中被完全忽略，只有通过覆盖“水力–水机–电气”的系统级仿真才能发现。设计参数一旦随施工锁定，后期调整的代价极为高昂。</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2. 设计方案的运行边界未经系统性量化界定。</w:t>
            </w:r>
          </w:p>
          <w:p>
            <w:pPr>
              <w:spacing w:before="20" w:after="20" w:line="276"/>
            </w:pPr>
            <w:r>
              <w:rPr>
                <w:rFonts w:ascii="宋体" w:cs="宋体" w:eastAsia="宋体" w:hAnsi="宋体"/>
                <w:sz w:val="16"/>
                <w:szCs w:val="16"/>
              </w:rPr>
              <w:t xml:space="preserve">卡点说明：对于“某套设计参数在哪些条件下能稳定运行、哪些条件下需要限制运行、哪些条件下不可接受”这一关键问题，目前没有结构化的量化评估方法。具体而言，运行边界至少包含以下维度：调压室水位波动包络的上下限（超过则溢流或吸空）、引水系统各断面最大允许瞬态压力（超过则威胁衬砌安全）、水轮机工况图上的空化临界线和禁止运行区（进入则产生破坏性振动）、多站同时负荷变化时的稳定性边界（超过则发生耦合振荡）、以及不同季节来水量、N-1/N-2机组缺失、电网双回路故障等约束组合下的发电能力上下限。设计工程师在确定调压室尺寸、阀组配置等方案时，无法系统性地知道所选方案在这些维度上的裕度到底有多大。这直接影响冗余配置是否合理：冗余过大则浪费工程投资，冗余不足则留下运行安全隐患。</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3. 多梯级协同调度逻辑对设计参数的反馈约束无法前置验证。</w:t>
            </w:r>
          </w:p>
          <w:p>
            <w:pPr>
              <w:spacing w:before="20" w:after="20" w:line="276"/>
            </w:pPr>
            <w:r>
              <w:rPr>
                <w:rFonts w:ascii="宋体" w:cs="宋体" w:eastAsia="宋体" w:hAnsi="宋体"/>
                <w:sz w:val="16"/>
                <w:szCs w:val="16"/>
              </w:rPr>
              <w:t xml:space="preserve">卡点说明：5座电站的调度规程和应急预案以文本形式存在，其中的协同逻辑无法在仿真环境中进行多场景自动化测试。具体而言，以下典型场景均缺乏前置验证手段：低水期来水不足时由5站顺序启动的调压室水位协调问题（上游站启动引起的水位跌落是否会触发下游站的保护动作）、某站甩负荷后其余各站的响应顺序与时间窗口（上游站甩负荷产生的压力波到达下游站时，控制系统是否有足够时间响应）、事故闸门关闭的级联影响（某站事故闸门关闭后引起的水锤压力是否会超过相邻站的结构许可值）、以及各站安全降级规则间是否存在逻辑冲突（例如站4的安全闸门关闭规则可能与站5的调压室保护要求互相矛盾）。这些场景涉及多站水力–电气–控制的交叉作用，文本形式的规程无法暴露其中的参数依赖和逻辑矛盾。如果到投运后才发现调度规程与工程实际不匹配，修改规程容易，但规程所依赖的水工结构参数已经无法更改。</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B. 控制基础设施类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4. 闭环控制的可观测性需求未纳入监测埋设设计，传感器部署随施工不可逆锁定。</w:t>
            </w:r>
          </w:p>
          <w:p>
            <w:pPr>
              <w:spacing w:before="20" w:after="20" w:line="276"/>
            </w:pPr>
            <w:r>
              <w:rPr>
                <w:rFonts w:ascii="宋体" w:cs="宋体" w:eastAsia="宋体" w:hAnsi="宋体"/>
                <w:sz w:val="16"/>
                <w:szCs w:val="16"/>
              </w:rPr>
              <w:t xml:space="preserve">卡点说明：现行监测点位设计以结构安全监测为目标——应变计测衬砌应力、渗压计测围岩渗压、多点位移计测结构变形，采样频率通常为小时级至天级，点位稀疏。但多梯级协同闭环控制的感知需求截然不同：调压室水位必须用高精度压力传感器（精度优于±0.1%FS）以毫秒级采样捕捉水位波动包络；引水系统关键断面（岔管分流点、钢管弯头、进水口拦污栅后）需要部署动态压力传感器来提供控制回路的压力反馈，其位置由控制理论的可观测性矩阵分析决定而非结构设计惯例；导叶开度、机组转速、有功功率的采样频率需达到控制回路带宽的2倍以上（水力瞬变控制通常需要毫秒级）；流量测量点需布置在各岔管分流口以满足多路流量分配控制的可观测性。这些控制驱动的感知需求远比结构安全监测更为苛刻，也比数字孪生模型校准更为严格。在YX工程3000米深埋隧洞中，传感器必须随隧洞施工同步埋设，引线管道需在衬砌浇筑前预埋，衬砌完成后无法补装。如果设计阶段不做控制可观测性分析，仅按结构安全需求布点，将导致建成后控制系统在关键断面缺少压力反馈、在岔管处缺少流量反馈，被迫采取保守运行策略，浪费工程本可达到的控制精度。</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5. 控制通信架构需求未前置驱动传输基础设施设计，通信链路随施工同步锁定。</w:t>
            </w:r>
          </w:p>
          <w:p>
            <w:pPr>
              <w:spacing w:before="20" w:after="20" w:line="276"/>
            </w:pPr>
            <w:r>
              <w:rPr>
                <w:rFonts w:ascii="宋体" w:cs="宋体" w:eastAsia="宋体" w:hAnsi="宋体"/>
                <w:sz w:val="16"/>
                <w:szCs w:val="16"/>
              </w:rPr>
              <w:t xml:space="preserve">卡点说明：多站协同控制要求站间通信具备确定性低时延（有界时延，而非“尽力而为”），安全关键控制回路需要独立冗余通信路径。具体而言：水力瞬变控制要求站间通信时延低于毫秒量级（这意味着200公里光缆的传输延时约1ms已近物理极限，协议栈处理、中继转发的时延预算必须极其严格）、电气协同控制要求毫秒级同步；安全仪表系统（SIS）的紧急停机、事故闸门联锁等功能需要独立于常规控制的通信通道，物理光缆、交换机、供电均完全独立，确保常规通信故障时安全功能不受影响。这要求隧洞内至少预埋双路独立光缆（常规控制+SIS各一路），站间中继站需配置双套交换设备和独立供电，网络拓扑需采用环网保护确保单点故障自愈。这些控制驱动的通信规格远超过数据归档或数字孪生同步的需求。5座电站跨越200多公里河段，光缆路由、中继站布置、网络拓扑均随隧洞和交通基础设施施工同步确定，后期补建意味着重新开挖已完工隧洞，代价极高。如果仅按常规监控数据传输需求设计通信链路（单路光缆、无SIS独立通道、无时延约束），将无法支撑未来多站协同控制和安全联锁的实时性与可靠性要求。</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C. 数据与平台类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6. 多源异构数据融合标准缺失，控制与数字孪生缺乏统一数据底座。</w:t>
            </w:r>
          </w:p>
          <w:p>
            <w:pPr>
              <w:spacing w:before="20" w:after="20" w:line="276"/>
            </w:pPr>
            <w:r>
              <w:rPr>
                <w:rFonts w:ascii="宋体" w:cs="宋体" w:eastAsia="宋体" w:hAnsi="宋体"/>
                <w:sz w:val="16"/>
                <w:szCs w:val="16"/>
              </w:rPr>
              <w:t xml:space="preserve">卡点说明：5座梯级电站涉及水力、水机、电气、地质、气象、通信等多专业数据，各专业数据在格式、时间尺度、空间基准上差异巨大。具体而言：SCADA系统采用IEC 60870-5-104等工业协议，毫秒级采样；水文气象数据为小时–天级的时间序列；BIM模型采用IFC格式的三维实体数据；地质监测为低频的散点量测；水力仿真模型输出为计算网格上的时空分布场。这些数据之间缺乏统一的时间基准（200公里范围内各站的时间戳需要微秒级同步才能支撑协同控制的事件序列分析）、统一的空间坐标基准（仿真模型的计算网格与传感器物理位置的空间配准）、统一的设备与测点编码体系（同一个调压室水位在SCADA、BIM、仿真模型中必须能唯一寻址）。控制系统需要多专业数据的实时融合来实现状态估计和前馈控制（例如融合气象预报和水文实测来提前调整机组出力），数字孪生需要多专业数据的统一接入来实现模型校准与状态感知。如果设计阶段不规定统一的数据模型和接口协议，各专业数据在施工和运行阶段将成为彼此隔离的数据孤岛，既无法支撑控制系统的多源融合决策，也无法支撑数字孪生的全系统状态感知。</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7. 缺乏以半实物仿真为核心的全场景验证平台，无法与工程同步建设、全生命周期持续服务。</w:t>
            </w:r>
          </w:p>
          <w:p>
            <w:pPr>
              <w:spacing w:before="20" w:after="20" w:line="276"/>
            </w:pPr>
            <w:r>
              <w:rPr>
                <w:rFonts w:ascii="宋体" w:cs="宋体" w:eastAsia="宋体" w:hAnsi="宋体"/>
                <w:sz w:val="16"/>
                <w:szCs w:val="16"/>
              </w:rPr>
              <w:t xml:space="preserve">卡点说明：水锤计算是纯数字仿真，所有硬件行为均用数学模型替代，无法暴露真实硬件在实际工况下的特有行为。半实物仿真（Hardware-in-the-Loop）的核心价值就在于将真实硬件接入仿真回路，让硬件的真实特性直接参与系统级验证。对YX工程而言，必须接入在环的硬件至少包括：真实的梯级电站调速器与励磁控制器（其响应延时、死区、非线性特性无法用数学模型准确描述）、真实的PLC/DCS控制器（其扫描周期、任务调度策略、数值精度截断对控制品质有直接影响）、真实的通信链路与网络设备（其实际带宽、传输时延、丢包率直接决定多站协同控制的可实现性）、以及真实的传感器与数据采集装置（其采样率、量程、噪声特性影响状态估计精度）。在高海拔低气压环境下，水轮机流量控制特性变化、电子元器件降额运行等效应只有通过真实硬件在环才能捕捉。纯数字仿真将这些影响全部理想化，导致验证结果与实际运行存在系统性偏差。更重要的是，工程进入运行阶段后，调度规程修订、设备更换升级、控制策略优化、极端工况应对等各种调整将持续发生，每一次调整都需要将新硬件或新策略先接入半实物平台充分验证后才能上线。因此，这一半实物仿真平台不是设计阶段的一次性工具，而是必须与工程同步建设、全生命周期持续运行的核心基础设施——设计阶段服务于参数复核和控制策略验证，施工阶段服务于实测参数反馈与模型校准，运行阶段服务于调度策略调整预演、设备变更影响评估、应急预案持续演练与人员培训。</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8. 设计方案比选缺乏运行能力维度的量化依据。</w:t>
            </w:r>
          </w:p>
          <w:p>
            <w:pPr>
              <w:spacing w:before="20" w:after="20" w:line="276"/>
            </w:pPr>
            <w:r>
              <w:rPr>
                <w:rFonts w:ascii="宋体" w:cs="宋体" w:eastAsia="宋体" w:hAnsi="宋体"/>
                <w:sz w:val="16"/>
                <w:szCs w:val="16"/>
              </w:rPr>
              <w:t xml:space="preserve">卡点说明：当前多套设计方案的比选以结构安全和静态经济指标为主。但对于YX这样的多梯级耦合系统，方案间的真正差异往往体现在运行能力上。例如：调压室方案A容积较小、工程造价低，但多站同时调节时水位波动幅度大、调节时间长，稳定性裕度小；方案B容积大、造价高，但提供了充分的稳定性裕度，控制系统能够更精细地调节。但究竟稳定性裕度差多少、安全越限概率差多少、控制精度差多少——目前无法量化回答。同样，阀组配置方案间的差异也需要从响应速度、可调节范围、故障后降级能力等维度进行量化比较。更关键的是，设计方案与控制策略之间存在深度耦合：同一套结构参数，配合更先进的控制策略可能获得显著更大的运行裕度，这意味着方案比选必须同时考虑控制能力因素。缺乏这一维度的量化评价，无法回答“同样的结构方案，通过提升控制能力能够赢得多大的运行裕度”这一关键问题。</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D. 设计–建设–运行一体化</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9. 仿真模型、BIM、数据标准均按阶段割裂设计，无法实现全生命周期贯通。</w:t>
            </w:r>
          </w:p>
          <w:p>
            <w:pPr>
              <w:spacing w:before="20" w:after="20" w:line="276"/>
            </w:pPr>
            <w:r>
              <w:rPr>
                <w:rFonts w:ascii="宋体" w:cs="宋体" w:eastAsia="宋体" w:hAnsi="宋体"/>
                <w:sz w:val="16"/>
                <w:szCs w:val="16"/>
              </w:rPr>
              <w:t xml:space="preserve">卡点说明：传统水利工程的模型、数据、工具按“设计→建设→运行”三段独立建设，每次阶段交接均重新起步。具体表现为三个断裂：（1）系统级仿真模型断裂——设计阶段构建的多专业耦合仿真模型（包含管道粗糙度、波速、调压室水头损失系数、水轮机特性曲线等数百个物理参数及800+场景的验证结果），交付后即废弃；施工期实测得到的真实管道粗糙度、岩石力学参数、衬砌变形数据等无法反馈至模型进行持续校准；运行期又从零重建数字孪生仿真内核，设计期积累的场景库、参数知识、边界条件验证结果全部丢失。（2）BIM断裂——设计BIM包含了隧洞断面几何、调压室结构尺寸、阀门井布置、机组安装位置等丰富的三维几何与属性信息，但到施工阶段退化为进度可视化工具，施工期实测的衬砌厚度偏差、管道实际线形、设备实装偏差、地质揭露信息等无法自动回流至模型；运行期又重建资产模型，与设计BIM完全脱节。（3）数据标准断裂——设计阶段用水利行业编码体系，施工阶段用施工管理系统的自定义编码，运行阶段用SCADA/DCS系统的IO点表编码，同一个调压室水位在三个阶段有三套不同的标识，交接时依赖人工映射和格式转换，每次转换都是数据丢失和错误的风险点。这三个断裂使得设计阶段投入的大量仿真、建模、验证工作无法为后续阶段所用，是巨大的知识浪费。对于YX工程这样建设周期10年以上、按千年尺度运行的系统，仿真模型应从设计复核工具持续演进为施工期参数校准载体、再演进为运行期数字孪生仿真内核；BIM应从三维设计模型持续演进为施工管理载体、再演进为运行期资产管理底座；数据标准应从一开始就规划覆盖全生命周期的统一编码、统一模型、统一接口。</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sz w:val="16"/>
                <w:szCs w:val="16"/>
              </w:rPr>
              <w:t xml:space="preserve">1、2027年完成多专业耦合系统级仿真模型与典型场景库构建，确定仿真模型“设计–建设–运行”一体化演进架构，同步完成控制可观测性分析与监测埋设方案优化建议；</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2、2028年完成调度协同逻辑的可执行表达与多场景仿真验证，确定控制通信架构规格、多源数据融合标准及覆盖全生命周期的统一数据模型与BIM演进规范，反馈设计约束；</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3、2029年完成工程级半实物仿真验证平台研制，支撑首批机组安装前的设计方案终审与控制策略预验证，仿真模型开始接入施工期实测参数进行持续校准；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4、2030年完成全场景复核与运行风险识别，支撑首批机组发电前系统联调，仿真模型同步转化为数字孪生仿真内核，BIM同步转入运行期资产管理模式；</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5、2031年输出设计参数优化建议报告，形成仿真模型、BIM、数据标准全生命周期一体化运行体系与持续演进能力。</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b/>
                <w:bCs/>
                <w:sz w:val="16"/>
                <w:szCs w:val="16"/>
              </w:rPr>
              <w:t xml:space="preserve">研发需求：</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-建立覆盖“水力–水机–电气”多专业耦合的系统级仿真模型，构建不少于800种设计复核场景库（方法/技术）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-研发调度规程与应急预案的可仿真验证结构化表达方法，实现协同逻辑对设计参数的自动化反馈校核（方法/技术）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-建立基于控制可观测性分析的监测埋设反向需求方法，输出同时满足控制反馈、结构安全与数字孪生校准三重需求的监测布设优化方案（方法/技术、标准）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-制定控制通信架构规格要求（含时延上界、冗余度、SIS独立性要求）及多源异构数据融合标准与接口协议（标准）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研制2200米落差系统毫秒级瞬变捕捉的工程级半实物仿真平台，支持真实调速器、PLC/DCS控制器、通信网络、传感器等硬件在环接入，与工程同步建设，设计阶段服务于参数复核与控制策略验证，运行阶段服务于调度策略调整预演、设备变更影响评估和应急演练（技术、仪器仪表）</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-建立涵盖稳定性、安全性、可控性、韧性的运行能力多维评价指标体系，输出设计方案数字化比选报告，量化评估控制能力提升带来的运行裕度增量（方法/技术）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-制定仿真模型、BIM、数据标准的“设计–建设–运行”一体化演进规范，实现模型可持续校准、数据零衰减传递、BIM全周期复用（标准、方法/技术）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-发明专利≥15项，软著≥8项，控制通信与数据标准/接口规范≥1份，行业标准草案≥1份</w:t>
            </w:r>
          </w:p>
        </w:tc>
      </w:tr>
    </w:tbl>
    <w:p>
      <w:pPr>
        <w:spacing w:before="200"/>
      </w:pPr>
    </w:p>
    <w:p>
      <w:pPr>
        <w:spacing w:before="100" w:line="300"/>
      </w:pPr>
      <w:r>
        <w:rPr>
          <w:rFonts w:ascii="宋体" w:cs="宋体" w:eastAsia="宋体" w:hAnsi="宋体"/>
          <w:sz w:val="18"/>
          <w:szCs w:val="18"/>
        </w:rPr>
        <w:t xml:space="preserve">注：1. 研究内容满足三个属性：</w:t>
      </w:r>
      <w:r>
        <w:rPr>
          <w:rFonts w:ascii="宋体" w:cs="宋体" w:eastAsia="宋体" w:hAnsi="宋体"/>
          <w:b/>
          <w:bCs/>
          <w:sz w:val="18"/>
          <w:szCs w:val="18"/>
        </w:rPr>
        <w:t xml:space="preserve">超规属性</w:t>
      </w:r>
      <w:r>
        <w:rPr>
          <w:rFonts w:ascii="宋体" w:cs="宋体" w:eastAsia="宋体" w:hAnsi="宋体"/>
          <w:sz w:val="18"/>
          <w:szCs w:val="18"/>
        </w:rPr>
        <w:t xml:space="preserve">——2200米落差多梯级强耦合系统的设计阶段运行能力校核、控制基础设施同步规划与仿真/BIM/数据全生命周期一体化，超出现行规范覆盖范围；</w:t>
      </w:r>
      <w:r>
        <w:rPr>
          <w:rFonts w:ascii="宋体" w:cs="宋体" w:eastAsia="宋体" w:hAnsi="宋体"/>
          <w:b/>
          <w:bCs/>
          <w:sz w:val="18"/>
          <w:szCs w:val="18"/>
        </w:rPr>
        <w:t xml:space="preserve">工程属性</w:t>
      </w:r>
      <w:r>
        <w:rPr>
          <w:rFonts w:ascii="宋体" w:cs="宋体" w:eastAsia="宋体" w:hAnsi="宋体"/>
          <w:sz w:val="18"/>
          <w:szCs w:val="18"/>
        </w:rPr>
        <w:t xml:space="preserve">——以YX工程5座梯级电站为明确工程对象，紧跟2026–2029年关键水工结构施工、控制线缆埋设与通信链路部署进度，服务于参数锁定前的复核决策；</w:t>
      </w:r>
      <w:r>
        <w:rPr>
          <w:rFonts w:ascii="宋体" w:cs="宋体" w:eastAsia="宋体" w:hAnsi="宋体"/>
          <w:b/>
          <w:bCs/>
          <w:sz w:val="18"/>
          <w:szCs w:val="18"/>
        </w:rPr>
        <w:t xml:space="preserve">科研属性</w:t>
      </w:r>
      <w:r>
        <w:rPr>
          <w:rFonts w:ascii="宋体" w:cs="宋体" w:eastAsia="宋体" w:hAnsi="宋体"/>
          <w:sz w:val="18"/>
          <w:szCs w:val="18"/>
        </w:rPr>
        <w:t xml:space="preserve">——将水锤计算的“建模–仿真–验证–反馈设计”逻辑拓展至全场景系统级复核，同步解决控制感知与传输基础设施“与工程同步诞生”以及仿真模型/BIM/数据标准“设计–建设–运行零衰减贯通”两大科学问题。</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2026-02-13T01:51:20.748Z</dcterms:created>
  <dcterms:modified xsi:type="dcterms:W3CDTF">2026-02-13T01:51:20.749Z</dcterms:modified>
</cp:coreProperties>
</file>

<file path=docProps/custom.xml><?xml version="1.0" encoding="utf-8"?>
<Properties xmlns="http://schemas.openxmlformats.org/officeDocument/2006/custom-properties" xmlns:vt="http://schemas.openxmlformats.org/officeDocument/2006/docPropsVTypes"/>
</file>