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after="0" w:before="0"/>
        <w:jc w:val="both"/>
      </w:pPr>
      <w:r>
        <w:rPr>
          <w:rFonts w:ascii="Times New Roman" w:cs="Times New Roman" w:eastAsia="Times New Roman" w:hAnsi="Times New Roman"/>
          <w:i/>
          <w:iCs/>
          <w:sz w:val="20"/>
          <w:szCs w:val="20"/>
        </w:rPr>
        <w:t xml:space="preserve">Manuscript submitted to Water Resources Research</w:t>
      </w:r>
    </w:p>
    <w:p>
      <w:pPr>
        <w:spacing w:line="480" w:after="0" w:before="0"/>
        <w:jc w:val="both"/>
      </w:pPr>
      <w:r>
        <w:rPr>
          <w:rFonts w:ascii="Times New Roman" w:cs="Times New Roman" w:eastAsia="Times New Roman" w:hAnsi="Times New Roman"/>
          <w:sz w:val="24"/>
          <w:szCs w:val="24"/>
        </w:rPr>
        <w:t xml:space="preserve"/>
      </w:r>
    </w:p>
    <w:p>
      <w:pPr>
        <w:spacing w:line="360" w:after="0" w:before="0"/>
        <w:jc w:val="center"/>
      </w:pPr>
      <w:r>
        <w:rPr>
          <w:rFonts w:ascii="Times New Roman" w:cs="Times New Roman" w:eastAsia="Times New Roman" w:hAnsi="Times New Roman"/>
          <w:b/>
          <w:bCs/>
          <w:sz w:val="32"/>
          <w:szCs w:val="32"/>
        </w:rPr>
        <w:t xml:space="preserve">Cybernetics of Hydro Systems: A Unified Control-Theoretic Framework</w:t>
      </w:r>
    </w:p>
    <w:p>
      <w:pPr>
        <w:spacing w:line="360" w:after="0" w:before="0"/>
        <w:jc w:val="center"/>
      </w:pPr>
      <w:r>
        <w:rPr>
          <w:rFonts w:ascii="Times New Roman" w:cs="Times New Roman" w:eastAsia="Times New Roman" w:hAnsi="Times New Roman"/>
          <w:b/>
          <w:bCs/>
          <w:sz w:val="32"/>
          <w:szCs w:val="32"/>
        </w:rPr>
        <w:t xml:space="preserve">for Water Network Operations</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center"/>
      </w:pPr>
      <w:r>
        <w:rPr>
          <w:rFonts w:ascii="Times New Roman" w:cs="Times New Roman" w:eastAsia="Times New Roman" w:hAnsi="Times New Roman"/>
          <w:b/>
          <w:bCs/>
          <w:sz w:val="24"/>
          <w:szCs w:val="24"/>
        </w:rPr>
        <w:t xml:space="preserve">Xiaohui Lei</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w:t>
      </w:r>
    </w:p>
    <w:p>
      <w:pPr>
        <w:spacing w:line="480" w:after="0" w:before="0"/>
        <w:jc w:val="both"/>
      </w:pPr>
      <w:r>
        <w:rPr>
          <w:rFonts w:ascii="Times New Roman" w:cs="Times New Roman" w:eastAsia="Times New Roman" w:hAnsi="Times New Roman"/>
          <w:sz w:val="24"/>
          <w:szCs w:val="24"/>
        </w:rPr>
        <w:t xml:space="preserve"/>
      </w:r>
    </w:p>
    <w:p>
      <w:pPr>
        <w:spacing w:line="300" w:after="0" w:before="0"/>
        <w:jc w:val="both"/>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School of Water Resources, Hebei University of Engineering, Handan 056038, China</w:t>
      </w:r>
    </w:p>
    <w:p>
      <w:pPr>
        <w:spacing w:line="300" w:after="0" w:before="0"/>
        <w:jc w:val="both"/>
      </w:pPr>
      <w:r>
        <w:rPr>
          <w:rFonts w:ascii="Times New Roman" w:cs="Times New Roman" w:eastAsia="Times New Roman" w:hAnsi="Times New Roman"/>
          <w:sz w:val="20"/>
          <w:szCs w:val="20"/>
        </w:rPr>
        <w:t xml:space="preserve">*Corresponding author: Xiaohui Lei (lxh@iwhr.com)</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both"/>
      </w:pPr>
      <w:r>
        <w:rPr>
          <w:rFonts w:ascii="Times New Roman" w:cs="Times New Roman" w:eastAsia="Times New Roman" w:hAnsi="Times New Roman"/>
          <w:b/>
          <w:bCs/>
          <w:sz w:val="24"/>
          <w:szCs w:val="24"/>
        </w:rPr>
        <w:t xml:space="preserve">Key Points:</w:t>
      </w:r>
    </w:p>
    <w:p>
      <w:pPr>
        <w:spacing w:line="480" w:after="0" w:before="0"/>
        <w:ind w:left="360"/>
        <w:jc w:val="both"/>
      </w:pPr>
      <w:r>
        <w:rPr>
          <w:rFonts w:ascii="Times New Roman" w:cs="Times New Roman" w:eastAsia="Times New Roman" w:hAnsi="Times New Roman"/>
          <w:sz w:val="24"/>
          <w:szCs w:val="24"/>
        </w:rPr>
        <w:t xml:space="preserve">•  Water systems exhibit an operational singularity—five co-occurring properties (failure irreversibility, extreme spatial distribution, slow actuators, environmental coupling, impossibility of controlled failure testing) absent from any other infrastructure domain—demanding a dedicated control science.</w:t>
      </w:r>
    </w:p>
    <w:p>
      <w:pPr>
        <w:spacing w:line="480" w:after="0" w:before="0"/>
        <w:ind w:left="360"/>
        <w:jc w:val="both"/>
      </w:pPr>
      <w:r>
        <w:rPr>
          <w:rFonts w:ascii="Times New Roman" w:cs="Times New Roman" w:eastAsia="Times New Roman" w:hAnsi="Times New Roman"/>
          <w:sz w:val="24"/>
          <w:szCs w:val="24"/>
        </w:rPr>
        <w:t xml:space="preserve">•  All water conveyance and distribution systems share a structurally isomorphic six-element controlled dynamical system representation. A unified transfer function family G(s) = (1+τₘs)·e^(−τᵈs)/(Aₛ·s) and its self-regulating dual H(s) = (1−KXs)/(1+K(1−X)s) subsume all existing low-order hydrodynamic models—IDZ, Muskingum, Nash cascade, reservoir continuity, pipe compliance—as special parameter settings within a five-level model–control hierarchy (LSV→IDZ→ID→I→SS). All actuator types (gates, pumps, valves, turbines) linearize to the same three-term boundary condition ΔQ = αΔu + βᵤₚΔHᵤₚ + βᵈₙΔHᵈₙ, constituting a second application of order reduction at the local actuator scale.</w:t>
      </w:r>
    </w:p>
    <w:p>
      <w:pPr>
        <w:spacing w:line="480" w:after="0" w:before="0"/>
        <w:ind w:left="360"/>
        <w:jc w:val="both"/>
      </w:pPr>
      <w:r>
        <w:rPr>
          <w:rFonts w:ascii="Times New Roman" w:cs="Times New Roman" w:eastAsia="Times New Roman" w:hAnsi="Times New Roman"/>
          <w:sz w:val="24"/>
          <w:szCs w:val="24"/>
        </w:rPr>
        <w:t xml:space="preserve">•  Eight governing principles organized into an Operational Tetrad and a Resilience Tetrad, with formally identified inter-principle tradeoffs, provide the theoretical core of CHS.</w:t>
      </w:r>
    </w:p>
    <w:p>
      <w:pPr>
        <w:spacing w:line="480" w:after="0" w:before="0"/>
        <w:ind w:left="360"/>
        <w:jc w:val="both"/>
      </w:pPr>
      <w:r>
        <w:rPr>
          <w:rFonts w:ascii="Times New Roman" w:cs="Times New Roman" w:eastAsia="Times New Roman" w:hAnsi="Times New Roman"/>
          <w:sz w:val="24"/>
          <w:szCs w:val="24"/>
        </w:rPr>
        <w:t xml:space="preserve">•  A Multi-Agent System (MAS) architecture integrating Hierarchical Distributed Control (HDC), Operational Design Domain (ODD), and Cognitive Intelligence translates CHS theory into an implementable framework; a five-level Water Systems Autonomy Level (WSAL) classification provides the roadmap from manual supervision to full autonomy.</w:t>
      </w:r>
    </w:p>
    <w:p>
      <w:pPr>
        <w:spacing w:line="480" w:after="0" w:before="0"/>
        <w:jc w:val="both"/>
      </w:pPr>
      <w:r>
        <w:rPr>
          <w:rFonts w:ascii="Times New Roman" w:cs="Times New Roman" w:eastAsia="Times New Roman" w:hAnsi="Times New Roman"/>
          <w:sz w:val="24"/>
          <w:szCs w:val="24"/>
        </w:rPr>
        <w:t xml:space="preserve"/>
      </w:r>
    </w:p>
    <w:p>
      <w:pPr>
        <w:spacing w:line="480" w:after="0" w:before="120"/>
        <w:jc w:val="both"/>
      </w:pPr>
      <w:r>
        <w:rPr>
          <w:rFonts w:ascii="Times New Roman" w:cs="Times New Roman" w:eastAsia="Times New Roman" w:hAnsi="Times New Roman"/>
          <w:b/>
          <w:bCs/>
          <w:sz w:val="28"/>
          <w:szCs w:val="28"/>
        </w:rPr>
        <w:t xml:space="preserve">Abstract</w:t>
      </w:r>
    </w:p>
    <w:p>
      <w:pPr>
        <w:spacing w:line="480" w:after="0" w:before="0"/>
        <w:jc w:val="both"/>
      </w:pPr>
      <w:r>
        <w:rPr>
          <w:rFonts w:ascii="Times New Roman" w:cs="Times New Roman" w:eastAsia="Times New Roman" w:hAnsi="Times New Roman"/>
          <w:sz w:val="24"/>
          <w:szCs w:val="24"/>
        </w:rPr>
        <w:t xml:space="preserve">Water infrastructure constitutes one of the largest classes of engineered systems on Earth, yet its operational intelligence remains at the manual-supervisory level—decades behind automotive, aerospace, and power systems. We argue that a fundamental reason, beyond institutional inertia, is that water systems exhibit a unique combination of control-theoretic properties—an operational singularity—that renders direct method transfer from other domains insufficient and demands a dedicated control science. This paper proposes Cybernetics of Hydro Systems (CHS) as such a science. We first establish the operational singularity thesis through five defining properties and document the disciplinary fragmentation that has allowed mathematically equivalent problems to develop under incommensurable terminologies across irrigation, hydropower, urban water, and watershed communities. We then present the CHS formalization: a structural isomorphism proposition demonstrating that all water systems share five specific control-theoretic properties within a common six-element mathematical structure (Plant, Actuator, Sensor, Disturbance, Constraint, Objective). The mathematical backbone is a five-level model–control hierarchy (Saint-Venant → IDZ → ID → I → SS) unified by a single parametric transfer function family. We prove that the Integrator-Delay-Zero model from canal automation and the Muskingum model from watershed hydrology—developed independently over half a century—are dual representations of the same physics distinguished solely by the downstream boundary condition, with the Muskingum transfer function being the first-order MacLaurin approximation of a self-regulating IDZ. The Nash cascade limit (n→∞, nK→τᵈ) rigorously recovers the transport delay, and the pipe compliance integrator Cₕ·dH/dt = ΔQ is shown to be structurally identical to the canal integrator Aₛ·dy/dt = ΔQ. A complementary actuator reduction proves that all flow-control devices—gates, pumps, valves, turbines—linearize to the same three-term boundary condition, completing the coverage of both plant dynamics and actuator boundaries. A formal model–layer correspondence theorem links each reduced-order model to the appropriate control architecture layer. Eight governing principles, derived from a systematic 4×2 enumeration, are organized into an Operational Tetrad (feedback, decoupling, order reduction, emergence) and a Resilience Tetrad (robustness, coordination, adaptation, hierarchy) with formally identified inter-principle tradeoffs. Translating theory into implementation, we introduce a Multi-Agent System (MAS) architecture comprising Hierarchical Distributed Control (the Physical AI engine grounded in CHS models), an Operational Design Domain defining certified operating envelopes, and Cognitive Intelligence providing scenario recognition and goal assembly. A five-level Water Systems Autonomy Level (WSAL) classification—adapted from SAE J3016 but reflecting water-specific constraints including failure irreversibility and the impossibility of controlled testing—charts the progression from remote monitoring (WSAL-1) through conditional autonomy (WSAL-3) to full autonomous operation (WSAL-5). Illustrative applications—single-pool LQR, multi-pool distributed MPC, and cross-sector transfer from canal to reservoir to urban pressure zone—demonstrate operational applicability. CHS is positioned as the theoretical foundation for a third revolution in water infrastructure science: from planning to real-time autonomous operating.</w:t>
      </w:r>
    </w:p>
    <w:p>
      <w:pPr>
        <w:spacing w:line="480" w:after="0" w:before="0"/>
        <w:jc w:val="both"/>
      </w:pPr>
      <w:r>
        <w:rPr>
          <w:rFonts w:ascii="Times New Roman" w:cs="Times New Roman" w:eastAsia="Times New Roman" w:hAnsi="Times New Roman"/>
          <w:sz w:val="24"/>
          <w:szCs w:val="24"/>
        </w:rPr>
        <w:t xml:space="preserve"/>
      </w:r>
    </w:p>
    <w:p>
      <w:pPr>
        <w:spacing w:line="480" w:after="0" w:before="120"/>
        <w:jc w:val="both"/>
      </w:pPr>
      <w:r>
        <w:rPr>
          <w:rFonts w:ascii="Times New Roman" w:cs="Times New Roman" w:eastAsia="Times New Roman" w:hAnsi="Times New Roman"/>
          <w:b/>
          <w:bCs/>
          <w:sz w:val="28"/>
          <w:szCs w:val="28"/>
        </w:rPr>
        <w:t xml:space="preserve">Plain Language Summary</w:t>
      </w:r>
    </w:p>
    <w:p>
      <w:pPr>
        <w:spacing w:line="480" w:after="0" w:before="0"/>
        <w:jc w:val="both"/>
      </w:pPr>
      <w:r>
        <w:rPr>
          <w:rFonts w:ascii="Times New Roman" w:cs="Times New Roman" w:eastAsia="Times New Roman" w:hAnsi="Times New Roman"/>
          <w:sz w:val="24"/>
          <w:szCs w:val="24"/>
        </w:rPr>
        <w:t xml:space="preserve">Humanity has built vast networks of canals, pipelines, and dams worth trillions of dollars. But operating them—deciding when to open a gate or respond to a flood—still relies mostly on human experience. Cars are learning to drive themselves, aircraft fly on autopilot, and power grids self-balance, yet water systems lag far behind. A key reason is that water failures are irreversible: you cannot un-flood a city or un-dry a river. This makes it dangerous to simply copy automation approaches from other industries. We propose a unifying theory called Cybernetics of Hydro Systems (CHS), showing that all water systems—whether irrigation canals, reservoirs, urban pipelines, or inter-basin transfers—share the same mathematical control structure and can be understood through eight operating principles and a five-level hierarchy of models. Building on this theory, we introduce a Multi-Agent System architecture that pairs physics-based control (for safety) with AI reasoning (for intelligence), and define five Water Systems Autonomy Levels—a classification system analogous to self-driving car levels—to chart the path from manual operation to autonomous control. CHS provides a scientific foundation for safely and progressively automating water infrastructure.</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water network control; autonomous operation; structural isomorphism; model predictive control; multi-agent systems; operational design domain; water systems autonomy levels</w:t>
      </w:r>
    </w:p>
    <w:p>
      <w:r>
        <w:t xml:space="preserve"/>
      </w:r>
      <w:r>
        <w:br w:type="page"/>
      </w:r>
    </w:p>
    <w:p>
      <w:pPr>
        <w:spacing w:line="480" w:after="120" w:before="360"/>
        <w:jc w:val="both"/>
      </w:pPr>
      <w:r>
        <w:rPr>
          <w:rFonts w:ascii="Times New Roman" w:cs="Times New Roman" w:eastAsia="Times New Roman" w:hAnsi="Times New Roman"/>
          <w:b/>
          <w:bCs/>
          <w:sz w:val="28"/>
          <w:szCs w:val="28"/>
        </w:rPr>
        <w:t xml:space="preserve">1  Introduction</w:t>
      </w:r>
    </w:p>
    <w:p>
      <w:pPr>
        <w:spacing w:line="480" w:after="0" w:before="0"/>
        <w:ind w:firstLine="720"/>
        <w:jc w:val="both"/>
      </w:pPr>
      <w:r>
        <w:rPr>
          <w:rFonts w:ascii="Times New Roman" w:cs="Times New Roman" w:eastAsia="Times New Roman" w:hAnsi="Times New Roman"/>
          <w:sz w:val="24"/>
          <w:szCs w:val="24"/>
        </w:rPr>
        <w:t xml:space="preserve">Water infrastructure constitutes one of the largest classes of engineered systems on Earth. Globally, more than 500,000 km of inter-basin and intra-basin water conveyance channels are in operation, alongside millions of kilometers of pressurized urban distribution networks (UNESCO, 2024). The cumulative global investment is estimated at several trillion dollars. Yet a striking asymmetry persists: the science of designing and constructing water infrastructure is mature, while the science of operating it in real time remains nascent. A cross-sector comparison (Lei, 2025a) found that operational autonomy of water conveyance systems worldwide remains at Level 0–Level 1—equivalent to manual driving with minimal assistance—while automotive has achieved Level 2–3 and commercial aviation operates at Level 4–5 in cruise phases.</w:t>
      </w:r>
    </w:p>
    <w:p>
      <w:pPr>
        <w:spacing w:line="480" w:after="0" w:before="0"/>
        <w:ind w:firstLine="720"/>
        <w:jc w:val="both"/>
      </w:pPr>
      <w:r>
        <w:rPr>
          <w:rFonts w:ascii="Times New Roman" w:cs="Times New Roman" w:eastAsia="Times New Roman" w:hAnsi="Times New Roman"/>
          <w:sz w:val="24"/>
          <w:szCs w:val="24"/>
        </w:rPr>
        <w:t xml:space="preserve">This gap is not merely technological—it is paradigmatic. The automotive sector’s progression from cruise control to advanced driver-assistance systems has been guided by coherent control theory and formalized through SAE J3016 autonomy levels (SAE International, 2021). Aerospace fly-by-wire systems are underpinned by decades of flight control science. Power system operations rest on foundations laid by Kundur (1994), where automatic generation control maintains frequency stability across continental-scale grids. The water sector possesses no comparable unifying framework. Canal automation (Litrico &amp; Fromion, 2009), reservoir optimization (Labadie, 2004), urban pressure management (Brdys &amp; Ulanicki, 1994), and hydropower scheduling (Giuliani et al., 2021) have evolved as disconnected disciplinary silos, each developing bespoke solutions without a shared theoretical language.</w:t>
      </w:r>
    </w:p>
    <w:p>
      <w:pPr>
        <w:spacing w:line="480" w:after="0" w:before="0"/>
        <w:ind w:firstLine="720"/>
        <w:jc w:val="both"/>
      </w:pPr>
      <w:r>
        <w:rPr>
          <w:rFonts w:ascii="Times New Roman" w:cs="Times New Roman" w:eastAsia="Times New Roman" w:hAnsi="Times New Roman"/>
          <w:sz w:val="24"/>
          <w:szCs w:val="24"/>
        </w:rPr>
        <w:t xml:space="preserve">Why has the water sector lagged so persistently? We identify a structural reason deeper than institutional inertia, which we term the operational singularity thesis (Section 2). We also document a pervasive disciplinary fragmentation—different water communities independently naming and modeling mathematically equivalent control problems—that has impeded cross-sector learning (Section 2.2). Cybernetics of Hydro Systems (CHS) is proposed as the dedicated control science that addresses both challenges. The term ‘cybernetics’ deliberately evokes Wiener’s (1948) original vision of a transdisciplinary science of communication and control—precisely the intellectual mission of CHS.</w:t>
      </w:r>
    </w:p>
    <w:p>
      <w:pPr>
        <w:spacing w:line="480" w:after="0" w:before="0"/>
        <w:ind w:firstLine="720"/>
        <w:jc w:val="both"/>
      </w:pPr>
      <w:r>
        <w:rPr>
          <w:rFonts w:ascii="Times New Roman" w:cs="Times New Roman" w:eastAsia="Times New Roman" w:hAnsi="Times New Roman"/>
          <w:sz w:val="24"/>
          <w:szCs w:val="24"/>
        </w:rPr>
        <w:t xml:space="preserve">The preliminary theoretical foundation was first proposed by the author in Chinese-language publications: the principles of feedback and decoupling within a four-element technical system (Lei, 2025a), autonomous water networks with multi-level intelligence classification (Lei, 2025b), X-in-the-Loop verification methodology (Lei, 2025c), and the pathway from static water balance to dynamic control (Lei, 2025d). The present paper substantially extends this prior work in seven directions: (1) formalizing the operational singularity thesis as a formal definition with five necessary conditions; (2) introducing the six-element formalization with a structural isomorphism proposition across five subsectors; (3) establishing a five-level model–control hierarchy with a model–layer correspondence theorem; (4) expanding from two to eight governing principles organized into dual tetrads with inter-principle tradeoffs; (5) providing illustrative applications including multi-pool distributed MPC and cross-sector transfer across three subsectors; and (6) introducing the Multi-Agent System (MAS) architecture and Water Systems Autonomy Levels (WSAL) as the implementation bridge from CHS theory to engineering practice.</w:t>
      </w:r>
    </w:p>
    <w:p>
      <w:pPr>
        <w:spacing w:line="480" w:after="0" w:before="0"/>
        <w:ind w:firstLine="720"/>
        <w:jc w:val="both"/>
      </w:pPr>
      <w:r>
        <w:rPr>
          <w:rFonts w:ascii="Times New Roman" w:cs="Times New Roman" w:eastAsia="Times New Roman" w:hAnsi="Times New Roman"/>
          <w:sz w:val="24"/>
          <w:szCs w:val="24"/>
        </w:rPr>
        <w:t xml:space="preserve">The paper is structured as follows. Section 2 establishes the case for why water systems demand a dedicated control science, through the operational singularity thesis and evidence of disciplinary fragmentation. Section 3 presents the CHS formalization: definitions, propositions, and the six-element architecture. Section 4 develops the model–control hierarchy—the mathematical backbone of CHS. Section 5 articulates the eight governing principles. Section 6 provides illustrative applications. Section 7 translates CHS theory into an implementable architecture through the MAS framework and WSAL classification. Section 8 positions CHS within the broader landscape. Section 9 presents the research agenda and testable predictions. Section 10 concludes.</w:t>
      </w:r>
    </w:p>
    <w:p>
      <w:pPr>
        <w:spacing w:line="480" w:after="120" w:before="360"/>
        <w:jc w:val="both"/>
      </w:pPr>
      <w:r>
        <w:rPr>
          <w:rFonts w:ascii="Times New Roman" w:cs="Times New Roman" w:eastAsia="Times New Roman" w:hAnsi="Times New Roman"/>
          <w:b/>
          <w:bCs/>
          <w:sz w:val="28"/>
          <w:szCs w:val="28"/>
        </w:rPr>
        <w:t xml:space="preserve">2  Why Water Systems Demand a Dedicated Control Science</w:t>
      </w:r>
    </w:p>
    <w:p>
      <w:pPr>
        <w:spacing w:line="480" w:after="0" w:before="0"/>
        <w:ind w:firstLine="720"/>
        <w:jc w:val="both"/>
      </w:pPr>
      <w:r>
        <w:rPr>
          <w:rFonts w:ascii="Times New Roman" w:cs="Times New Roman" w:eastAsia="Times New Roman" w:hAnsi="Times New Roman"/>
          <w:sz w:val="24"/>
          <w:szCs w:val="24"/>
        </w:rPr>
        <w:t xml:space="preserve">Before presenting the CHS formalization, we establish two independent arguments for why water systems require a dedicated operational science rather than direct application of existing control frameworks from other infrastructure domains.</w:t>
      </w:r>
    </w:p>
    <w:p>
      <w:pPr>
        <w:spacing w:line="480" w:after="80" w:before="240"/>
        <w:jc w:val="both"/>
      </w:pPr>
      <w:r>
        <w:rPr>
          <w:rFonts w:ascii="Times New Roman" w:cs="Times New Roman" w:eastAsia="Times New Roman" w:hAnsi="Times New Roman"/>
          <w:b/>
          <w:bCs/>
          <w:sz w:val="26"/>
          <w:szCs w:val="26"/>
        </w:rPr>
        <w:t xml:space="preserve">2.1  The Operational Singularity: Five Defining Properties</w:t>
      </w:r>
    </w:p>
    <w:p>
      <w:pPr>
        <w:spacing w:line="480" w:after="0" w:before="0"/>
        <w:ind w:firstLine="720"/>
        <w:jc w:val="both"/>
      </w:pPr>
      <w:r>
        <w:rPr>
          <w:rFonts w:ascii="Times New Roman" w:cs="Times New Roman" w:eastAsia="Times New Roman" w:hAnsi="Times New Roman"/>
          <w:sz w:val="24"/>
          <w:szCs w:val="24"/>
        </w:rPr>
        <w:t xml:space="preserve">Water systems face a combination of properties that, taken together, is absent from any other major infrastructure domain. We formalize this as the first defining concept of CHS.</w:t>
      </w:r>
    </w:p>
    <w:p>
      <w:pPr>
        <w:spacing w:line="480" w:after="0" w:before="0"/>
        <w:ind w:firstLine="720"/>
        <w:jc w:val="both"/>
      </w:pPr>
      <w:r>
        <w:rPr>
          <w:rFonts w:ascii="Times New Roman" w:cs="Times New Roman" w:eastAsia="Times New Roman" w:hAnsi="Times New Roman"/>
          <w:b/>
          <w:bCs/>
          <w:i/>
          <w:iCs/>
          <w:sz w:val="24"/>
          <w:szCs w:val="24"/>
        </w:rPr>
        <w:t xml:space="preserve">Definition 1 (Operational Singularity). </w:t>
      </w:r>
      <w:r>
        <w:rPr>
          <w:rFonts w:ascii="Times New Roman" w:cs="Times New Roman" w:eastAsia="Times New Roman" w:hAnsi="Times New Roman"/>
          <w:sz w:val="24"/>
          <w:szCs w:val="24"/>
        </w:rPr>
        <w:t xml:space="preserve">A water conveyance or distribution system exhibits operational singularity if and only if it simultaneously possesses all five of the following properties:</w:t>
      </w:r>
    </w:p>
    <w:p>
      <w:pPr>
        <w:spacing w:line="480" w:after="40" w:before="0"/>
        <w:ind w:left="1080"/>
        <w:jc w:val="both"/>
      </w:pPr>
      <w:r>
        <w:rPr>
          <w:rFonts w:ascii="Times New Roman" w:cs="Times New Roman" w:eastAsia="Times New Roman" w:hAnsi="Times New Roman"/>
          <w:b/>
          <w:bCs/>
          <w:sz w:val="24"/>
          <w:szCs w:val="24"/>
        </w:rPr>
        <w:t xml:space="preserve">(OS1) Failure irreversibility. </w:t>
      </w:r>
      <w:r>
        <w:rPr>
          <w:rFonts w:ascii="Times New Roman" w:cs="Times New Roman" w:eastAsia="Times New Roman" w:hAnsi="Times New Roman"/>
          <w:sz w:val="24"/>
          <w:szCs w:val="24"/>
        </w:rPr>
        <w:t xml:space="preserve">Consequences of constraint violation are physically irreversible within operational time horizons: a levee breach cannot be un-flooded, an ecological flow violation that kills aquatic organisms cannot be undone, a contamination event that enters a distribution network cannot be recalled.</w:t>
      </w:r>
    </w:p>
    <w:p>
      <w:pPr>
        <w:spacing w:line="480" w:after="40" w:before="0"/>
        <w:ind w:left="1080"/>
        <w:jc w:val="both"/>
      </w:pPr>
      <w:r>
        <w:rPr>
          <w:rFonts w:ascii="Times New Roman" w:cs="Times New Roman" w:eastAsia="Times New Roman" w:hAnsi="Times New Roman"/>
          <w:b/>
          <w:bCs/>
          <w:sz w:val="24"/>
          <w:szCs w:val="24"/>
        </w:rPr>
        <w:t xml:space="preserve">(OS2) Extreme spatial distribution. </w:t>
      </w:r>
      <w:r>
        <w:rPr>
          <w:rFonts w:ascii="Times New Roman" w:cs="Times New Roman" w:eastAsia="Times New Roman" w:hAnsi="Times New Roman"/>
          <w:sz w:val="24"/>
          <w:szCs w:val="24"/>
        </w:rPr>
        <w:t xml:space="preserve">The system spans tens to thousands of kilometers, with transport delays of hours to days, creating spatially indexed control problems far exceeding the scale of a chemical plant or aircraft.</w:t>
      </w:r>
    </w:p>
    <w:p>
      <w:pPr>
        <w:spacing w:line="480" w:after="40" w:before="0"/>
        <w:ind w:left="1080"/>
        <w:jc w:val="both"/>
      </w:pPr>
      <w:r>
        <w:rPr>
          <w:rFonts w:ascii="Times New Roman" w:cs="Times New Roman" w:eastAsia="Times New Roman" w:hAnsi="Times New Roman"/>
          <w:b/>
          <w:bCs/>
          <w:sz w:val="24"/>
          <w:szCs w:val="24"/>
        </w:rPr>
        <w:t xml:space="preserve">(OS3) Slow, physically distributed actuators. </w:t>
      </w:r>
      <w:r>
        <w:rPr>
          <w:rFonts w:ascii="Times New Roman" w:cs="Times New Roman" w:eastAsia="Times New Roman" w:hAnsi="Times New Roman"/>
          <w:sz w:val="24"/>
          <w:szCs w:val="24"/>
        </w:rPr>
        <w:t xml:space="preserve">Gates, valves, and pumps respond in minutes, are located along the flow path rather than concentrated in a control room, and their number scales linearly with system length.</w:t>
      </w:r>
    </w:p>
    <w:p>
      <w:pPr>
        <w:spacing w:line="480" w:after="40" w:before="0"/>
        <w:ind w:left="1080"/>
        <w:jc w:val="both"/>
      </w:pPr>
      <w:r>
        <w:rPr>
          <w:rFonts w:ascii="Times New Roman" w:cs="Times New Roman" w:eastAsia="Times New Roman" w:hAnsi="Times New Roman"/>
          <w:b/>
          <w:bCs/>
          <w:sz w:val="24"/>
          <w:szCs w:val="24"/>
        </w:rPr>
        <w:t xml:space="preserve">(OS4) Open-boundary environmental coupling. </w:t>
      </w:r>
      <w:r>
        <w:rPr>
          <w:rFonts w:ascii="Times New Roman" w:cs="Times New Roman" w:eastAsia="Times New Roman" w:hAnsi="Times New Roman"/>
          <w:sz w:val="24"/>
          <w:szCs w:val="24"/>
        </w:rPr>
        <w:t xml:space="preserve">Water systems are subject to weather, ecology, and geology in ways that enclosed industrial processes are not, making disturbance characterization fundamentally harder: the same canal faces ice formation in winter, algal blooms in summer, and flash floods in monsoon season.</w:t>
      </w:r>
    </w:p>
    <w:p>
      <w:pPr>
        <w:spacing w:line="480" w:after="40" w:before="0"/>
        <w:ind w:left="1080"/>
        <w:jc w:val="both"/>
      </w:pPr>
      <w:r>
        <w:rPr>
          <w:rFonts w:ascii="Times New Roman" w:cs="Times New Roman" w:eastAsia="Times New Roman" w:hAnsi="Times New Roman"/>
          <w:b/>
          <w:bCs/>
          <w:sz w:val="24"/>
          <w:szCs w:val="24"/>
        </w:rPr>
        <w:t xml:space="preserve">(OS5) Impossibility of controlled failure testing. </w:t>
      </w:r>
      <w:r>
        <w:rPr>
          <w:rFonts w:ascii="Times New Roman" w:cs="Times New Roman" w:eastAsia="Times New Roman" w:hAnsi="Times New Roman"/>
          <w:sz w:val="24"/>
          <w:szCs w:val="24"/>
        </w:rPr>
        <w:t xml:space="preserve">Unlike automotive crash tests, aerospace wind tunnels, or power system islanding experiments, one cannot deliberately flood a canal or breach a dam to calibrate controllers. There is no ‘water tunnel’ analog to the wind tunnel.</w:t>
      </w:r>
    </w:p>
    <w:p>
      <w:pPr>
        <w:spacing w:line="480" w:after="0" w:before="0"/>
        <w:ind w:firstLine="720"/>
        <w:jc w:val="both"/>
      </w:pPr>
      <w:r>
        <w:rPr>
          <w:rFonts w:ascii="Times New Roman" w:cs="Times New Roman" w:eastAsia="Times New Roman" w:hAnsi="Times New Roman"/>
          <w:sz w:val="24"/>
          <w:szCs w:val="24"/>
        </w:rPr>
        <w:t xml:space="preserve">The operational singularity thesis asserts that it is the co-occurrence of all five properties, not any single one, that defines the water control challenge. Other infrastructure domains share individual properties—nuclear power plants face failure irreversibility (OS1), continental power grids have spatial distribution (OS2)—but no other major infrastructure domain routinely combines all five at the scales characteristic of water systems. This co-occurrence has three structural consequences. First, it explains why the water sector has been conservative about automation: operators intuitively understand that the cost of control failure exceeds any efficiency gain, and there is no safe way to test near-failure behavior. Second, it explains why direct method transfer from other domains is insufficient: automotive and aerospace certification regimes (SAE International, 2021; ISO, 2022; RTCA, 2011) assume the availability of accelerated testing that water systems cannot provide. Third, it establishes why a dedicated science is required—one that places constraint inviolability and provable safety at its theoretical center.</w:t>
      </w:r>
    </w:p>
    <w:p>
      <w:pPr>
        <w:spacing w:line="480" w:after="80" w:before="240"/>
        <w:jc w:val="both"/>
      </w:pPr>
      <w:r>
        <w:rPr>
          <w:rFonts w:ascii="Times New Roman" w:cs="Times New Roman" w:eastAsia="Times New Roman" w:hAnsi="Times New Roman"/>
          <w:b/>
          <w:bCs/>
          <w:sz w:val="26"/>
          <w:szCs w:val="26"/>
        </w:rPr>
        <w:t xml:space="preserve">2.2  Disciplinary Fragmentation: Different Names, Same Mathematics</w:t>
      </w:r>
    </w:p>
    <w:p>
      <w:pPr>
        <w:spacing w:line="480" w:after="0" w:before="0"/>
        <w:ind w:firstLine="720"/>
        <w:jc w:val="both"/>
      </w:pPr>
      <w:r>
        <w:rPr>
          <w:rFonts w:ascii="Times New Roman" w:cs="Times New Roman" w:eastAsia="Times New Roman" w:hAnsi="Times New Roman"/>
          <w:sz w:val="24"/>
          <w:szCs w:val="24"/>
        </w:rPr>
        <w:t xml:space="preserve">The second argument for a dedicated science is empirical: the water research community has organized itself by application domain rather than by operational science, leading to duplicated effort and missed cross-sector learning. Four largely non-overlapping communities—canal automation, reservoir operations, urban water distribution, and watershed hydrology—have independently developed different terminologies, modeling conventions, and solution traditions for mathematically equivalent concepts.</w:t>
      </w:r>
    </w:p>
    <w:p>
      <w:pPr>
        <w:spacing w:line="480" w:after="0" w:before="0"/>
        <w:ind w:firstLine="720"/>
        <w:jc w:val="both"/>
      </w:pPr>
      <w:r>
        <w:rPr>
          <w:rFonts w:ascii="Times New Roman" w:cs="Times New Roman" w:eastAsia="Times New Roman" w:hAnsi="Times New Roman"/>
          <w:sz w:val="24"/>
          <w:szCs w:val="24"/>
        </w:rPr>
        <w:t xml:space="preserve">Table 1 presents a systematic mapping of seven fundamental control concepts across four water subsectors, with representative references for each domain’s terminology. The mapping reveals that the governing dynamics in all subsectors are hyperbolic conservation laws—Saint-Venant equations for open channels (Litrico &amp; Fromion, 2009), water hammer equations for pressurized pipes (Wylie &amp; Streeter, 1993), and Muskingum routing for watersheds (Cunge, 1969)—each simplified to low-order transfer functions for control design. The Integrator–Delay model used in canal control (Schuurmans, 1997) is mathematically isomorphic to the Nash cascade in watershed hydrology (Nash, 1957): in each case, an integrator represents storage capacity and a delay represents wave propagation—the same mathematical structure wearing different terminological clothing.</w:t>
      </w:r>
    </w:p>
    <w:p>
      <w:pPr>
        <w:spacing w:line="480" w:after="0" w:before="0"/>
        <w:jc w:val="both"/>
      </w:pPr>
      <w:r>
        <w:rPr>
          <w:rFonts w:ascii="Times New Roman" w:cs="Times New Roman" w:eastAsia="Times New Roman" w:hAnsi="Times New Roman"/>
          <w:sz w:val="24"/>
          <w:szCs w:val="24"/>
        </w:rPr>
        <w:t xml:space="preserve"/>
      </w:r>
    </w:p>
    <w:p>
      <w:pPr>
        <w:spacing w:line="280" w:after="100" w:before="0"/>
        <w:jc w:val="both"/>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i/>
          <w:iCs/>
          <w:sz w:val="24"/>
          <w:szCs w:val="24"/>
        </w:rPr>
        <w:t xml:space="preserve">Cross-domain terminology mapping: seven control concepts across four water subsectors. Each row represents a single control-theoretic abstraction independently named in each disciplinary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60"/>
        <w:gridCol w:w="1860"/>
        <w:gridCol w:w="1860"/>
        <w:gridCol w:w="1860"/>
      </w:tblGrid>
      <w:tr>
        <w:tc>
          <w:tcPr>
            <w:tcW w:type="dxa" w:w="144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8"/>
                <w:szCs w:val="18"/>
              </w:rPr>
              <w:t xml:space="preserve">Unified Control</w:t>
            </w:r>
            <w:r>
              <w:br/>
            </w:r>
            <w:r>
              <w:rPr>
                <w:rFonts w:ascii="Times New Roman" w:cs="Times New Roman" w:eastAsia="Times New Roman" w:hAnsi="Times New Roman"/>
                <w:b/>
                <w:bCs/>
                <w:sz w:val="18"/>
                <w:szCs w:val="18"/>
              </w:rPr>
              <w:t xml:space="preserve">Concept</w:t>
            </w:r>
          </w:p>
        </w:tc>
        <w:tc>
          <w:tcPr>
            <w:tcW w:type="dxa" w:w="186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8"/>
                <w:szCs w:val="18"/>
              </w:rPr>
              <w:t xml:space="preserve">Canal Automation</w:t>
            </w:r>
          </w:p>
        </w:tc>
        <w:tc>
          <w:tcPr>
            <w:tcW w:type="dxa" w:w="186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8"/>
                <w:szCs w:val="18"/>
              </w:rPr>
              <w:t xml:space="preserve">Reservoir</w:t>
            </w:r>
            <w:r>
              <w:br/>
            </w:r>
            <w:r>
              <w:rPr>
                <w:rFonts w:ascii="Times New Roman" w:cs="Times New Roman" w:eastAsia="Times New Roman" w:hAnsi="Times New Roman"/>
                <w:b/>
                <w:bCs/>
                <w:sz w:val="18"/>
                <w:szCs w:val="18"/>
              </w:rPr>
              <w:t xml:space="preserve">Operations</w:t>
            </w:r>
          </w:p>
        </w:tc>
        <w:tc>
          <w:tcPr>
            <w:tcW w:type="dxa" w:w="186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8"/>
                <w:szCs w:val="18"/>
              </w:rPr>
              <w:t xml:space="preserve">Urban Water</w:t>
            </w:r>
            <w:r>
              <w:br/>
            </w:r>
            <w:r>
              <w:rPr>
                <w:rFonts w:ascii="Times New Roman" w:cs="Times New Roman" w:eastAsia="Times New Roman" w:hAnsi="Times New Roman"/>
                <w:b/>
                <w:bCs/>
                <w:sz w:val="18"/>
                <w:szCs w:val="18"/>
              </w:rPr>
              <w:t xml:space="preserve">Distribution</w:t>
            </w:r>
          </w:p>
        </w:tc>
        <w:tc>
          <w:tcPr>
            <w:tcW w:type="dxa" w:w="186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8"/>
                <w:szCs w:val="18"/>
              </w:rPr>
              <w:t xml:space="preserve">Watershed</w:t>
            </w:r>
            <w:r>
              <w:br/>
            </w:r>
            <w:r>
              <w:rPr>
                <w:rFonts w:ascii="Times New Roman" w:cs="Times New Roman" w:eastAsia="Times New Roman" w:hAnsi="Times New Roman"/>
                <w:b/>
                <w:bCs/>
                <w:sz w:val="18"/>
                <w:szCs w:val="18"/>
              </w:rPr>
              <w:t xml:space="preserve">Hydrology</w:t>
            </w:r>
          </w:p>
        </w:tc>
      </w:tr>
      <w:tr>
        <w:tc>
          <w:tcPr>
            <w:tcW w:type="dxa" w:w="144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Storage</w:t>
            </w:r>
            <w:r>
              <w:br/>
            </w:r>
            <w:r>
              <w:rPr>
                <w:rFonts w:ascii="Times New Roman" w:cs="Times New Roman" w:eastAsia="Times New Roman" w:hAnsi="Times New Roman"/>
                <w:sz w:val="18"/>
                <w:szCs w:val="18"/>
              </w:rPr>
              <w:t xml:space="preserve">capacity</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Backwater area Aₛ</w:t>
            </w:r>
            <w:r>
              <w:br/>
            </w:r>
            <w:r>
              <w:rPr>
                <w:rFonts w:ascii="Times New Roman" w:cs="Times New Roman" w:eastAsia="Times New Roman" w:hAnsi="Times New Roman"/>
                <w:sz w:val="18"/>
                <w:szCs w:val="18"/>
              </w:rPr>
              <w:t xml:space="preserve">(Schuurmans, 1997;</w:t>
            </w:r>
            <w:r>
              <w:br/>
            </w:r>
            <w:r>
              <w:rPr>
                <w:rFonts w:ascii="Times New Roman" w:cs="Times New Roman" w:eastAsia="Times New Roman" w:hAnsi="Times New Roman"/>
                <w:sz w:val="18"/>
                <w:szCs w:val="18"/>
              </w:rPr>
              <w:t xml:space="preserve">Litrico &amp; Fromion,</w:t>
            </w:r>
            <w:r>
              <w:br/>
            </w:r>
            <w:r>
              <w:rPr>
                <w:rFonts w:ascii="Times New Roman" w:cs="Times New Roman" w:eastAsia="Times New Roman" w:hAnsi="Times New Roman"/>
                <w:sz w:val="18"/>
                <w:szCs w:val="18"/>
              </w:rPr>
              <w:t xml:space="preserve">2009)</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Storage–elevation</w:t>
            </w:r>
            <w:r>
              <w:br/>
            </w:r>
            <w:r>
              <w:rPr>
                <w:rFonts w:ascii="Times New Roman" w:cs="Times New Roman" w:eastAsia="Times New Roman" w:hAnsi="Times New Roman"/>
                <w:sz w:val="18"/>
                <w:szCs w:val="18"/>
              </w:rPr>
              <w:t xml:space="preserve">curve A(h)</w:t>
            </w:r>
            <w:r>
              <w:br/>
            </w:r>
            <w:r>
              <w:rPr>
                <w:rFonts w:ascii="Times New Roman" w:cs="Times New Roman" w:eastAsia="Times New Roman" w:hAnsi="Times New Roman"/>
                <w:sz w:val="18"/>
                <w:szCs w:val="18"/>
              </w:rPr>
              <w:t xml:space="preserve">(Loucks &amp; van Beek,</w:t>
            </w:r>
            <w:r>
              <w:br/>
            </w:r>
            <w:r>
              <w:rPr>
                <w:rFonts w:ascii="Times New Roman" w:cs="Times New Roman" w:eastAsia="Times New Roman" w:hAnsi="Times New Roman"/>
                <w:sz w:val="18"/>
                <w:szCs w:val="18"/>
              </w:rPr>
              <w:t xml:space="preserve">2017)</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System compliance;</w:t>
            </w:r>
            <w:r>
              <w:br/>
            </w:r>
            <w:r>
              <w:rPr>
                <w:rFonts w:ascii="Times New Roman" w:cs="Times New Roman" w:eastAsia="Times New Roman" w:hAnsi="Times New Roman"/>
                <w:sz w:val="18"/>
                <w:szCs w:val="18"/>
              </w:rPr>
              <w:t xml:space="preserve">tank level</w:t>
            </w:r>
            <w:r>
              <w:br/>
            </w:r>
            <w:r>
              <w:rPr>
                <w:rFonts w:ascii="Times New Roman" w:cs="Times New Roman" w:eastAsia="Times New Roman" w:hAnsi="Times New Roman"/>
                <w:sz w:val="18"/>
                <w:szCs w:val="18"/>
              </w:rPr>
              <w:t xml:space="preserve">(Brdys &amp; Ulanicki,</w:t>
            </w:r>
            <w:r>
              <w:br/>
            </w:r>
            <w:r>
              <w:rPr>
                <w:rFonts w:ascii="Times New Roman" w:cs="Times New Roman" w:eastAsia="Times New Roman" w:hAnsi="Times New Roman"/>
                <w:sz w:val="18"/>
                <w:szCs w:val="18"/>
              </w:rPr>
              <w:t xml:space="preserve">1994)</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Detention storage K</w:t>
            </w:r>
            <w:r>
              <w:br/>
            </w:r>
            <w:r>
              <w:rPr>
                <w:rFonts w:ascii="Times New Roman" w:cs="Times New Roman" w:eastAsia="Times New Roman" w:hAnsi="Times New Roman"/>
                <w:sz w:val="18"/>
                <w:szCs w:val="18"/>
              </w:rPr>
              <w:t xml:space="preserve">(Dooge, 1973;</w:t>
            </w:r>
            <w:r>
              <w:br/>
            </w:r>
            <w:r>
              <w:rPr>
                <w:rFonts w:ascii="Times New Roman" w:cs="Times New Roman" w:eastAsia="Times New Roman" w:hAnsi="Times New Roman"/>
                <w:sz w:val="18"/>
                <w:szCs w:val="18"/>
              </w:rPr>
              <w:t xml:space="preserve">Chow et al., 1988)</w:t>
            </w:r>
          </w:p>
        </w:tc>
      </w:tr>
      <w:tr>
        <w:tc>
          <w:tcPr>
            <w:tcW w:type="dxa" w:w="144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Transport</w:t>
            </w:r>
            <w:r>
              <w:br/>
            </w:r>
            <w:r>
              <w:rPr>
                <w:rFonts w:ascii="Times New Roman" w:cs="Times New Roman" w:eastAsia="Times New Roman" w:hAnsi="Times New Roman"/>
                <w:sz w:val="18"/>
                <w:szCs w:val="18"/>
              </w:rPr>
              <w:t xml:space="preserve">delay</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Wave travel time τᵈ</w:t>
            </w:r>
            <w:r>
              <w:br/>
            </w:r>
            <w:r>
              <w:rPr>
                <w:rFonts w:ascii="Times New Roman" w:cs="Times New Roman" w:eastAsia="Times New Roman" w:hAnsi="Times New Roman"/>
                <w:sz w:val="18"/>
                <w:szCs w:val="18"/>
              </w:rPr>
              <w:t xml:space="preserve">(Schuurmans, 1997;</w:t>
            </w:r>
            <w:r>
              <w:br/>
            </w:r>
            <w:r>
              <w:rPr>
                <w:rFonts w:ascii="Times New Roman" w:cs="Times New Roman" w:eastAsia="Times New Roman" w:hAnsi="Times New Roman"/>
                <w:sz w:val="18"/>
                <w:szCs w:val="18"/>
              </w:rPr>
              <w:t xml:space="preserve">Litrico &amp; Fromion,</w:t>
            </w:r>
            <w:r>
              <w:br/>
            </w:r>
            <w:r>
              <w:rPr>
                <w:rFonts w:ascii="Times New Roman" w:cs="Times New Roman" w:eastAsia="Times New Roman" w:hAnsi="Times New Roman"/>
                <w:sz w:val="18"/>
                <w:szCs w:val="18"/>
              </w:rPr>
              <w:t xml:space="preserve">2009)</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Routing lag</w:t>
            </w:r>
            <w:r>
              <w:br/>
            </w:r>
            <w:r>
              <w:rPr>
                <w:rFonts w:ascii="Times New Roman" w:cs="Times New Roman" w:eastAsia="Times New Roman" w:hAnsi="Times New Roman"/>
                <w:sz w:val="18"/>
                <w:szCs w:val="18"/>
              </w:rPr>
              <w:t xml:space="preserve">(Yeh, 1985)</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Pipeline celerity;</w:t>
            </w:r>
            <w:r>
              <w:br/>
            </w:r>
            <w:r>
              <w:rPr>
                <w:rFonts w:ascii="Times New Roman" w:cs="Times New Roman" w:eastAsia="Times New Roman" w:hAnsi="Times New Roman"/>
                <w:sz w:val="18"/>
                <w:szCs w:val="18"/>
              </w:rPr>
              <w:t xml:space="preserve">wave speed a</w:t>
            </w:r>
            <w:r>
              <w:br/>
            </w:r>
            <w:r>
              <w:rPr>
                <w:rFonts w:ascii="Times New Roman" w:cs="Times New Roman" w:eastAsia="Times New Roman" w:hAnsi="Times New Roman"/>
                <w:sz w:val="18"/>
                <w:szCs w:val="18"/>
              </w:rPr>
              <w:t xml:space="preserve">(Wylie &amp; Streeter,</w:t>
            </w:r>
            <w:r>
              <w:br/>
            </w:r>
            <w:r>
              <w:rPr>
                <w:rFonts w:ascii="Times New Roman" w:cs="Times New Roman" w:eastAsia="Times New Roman" w:hAnsi="Times New Roman"/>
                <w:sz w:val="18"/>
                <w:szCs w:val="18"/>
              </w:rPr>
              <w:t xml:space="preserve">1993)</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Time of</w:t>
            </w:r>
            <w:r>
              <w:br/>
            </w:r>
            <w:r>
              <w:rPr>
                <w:rFonts w:ascii="Times New Roman" w:cs="Times New Roman" w:eastAsia="Times New Roman" w:hAnsi="Times New Roman"/>
                <w:sz w:val="18"/>
                <w:szCs w:val="18"/>
              </w:rPr>
              <w:t xml:space="preserve">concentration tᶜ</w:t>
            </w:r>
            <w:r>
              <w:br/>
            </w:r>
            <w:r>
              <w:rPr>
                <w:rFonts w:ascii="Times New Roman" w:cs="Times New Roman" w:eastAsia="Times New Roman" w:hAnsi="Times New Roman"/>
                <w:sz w:val="18"/>
                <w:szCs w:val="18"/>
              </w:rPr>
              <w:t xml:space="preserve">(Chow et al., 1988)</w:t>
            </w:r>
          </w:p>
        </w:tc>
      </w:tr>
      <w:tr>
        <w:tc>
          <w:tcPr>
            <w:tcW w:type="dxa" w:w="144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Actuator</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Check gate,</w:t>
            </w:r>
            <w:r>
              <w:br/>
            </w:r>
            <w:r>
              <w:rPr>
                <w:rFonts w:ascii="Times New Roman" w:cs="Times New Roman" w:eastAsia="Times New Roman" w:hAnsi="Times New Roman"/>
                <w:sz w:val="18"/>
                <w:szCs w:val="18"/>
              </w:rPr>
              <w:t xml:space="preserve">radial gate</w:t>
            </w:r>
            <w:r>
              <w:br/>
            </w:r>
            <w:r>
              <w:rPr>
                <w:rFonts w:ascii="Times New Roman" w:cs="Times New Roman" w:eastAsia="Times New Roman" w:hAnsi="Times New Roman"/>
                <w:sz w:val="18"/>
                <w:szCs w:val="18"/>
              </w:rPr>
              <w:t xml:space="preserve">(Malaterre et al.,</w:t>
            </w:r>
            <w:r>
              <w:br/>
            </w:r>
            <w:r>
              <w:rPr>
                <w:rFonts w:ascii="Times New Roman" w:cs="Times New Roman" w:eastAsia="Times New Roman" w:hAnsi="Times New Roman"/>
                <w:sz w:val="18"/>
                <w:szCs w:val="18"/>
              </w:rPr>
              <w:t xml:space="preserve">1998)</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Turbine wicket</w:t>
            </w:r>
            <w:r>
              <w:br/>
            </w:r>
            <w:r>
              <w:rPr>
                <w:rFonts w:ascii="Times New Roman" w:cs="Times New Roman" w:eastAsia="Times New Roman" w:hAnsi="Times New Roman"/>
                <w:sz w:val="18"/>
                <w:szCs w:val="18"/>
              </w:rPr>
              <w:t xml:space="preserve">gate, spillway gate</w:t>
            </w:r>
            <w:r>
              <w:br/>
            </w:r>
            <w:r>
              <w:rPr>
                <w:rFonts w:ascii="Times New Roman" w:cs="Times New Roman" w:eastAsia="Times New Roman" w:hAnsi="Times New Roman"/>
                <w:sz w:val="18"/>
                <w:szCs w:val="18"/>
              </w:rPr>
              <w:t xml:space="preserve">(Labadie, 2004)</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PRV, VFD pump,</w:t>
            </w:r>
            <w:r>
              <w:br/>
            </w:r>
            <w:r>
              <w:rPr>
                <w:rFonts w:ascii="Times New Roman" w:cs="Times New Roman" w:eastAsia="Times New Roman" w:hAnsi="Times New Roman"/>
                <w:sz w:val="18"/>
                <w:szCs w:val="18"/>
              </w:rPr>
              <w:t xml:space="preserve">control valve</w:t>
            </w:r>
            <w:r>
              <w:br/>
            </w:r>
            <w:r>
              <w:rPr>
                <w:rFonts w:ascii="Times New Roman" w:cs="Times New Roman" w:eastAsia="Times New Roman" w:hAnsi="Times New Roman"/>
                <w:sz w:val="18"/>
                <w:szCs w:val="18"/>
              </w:rPr>
              <w:t xml:space="preserve">(Creaco et al.,</w:t>
            </w:r>
            <w:r>
              <w:br/>
            </w:r>
            <w:r>
              <w:rPr>
                <w:rFonts w:ascii="Times New Roman" w:cs="Times New Roman" w:eastAsia="Times New Roman" w:hAnsi="Times New Roman"/>
                <w:sz w:val="18"/>
                <w:szCs w:val="18"/>
              </w:rPr>
              <w:t xml:space="preserve">2019)</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Diversion structure</w:t>
            </w:r>
            <w:r>
              <w:br/>
            </w:r>
            <w:r>
              <w:rPr>
                <w:rFonts w:ascii="Times New Roman" w:cs="Times New Roman" w:eastAsia="Times New Roman" w:hAnsi="Times New Roman"/>
                <w:sz w:val="18"/>
                <w:szCs w:val="18"/>
              </w:rPr>
              <w:t xml:space="preserve">(Chow et al.,</w:t>
            </w:r>
            <w:r>
              <w:br/>
            </w:r>
            <w:r>
              <w:rPr>
                <w:rFonts w:ascii="Times New Roman" w:cs="Times New Roman" w:eastAsia="Times New Roman" w:hAnsi="Times New Roman"/>
                <w:sz w:val="18"/>
                <w:szCs w:val="18"/>
              </w:rPr>
              <w:t xml:space="preserve">1988)</w:t>
            </w:r>
          </w:p>
        </w:tc>
      </w:tr>
      <w:tr>
        <w:tc>
          <w:tcPr>
            <w:tcW w:type="dxa" w:w="144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Setpoint</w:t>
            </w:r>
            <w:r>
              <w:br/>
            </w:r>
            <w:r>
              <w:rPr>
                <w:rFonts w:ascii="Times New Roman" w:cs="Times New Roman" w:eastAsia="Times New Roman" w:hAnsi="Times New Roman"/>
                <w:sz w:val="18"/>
                <w:szCs w:val="18"/>
              </w:rPr>
              <w:t xml:space="preserve">control</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Downstream water</w:t>
            </w:r>
            <w:r>
              <w:br/>
            </w:r>
            <w:r>
              <w:rPr>
                <w:rFonts w:ascii="Times New Roman" w:cs="Times New Roman" w:eastAsia="Times New Roman" w:hAnsi="Times New Roman"/>
                <w:sz w:val="18"/>
                <w:szCs w:val="18"/>
              </w:rPr>
              <w:t xml:space="preserve">level control</w:t>
            </w:r>
            <w:r>
              <w:br/>
            </w:r>
            <w:r>
              <w:rPr>
                <w:rFonts w:ascii="Times New Roman" w:cs="Times New Roman" w:eastAsia="Times New Roman" w:hAnsi="Times New Roman"/>
                <w:sz w:val="18"/>
                <w:szCs w:val="18"/>
              </w:rPr>
              <w:t xml:space="preserve">(Clemmens &amp;</w:t>
            </w:r>
            <w:r>
              <w:br/>
            </w:r>
            <w:r>
              <w:rPr>
                <w:rFonts w:ascii="Times New Roman" w:cs="Times New Roman" w:eastAsia="Times New Roman" w:hAnsi="Times New Roman"/>
                <w:sz w:val="18"/>
                <w:szCs w:val="18"/>
              </w:rPr>
              <w:t xml:space="preserve">Schuurmans, 2004)</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Rule curve</w:t>
            </w:r>
            <w:r>
              <w:br/>
            </w:r>
            <w:r>
              <w:rPr>
                <w:rFonts w:ascii="Times New Roman" w:cs="Times New Roman" w:eastAsia="Times New Roman" w:hAnsi="Times New Roman"/>
                <w:sz w:val="18"/>
                <w:szCs w:val="18"/>
              </w:rPr>
              <w:t xml:space="preserve">target level</w:t>
            </w:r>
            <w:r>
              <w:br/>
            </w:r>
            <w:r>
              <w:rPr>
                <w:rFonts w:ascii="Times New Roman" w:cs="Times New Roman" w:eastAsia="Times New Roman" w:hAnsi="Times New Roman"/>
                <w:sz w:val="18"/>
                <w:szCs w:val="18"/>
              </w:rPr>
              <w:t xml:space="preserve">(Stedinger et al.,</w:t>
            </w:r>
            <w:r>
              <w:br/>
            </w:r>
            <w:r>
              <w:rPr>
                <w:rFonts w:ascii="Times New Roman" w:cs="Times New Roman" w:eastAsia="Times New Roman" w:hAnsi="Times New Roman"/>
                <w:sz w:val="18"/>
                <w:szCs w:val="18"/>
              </w:rPr>
              <w:t xml:space="preserve">1984)</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Pressure setpoint</w:t>
            </w:r>
            <w:r>
              <w:br/>
            </w:r>
            <w:r>
              <w:rPr>
                <w:rFonts w:ascii="Times New Roman" w:cs="Times New Roman" w:eastAsia="Times New Roman" w:hAnsi="Times New Roman"/>
                <w:sz w:val="18"/>
                <w:szCs w:val="18"/>
              </w:rPr>
              <w:t xml:space="preserve">(Creaco et al., 2019;</w:t>
            </w:r>
            <w:r>
              <w:br/>
            </w:r>
            <w:r>
              <w:rPr>
                <w:rFonts w:ascii="Times New Roman" w:cs="Times New Roman" w:eastAsia="Times New Roman" w:hAnsi="Times New Roman"/>
                <w:sz w:val="18"/>
                <w:szCs w:val="18"/>
              </w:rPr>
              <w:t xml:space="preserve">Brdys &amp; Ulanicki,</w:t>
            </w:r>
            <w:r>
              <w:br/>
            </w:r>
            <w:r>
              <w:rPr>
                <w:rFonts w:ascii="Times New Roman" w:cs="Times New Roman" w:eastAsia="Times New Roman" w:hAnsi="Times New Roman"/>
                <w:sz w:val="18"/>
                <w:szCs w:val="18"/>
              </w:rPr>
              <w:t xml:space="preserve">1994)</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Target flow /</w:t>
            </w:r>
            <w:r>
              <w:br/>
            </w:r>
            <w:r>
              <w:rPr>
                <w:rFonts w:ascii="Times New Roman" w:cs="Times New Roman" w:eastAsia="Times New Roman" w:hAnsi="Times New Roman"/>
                <w:sz w:val="18"/>
                <w:szCs w:val="18"/>
              </w:rPr>
              <w:t xml:space="preserve">ecological flow</w:t>
            </w:r>
            <w:r>
              <w:br/>
            </w:r>
            <w:r>
              <w:rPr>
                <w:rFonts w:ascii="Times New Roman" w:cs="Times New Roman" w:eastAsia="Times New Roman" w:hAnsi="Times New Roman"/>
                <w:sz w:val="18"/>
                <w:szCs w:val="18"/>
              </w:rPr>
              <w:t xml:space="preserve">(Poff et al., 1997)</w:t>
            </w:r>
          </w:p>
        </w:tc>
      </w:tr>
      <w:tr>
        <w:tc>
          <w:tcPr>
            <w:tcW w:type="dxa" w:w="144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State</w:t>
            </w:r>
            <w:r>
              <w:br/>
            </w:r>
            <w:r>
              <w:rPr>
                <w:rFonts w:ascii="Times New Roman" w:cs="Times New Roman" w:eastAsia="Times New Roman" w:hAnsi="Times New Roman"/>
                <w:sz w:val="18"/>
                <w:szCs w:val="18"/>
              </w:rPr>
              <w:t xml:space="preserve">variable</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Pool water level y</w:t>
            </w:r>
            <w:r>
              <w:br/>
            </w:r>
            <w:r>
              <w:rPr>
                <w:rFonts w:ascii="Times New Roman" w:cs="Times New Roman" w:eastAsia="Times New Roman" w:hAnsi="Times New Roman"/>
                <w:sz w:val="18"/>
                <w:szCs w:val="18"/>
              </w:rPr>
              <w:t xml:space="preserve">(Litrico &amp; Fromion,</w:t>
            </w:r>
            <w:r>
              <w:br/>
            </w:r>
            <w:r>
              <w:rPr>
                <w:rFonts w:ascii="Times New Roman" w:cs="Times New Roman" w:eastAsia="Times New Roman" w:hAnsi="Times New Roman"/>
                <w:sz w:val="18"/>
                <w:szCs w:val="18"/>
              </w:rPr>
              <w:t xml:space="preserve">2009)</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Storage volume V</w:t>
            </w:r>
            <w:r>
              <w:br/>
            </w:r>
            <w:r>
              <w:rPr>
                <w:rFonts w:ascii="Times New Roman" w:cs="Times New Roman" w:eastAsia="Times New Roman" w:hAnsi="Times New Roman"/>
                <w:sz w:val="18"/>
                <w:szCs w:val="18"/>
              </w:rPr>
              <w:t xml:space="preserve">(Yeh, 1985;</w:t>
            </w:r>
            <w:r>
              <w:br/>
            </w:r>
            <w:r>
              <w:rPr>
                <w:rFonts w:ascii="Times New Roman" w:cs="Times New Roman" w:eastAsia="Times New Roman" w:hAnsi="Times New Roman"/>
                <w:sz w:val="18"/>
                <w:szCs w:val="18"/>
              </w:rPr>
              <w:t xml:space="preserve">Loucks &amp; van Beek,</w:t>
            </w:r>
            <w:r>
              <w:br/>
            </w:r>
            <w:r>
              <w:rPr>
                <w:rFonts w:ascii="Times New Roman" w:cs="Times New Roman" w:eastAsia="Times New Roman" w:hAnsi="Times New Roman"/>
                <w:sz w:val="18"/>
                <w:szCs w:val="18"/>
              </w:rPr>
              <w:t xml:space="preserve">2017)</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Nodal pressure</w:t>
            </w:r>
            <w:r>
              <w:br/>
            </w:r>
            <w:r>
              <w:rPr>
                <w:rFonts w:ascii="Times New Roman" w:cs="Times New Roman" w:eastAsia="Times New Roman" w:hAnsi="Times New Roman"/>
                <w:sz w:val="18"/>
                <w:szCs w:val="18"/>
              </w:rPr>
              <w:t xml:space="preserve">head H</w:t>
            </w:r>
            <w:r>
              <w:br/>
            </w:r>
            <w:r>
              <w:rPr>
                <w:rFonts w:ascii="Times New Roman" w:cs="Times New Roman" w:eastAsia="Times New Roman" w:hAnsi="Times New Roman"/>
                <w:sz w:val="18"/>
                <w:szCs w:val="18"/>
              </w:rPr>
              <w:t xml:space="preserve">(Todini &amp; Pilati,</w:t>
            </w:r>
            <w:r>
              <w:br/>
            </w:r>
            <w:r>
              <w:rPr>
                <w:rFonts w:ascii="Times New Roman" w:cs="Times New Roman" w:eastAsia="Times New Roman" w:hAnsi="Times New Roman"/>
                <w:sz w:val="18"/>
                <w:szCs w:val="18"/>
              </w:rPr>
              <w:t xml:space="preserve">1988)</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Streamflow Q</w:t>
            </w:r>
            <w:r>
              <w:br/>
            </w:r>
            <w:r>
              <w:rPr>
                <w:rFonts w:ascii="Times New Roman" w:cs="Times New Roman" w:eastAsia="Times New Roman" w:hAnsi="Times New Roman"/>
                <w:sz w:val="18"/>
                <w:szCs w:val="18"/>
              </w:rPr>
              <w:t xml:space="preserve">(Dooge, 1973)</w:t>
            </w:r>
          </w:p>
        </w:tc>
      </w:tr>
      <w:tr>
        <w:tc>
          <w:tcPr>
            <w:tcW w:type="dxa" w:w="144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System</w:t>
            </w:r>
            <w:r>
              <w:br/>
            </w:r>
            <w:r>
              <w:rPr>
                <w:rFonts w:ascii="Times New Roman" w:cs="Times New Roman" w:eastAsia="Times New Roman" w:hAnsi="Times New Roman"/>
                <w:sz w:val="18"/>
                <w:szCs w:val="18"/>
              </w:rPr>
              <w:t xml:space="preserve">model</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Saint-Venant →</w:t>
            </w:r>
            <w:r>
              <w:br/>
            </w:r>
            <w:r>
              <w:rPr>
                <w:rFonts w:ascii="Times New Roman" w:cs="Times New Roman" w:eastAsia="Times New Roman" w:hAnsi="Times New Roman"/>
                <w:sz w:val="18"/>
                <w:szCs w:val="18"/>
              </w:rPr>
              <w:t xml:space="preserve">IDZ transfer</w:t>
            </w:r>
            <w:r>
              <w:br/>
            </w:r>
            <w:r>
              <w:rPr>
                <w:rFonts w:ascii="Times New Roman" w:cs="Times New Roman" w:eastAsia="Times New Roman" w:hAnsi="Times New Roman"/>
                <w:sz w:val="18"/>
                <w:szCs w:val="18"/>
              </w:rPr>
              <w:t xml:space="preserve">function</w:t>
            </w:r>
            <w:r>
              <w:br/>
            </w:r>
            <w:r>
              <w:rPr>
                <w:rFonts w:ascii="Times New Roman" w:cs="Times New Roman" w:eastAsia="Times New Roman" w:hAnsi="Times New Roman"/>
                <w:sz w:val="18"/>
                <w:szCs w:val="18"/>
              </w:rPr>
              <w:t xml:space="preserve">(Litrico &amp; Fromion,</w:t>
            </w:r>
            <w:r>
              <w:br/>
            </w:r>
            <w:r>
              <w:rPr>
                <w:rFonts w:ascii="Times New Roman" w:cs="Times New Roman" w:eastAsia="Times New Roman" w:hAnsi="Times New Roman"/>
                <w:sz w:val="18"/>
                <w:szCs w:val="18"/>
              </w:rPr>
              <w:t xml:space="preserve">2004)</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Storage–discharge</w:t>
            </w:r>
            <w:r>
              <w:br/>
            </w:r>
            <w:r>
              <w:rPr>
                <w:rFonts w:ascii="Times New Roman" w:cs="Times New Roman" w:eastAsia="Times New Roman" w:hAnsi="Times New Roman"/>
                <w:sz w:val="18"/>
                <w:szCs w:val="18"/>
              </w:rPr>
              <w:t xml:space="preserve">relation S(Q)</w:t>
            </w:r>
            <w:r>
              <w:br/>
            </w:r>
            <w:r>
              <w:rPr>
                <w:rFonts w:ascii="Times New Roman" w:cs="Times New Roman" w:eastAsia="Times New Roman" w:hAnsi="Times New Roman"/>
                <w:sz w:val="18"/>
                <w:szCs w:val="18"/>
              </w:rPr>
              <w:t xml:space="preserve">(Loucks &amp; van Beek,</w:t>
            </w:r>
            <w:r>
              <w:br/>
            </w:r>
            <w:r>
              <w:rPr>
                <w:rFonts w:ascii="Times New Roman" w:cs="Times New Roman" w:eastAsia="Times New Roman" w:hAnsi="Times New Roman"/>
                <w:sz w:val="18"/>
                <w:szCs w:val="18"/>
              </w:rPr>
              <w:t xml:space="preserve">2017)</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Water hammer eqs.</w:t>
            </w:r>
            <w:r>
              <w:br/>
            </w:r>
            <w:r>
              <w:rPr>
                <w:rFonts w:ascii="Times New Roman" w:cs="Times New Roman" w:eastAsia="Times New Roman" w:hAnsi="Times New Roman"/>
                <w:sz w:val="18"/>
                <w:szCs w:val="18"/>
              </w:rPr>
              <w:t xml:space="preserve">/ Joukowski</w:t>
            </w:r>
            <w:r>
              <w:br/>
            </w:r>
            <w:r>
              <w:rPr>
                <w:rFonts w:ascii="Times New Roman" w:cs="Times New Roman" w:eastAsia="Times New Roman" w:hAnsi="Times New Roman"/>
                <w:sz w:val="18"/>
                <w:szCs w:val="18"/>
              </w:rPr>
              <w:t xml:space="preserve">(Wylie &amp; Streeter,</w:t>
            </w:r>
            <w:r>
              <w:br/>
            </w:r>
            <w:r>
              <w:rPr>
                <w:rFonts w:ascii="Times New Roman" w:cs="Times New Roman" w:eastAsia="Times New Roman" w:hAnsi="Times New Roman"/>
                <w:sz w:val="18"/>
                <w:szCs w:val="18"/>
              </w:rPr>
              <w:t xml:space="preserve">1993)</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Nash cascade /</w:t>
            </w:r>
            <w:r>
              <w:br/>
            </w:r>
            <w:r>
              <w:rPr>
                <w:rFonts w:ascii="Times New Roman" w:cs="Times New Roman" w:eastAsia="Times New Roman" w:hAnsi="Times New Roman"/>
                <w:sz w:val="18"/>
                <w:szCs w:val="18"/>
              </w:rPr>
              <w:t xml:space="preserve">Muskingum</w:t>
            </w:r>
            <w:r>
              <w:br/>
            </w:r>
            <w:r>
              <w:rPr>
                <w:rFonts w:ascii="Times New Roman" w:cs="Times New Roman" w:eastAsia="Times New Roman" w:hAnsi="Times New Roman"/>
                <w:sz w:val="18"/>
                <w:szCs w:val="18"/>
              </w:rPr>
              <w:t xml:space="preserve">(Nash, 1957;</w:t>
            </w:r>
            <w:r>
              <w:br/>
            </w:r>
            <w:r>
              <w:rPr>
                <w:rFonts w:ascii="Times New Roman" w:cs="Times New Roman" w:eastAsia="Times New Roman" w:hAnsi="Times New Roman"/>
                <w:sz w:val="18"/>
                <w:szCs w:val="18"/>
              </w:rPr>
              <w:t xml:space="preserve">Cunge, 1969)</w:t>
            </w:r>
          </w:p>
        </w:tc>
      </w:tr>
      <w:tr>
        <w:tc>
          <w:tcPr>
            <w:tcW w:type="dxa" w:w="144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Disturbance</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Offtake flow</w:t>
            </w:r>
            <w:r>
              <w:br/>
            </w:r>
            <w:r>
              <w:rPr>
                <w:rFonts w:ascii="Times New Roman" w:cs="Times New Roman" w:eastAsia="Times New Roman" w:hAnsi="Times New Roman"/>
                <w:sz w:val="18"/>
                <w:szCs w:val="18"/>
              </w:rPr>
              <w:t xml:space="preserve">change</w:t>
            </w:r>
            <w:r>
              <w:br/>
            </w:r>
            <w:r>
              <w:rPr>
                <w:rFonts w:ascii="Times New Roman" w:cs="Times New Roman" w:eastAsia="Times New Roman" w:hAnsi="Times New Roman"/>
                <w:sz w:val="18"/>
                <w:szCs w:val="18"/>
              </w:rPr>
              <w:t xml:space="preserve">(Clemmens et al.,</w:t>
            </w:r>
            <w:r>
              <w:br/>
            </w:r>
            <w:r>
              <w:rPr>
                <w:rFonts w:ascii="Times New Roman" w:cs="Times New Roman" w:eastAsia="Times New Roman" w:hAnsi="Times New Roman"/>
                <w:sz w:val="18"/>
                <w:szCs w:val="18"/>
              </w:rPr>
              <w:t xml:space="preserve">2005)</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Inflow uncertainty</w:t>
            </w:r>
            <w:r>
              <w:br/>
            </w:r>
            <w:r>
              <w:rPr>
                <w:rFonts w:ascii="Times New Roman" w:cs="Times New Roman" w:eastAsia="Times New Roman" w:hAnsi="Times New Roman"/>
                <w:sz w:val="18"/>
                <w:szCs w:val="18"/>
              </w:rPr>
              <w:t xml:space="preserve">(Stedinger et al.,</w:t>
            </w:r>
            <w:r>
              <w:br/>
            </w:r>
            <w:r>
              <w:rPr>
                <w:rFonts w:ascii="Times New Roman" w:cs="Times New Roman" w:eastAsia="Times New Roman" w:hAnsi="Times New Roman"/>
                <w:sz w:val="18"/>
                <w:szCs w:val="18"/>
              </w:rPr>
              <w:t xml:space="preserve">1984)</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Demand variation</w:t>
            </w:r>
            <w:r>
              <w:br/>
            </w:r>
            <w:r>
              <w:rPr>
                <w:rFonts w:ascii="Times New Roman" w:cs="Times New Roman" w:eastAsia="Times New Roman" w:hAnsi="Times New Roman"/>
                <w:sz w:val="18"/>
                <w:szCs w:val="18"/>
              </w:rPr>
              <w:t xml:space="preserve">(Brdys &amp; Ulanicki,</w:t>
            </w:r>
            <w:r>
              <w:br/>
            </w:r>
            <w:r>
              <w:rPr>
                <w:rFonts w:ascii="Times New Roman" w:cs="Times New Roman" w:eastAsia="Times New Roman" w:hAnsi="Times New Roman"/>
                <w:sz w:val="18"/>
                <w:szCs w:val="18"/>
              </w:rPr>
              <w:t xml:space="preserve">1994)</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Rainfall event</w:t>
            </w:r>
            <w:r>
              <w:br/>
            </w:r>
            <w:r>
              <w:rPr>
                <w:rFonts w:ascii="Times New Roman" w:cs="Times New Roman" w:eastAsia="Times New Roman" w:hAnsi="Times New Roman"/>
                <w:sz w:val="18"/>
                <w:szCs w:val="18"/>
              </w:rPr>
              <w:t xml:space="preserve">(Chow et al.,</w:t>
            </w:r>
            <w:r>
              <w:br/>
            </w:r>
            <w:r>
              <w:rPr>
                <w:rFonts w:ascii="Times New Roman" w:cs="Times New Roman" w:eastAsia="Times New Roman" w:hAnsi="Times New Roman"/>
                <w:sz w:val="18"/>
                <w:szCs w:val="18"/>
              </w:rPr>
              <w:t xml:space="preserve">1988)</w:t>
            </w:r>
          </w:p>
        </w:tc>
      </w:tr>
    </w:tbl>
    <w:p>
      <w:pPr>
        <w:spacing w:line="480" w:after="0" w:before="0"/>
        <w:jc w:val="both"/>
      </w:pPr>
      <w:r>
        <w:rPr>
          <w:rFonts w:ascii="Times New Roman" w:cs="Times New Roman" w:eastAsia="Times New Roman" w:hAnsi="Times New Roman"/>
          <w:sz w:val="24"/>
          <w:szCs w:val="24"/>
        </w:rPr>
        <w:t xml:space="preserve"/>
      </w:r>
    </w:p>
    <w:p>
      <w:pPr>
        <w:spacing w:line="480" w:after="0" w:before="0"/>
        <w:ind w:firstLine="720"/>
        <w:jc w:val="both"/>
      </w:pPr>
      <w:r>
        <w:rPr>
          <w:rFonts w:ascii="Times New Roman" w:cs="Times New Roman" w:eastAsia="Times New Roman" w:hAnsi="Times New Roman"/>
          <w:sz w:val="24"/>
          <w:szCs w:val="24"/>
        </w:rPr>
        <w:t xml:space="preserve">The practical consequence of this fragmentation is measurable. Castelletti et al. (2023), in a ten-author cross-domain review of Model Predictive Control spanning reservoirs, open channels, and urban water networks, explicitly diagnosed that the related literature is scattered across heterogeneous applications with case-specific formulations that are hardly transferable across systems. Creaco et al. (2019) noted that real-time control has decades of implementation history in urban drainage but remains nascent in water distribution—two subsectors separated by organizational boundaries rather than technical ones. The frequency-domain controller design methods developed by Litrico and Fromion (2004, 2009) for canal pools have not been adapted for pressure controller design in distribution systems, where empirical tuning remains standard practice. The stochastic dynamic programming methods refined over decades for reservoir optimization (Stedinger et al., 1984; Giuliani et al., 2021) have had negligible influence on long-term scheduling of inter-basin transfer systems, despite the evident mathematical parallels.</w:t>
      </w:r>
    </w:p>
    <w:p>
      <w:pPr>
        <w:spacing w:line="480" w:after="80" w:before="240"/>
        <w:jc w:val="both"/>
      </w:pPr>
      <w:r>
        <w:rPr>
          <w:rFonts w:ascii="Times New Roman" w:cs="Times New Roman" w:eastAsia="Times New Roman" w:hAnsi="Times New Roman"/>
          <w:b/>
          <w:bCs/>
          <w:sz w:val="26"/>
          <w:szCs w:val="26"/>
        </w:rPr>
        <w:t xml:space="preserve">2.3  The IWRM–Operations Gap</w:t>
      </w:r>
    </w:p>
    <w:p>
      <w:pPr>
        <w:spacing w:line="480" w:after="0" w:before="0"/>
        <w:ind w:firstLine="720"/>
        <w:jc w:val="both"/>
      </w:pPr>
      <w:r>
        <w:rPr>
          <w:rFonts w:ascii="Times New Roman" w:cs="Times New Roman" w:eastAsia="Times New Roman" w:hAnsi="Times New Roman"/>
          <w:sz w:val="24"/>
          <w:szCs w:val="24"/>
        </w:rPr>
        <w:t xml:space="preserve">The fragmentation documented above parallels a broader gap in the water governance discourse. Integrated Water Resources Management (IWRM) has been the dominant paradigm for water sector coordination since the Dublin Principles (1992). Yet Biswas (2004) argued that IWRM’s definition remains amorphous and operationally unimplementable, with no activity worldwide scoring above 30 on a 1–100 integration scale. This critique pinpoints a structural limitation: IWRM addresses integration at the governance and planning level—institutional coordination, stakeholder participation, policy harmonization—but provides no framework for operational integration at the control-theoretic level.</w:t>
      </w:r>
    </w:p>
    <w:p>
      <w:pPr>
        <w:spacing w:line="480" w:after="0" w:before="0"/>
        <w:ind w:firstLine="720"/>
        <w:jc w:val="both"/>
      </w:pPr>
      <w:r>
        <w:rPr>
          <w:rFonts w:ascii="Times New Roman" w:cs="Times New Roman" w:eastAsia="Times New Roman" w:hAnsi="Times New Roman"/>
          <w:sz w:val="24"/>
          <w:szCs w:val="24"/>
        </w:rPr>
        <w:t xml:space="preserve">CHS fills this gap as the operational-scientific complement to IWRM’s governance perspective. Where IWRM asks ‘Which institutions should coordinate?’, CHS asks ‘What mathematical structure do their systems share, and how should controllers be designed to exploit that structure?’ Once the terminological mapping of Table 1 is recognized, a control engineer fluent in CHS can move between canal regulation, reservoir scheduling, and urban pressure management by re-parameterizing the same algorithmic framework—achieving through unified operational science what institutional reform alone has not delivered.</w:t>
      </w:r>
    </w:p>
    <w:p>
      <w:pPr>
        <w:spacing w:line="480" w:after="120" w:before="360"/>
        <w:jc w:val="both"/>
      </w:pPr>
      <w:r>
        <w:rPr>
          <w:rFonts w:ascii="Times New Roman" w:cs="Times New Roman" w:eastAsia="Times New Roman" w:hAnsi="Times New Roman"/>
          <w:b/>
          <w:bCs/>
          <w:sz w:val="28"/>
          <w:szCs w:val="28"/>
        </w:rPr>
        <w:t xml:space="preserve">3  The CHS Formalization</w:t>
      </w:r>
    </w:p>
    <w:p>
      <w:pPr>
        <w:spacing w:line="480" w:after="0" w:before="0"/>
        <w:ind w:firstLine="720"/>
        <w:jc w:val="both"/>
      </w:pPr>
      <w:r>
        <w:rPr>
          <w:rFonts w:ascii="Times New Roman" w:cs="Times New Roman" w:eastAsia="Times New Roman" w:hAnsi="Times New Roman"/>
          <w:sz w:val="24"/>
          <w:szCs w:val="24"/>
        </w:rPr>
        <w:t xml:space="preserve">Having established why a dedicated science is needed, we now present its formal structure. CHS rests on three pillars: a formal definition of water control systems, a structural isomorphism proposition, and a six-element architecture that instantiates the proposition across subsectors.</w:t>
      </w:r>
    </w:p>
    <w:p>
      <w:pPr>
        <w:spacing w:line="480" w:after="80" w:before="240"/>
        <w:jc w:val="both"/>
      </w:pPr>
      <w:r>
        <w:rPr>
          <w:rFonts w:ascii="Times New Roman" w:cs="Times New Roman" w:eastAsia="Times New Roman" w:hAnsi="Times New Roman"/>
          <w:b/>
          <w:bCs/>
          <w:sz w:val="26"/>
          <w:szCs w:val="26"/>
        </w:rPr>
        <w:t xml:space="preserve">3.1  Formal Definition of Water Control Systems</w:t>
      </w:r>
    </w:p>
    <w:p>
      <w:pPr>
        <w:spacing w:line="480" w:after="0" w:before="0"/>
        <w:ind w:firstLine="720"/>
        <w:jc w:val="both"/>
      </w:pPr>
      <w:r>
        <w:rPr>
          <w:rFonts w:ascii="Times New Roman" w:cs="Times New Roman" w:eastAsia="Times New Roman" w:hAnsi="Times New Roman"/>
          <w:b/>
          <w:bCs/>
          <w:i/>
          <w:iCs/>
          <w:sz w:val="24"/>
          <w:szCs w:val="24"/>
        </w:rPr>
        <w:t xml:space="preserve">Definition 2 (Water Control System). </w:t>
      </w:r>
      <w:r>
        <w:rPr>
          <w:rFonts w:ascii="Times New Roman" w:cs="Times New Roman" w:eastAsia="Times New Roman" w:hAnsi="Times New Roman"/>
          <w:sz w:val="24"/>
          <w:szCs w:val="24"/>
        </w:rPr>
        <w:t xml:space="preserve">A water control system in the CHS sense is a six-tuple Σ = (P, A, S, D, C, O) where P (Plant) is a dynamical system governed by hyperbolic conservation laws with state x ∈ X ⊆ ℝⁿ, A (Actuator) is the set of controllable boundary inputs u ∈ U(x; θ) ⊆ ℝᵐ, S (Sensor) is the observation map y = h(x) + v with measurement noise v, D (Disturbance) is the exogenous forcing d(t) entering through open boundaries, C (Constraint) is the set of hard inequality constraints g(x, u; θ) ≤ 0 whose violation is irreversible (OS1), and O (Objective) is the performance criterion J to be minimized subject to C. The system exhibits operational singularity (Definition 1) and its dynamics satisfy five structural properties (Proposition 1).</w:t>
      </w:r>
    </w:p>
    <w:p>
      <w:pPr>
        <w:spacing w:line="480" w:after="0" w:before="0"/>
        <w:ind w:firstLine="720"/>
        <w:jc w:val="both"/>
      </w:pPr>
      <w:r>
        <w:rPr>
          <w:rFonts w:ascii="Times New Roman" w:cs="Times New Roman" w:eastAsia="Times New Roman" w:hAnsi="Times New Roman"/>
          <w:sz w:val="24"/>
          <w:szCs w:val="24"/>
        </w:rPr>
        <w:t xml:space="preserve">This definition elevates Constraints and Objectives to first-class elements alongside the traditional plant–actuator–sensor triple. The elevation is not cosmetic: in most control engineering applications, constraints are soft penalties that can be temporarily violated at some cost; in water systems, constraint violation (flooding, ecological destruction, contamination) is irreversible per OS1. This distinction is the formal expression of the operational singularity at the architectural level.</w:t>
      </w:r>
    </w:p>
    <w:p>
      <w:pPr>
        <w:spacing w:line="480" w:after="80" w:before="240"/>
        <w:jc w:val="both"/>
      </w:pPr>
      <w:r>
        <w:rPr>
          <w:rFonts w:ascii="Times New Roman" w:cs="Times New Roman" w:eastAsia="Times New Roman" w:hAnsi="Times New Roman"/>
          <w:b/>
          <w:bCs/>
          <w:sz w:val="26"/>
          <w:szCs w:val="26"/>
        </w:rPr>
        <w:t xml:space="preserve">3.2  Structural Isomorphism</w:t>
      </w:r>
    </w:p>
    <w:p>
      <w:pPr>
        <w:spacing w:line="480" w:after="0" w:before="0"/>
        <w:ind w:firstLine="720"/>
        <w:jc w:val="both"/>
      </w:pPr>
      <w:r>
        <w:rPr>
          <w:rFonts w:ascii="Times New Roman" w:cs="Times New Roman" w:eastAsia="Times New Roman" w:hAnsi="Times New Roman"/>
          <w:sz w:val="24"/>
          <w:szCs w:val="24"/>
        </w:rPr>
        <w:t xml:space="preserve">The foundational claim of CHS is not merely that water systems can be written in state-space form—any physical system can. Rather, we identify five specific structural properties shared across all water subsectors that collectively distinguish the water control problem from other infrastructure domains.</w:t>
      </w:r>
    </w:p>
    <w:p>
      <w:pPr>
        <w:spacing w:line="480" w:after="0" w:before="0"/>
        <w:ind w:firstLine="720"/>
        <w:jc w:val="both"/>
      </w:pPr>
      <w:r>
        <w:rPr>
          <w:rFonts w:ascii="Times New Roman" w:cs="Times New Roman" w:eastAsia="Times New Roman" w:hAnsi="Times New Roman"/>
          <w:b/>
          <w:bCs/>
          <w:i/>
          <w:iCs/>
          <w:sz w:val="24"/>
          <w:szCs w:val="24"/>
        </w:rPr>
        <w:t xml:space="preserve">Proposition 1 (Structural Isomorphism). </w:t>
      </w:r>
      <w:r>
        <w:rPr>
          <w:rFonts w:ascii="Times New Roman" w:cs="Times New Roman" w:eastAsia="Times New Roman" w:hAnsi="Times New Roman"/>
          <w:sz w:val="24"/>
          <w:szCs w:val="24"/>
        </w:rPr>
        <w:t xml:space="preserve">All water conveyance and distribution systems, as defined in Definition 2, share the following five structural properties within a common controlled dynamical system representation:</w:t>
      </w:r>
    </w:p>
    <w:p>
      <w:pPr>
        <w:spacing w:line="480" w:after="40" w:before="0"/>
        <w:ind w:left="1080"/>
        <w:jc w:val="both"/>
      </w:pPr>
      <w:r>
        <w:rPr>
          <w:rFonts w:ascii="Times New Roman" w:cs="Times New Roman" w:eastAsia="Times New Roman" w:hAnsi="Times New Roman"/>
          <w:b/>
          <w:bCs/>
          <w:sz w:val="24"/>
          <w:szCs w:val="24"/>
        </w:rPr>
        <w:t xml:space="preserve">(S1) Hyperbolic conservation-law dynamics: </w:t>
      </w:r>
      <w:r>
        <w:rPr>
          <w:rFonts w:ascii="Times New Roman" w:cs="Times New Roman" w:eastAsia="Times New Roman" w:hAnsi="Times New Roman"/>
          <w:sz w:val="24"/>
          <w:szCs w:val="24"/>
        </w:rPr>
        <w:t xml:space="preserve">dx/dt = f(x, u, d; θ), where f derives from the Saint-Venant equations (open channels), the water hammer equations (pressurized conduits), or their approximations. The hyperbolic character implies finite wave propagation speed and the possibility of shock formation.</w:t>
      </w:r>
    </w:p>
    <w:p>
      <w:pPr>
        <w:spacing w:line="480" w:after="40" w:before="0"/>
        <w:ind w:left="1080"/>
        <w:jc w:val="both"/>
      </w:pPr>
      <w:r>
        <w:rPr>
          <w:rFonts w:ascii="Times New Roman" w:cs="Times New Roman" w:eastAsia="Times New Roman" w:hAnsi="Times New Roman"/>
          <w:b/>
          <w:bCs/>
          <w:sz w:val="24"/>
          <w:szCs w:val="24"/>
        </w:rPr>
        <w:t xml:space="preserve">(S2) Spatially distributed actuators: </w:t>
      </w:r>
      <w:r>
        <w:rPr>
          <w:rFonts w:ascii="Times New Roman" w:cs="Times New Roman" w:eastAsia="Times New Roman" w:hAnsi="Times New Roman"/>
          <w:sz w:val="24"/>
          <w:szCs w:val="24"/>
        </w:rPr>
        <w:t xml:space="preserve">u ∈ U(x; θ) ⊆ ℝᵐ, where actuators (gates, valves, pumps) are physically distributed along the flow path, their number m scaling with system length, and their feasible set U depends on system state x and physical parameters θ.</w:t>
      </w:r>
    </w:p>
    <w:p>
      <w:pPr>
        <w:spacing w:line="480" w:after="40" w:before="0"/>
        <w:ind w:left="1080"/>
        <w:jc w:val="both"/>
      </w:pPr>
      <w:r>
        <w:rPr>
          <w:rFonts w:ascii="Times New Roman" w:cs="Times New Roman" w:eastAsia="Times New Roman" w:hAnsi="Times New Roman"/>
          <w:b/>
          <w:bCs/>
          <w:sz w:val="24"/>
          <w:szCs w:val="24"/>
        </w:rPr>
        <w:t xml:space="preserve">(S3) State-dependent transport delays: </w:t>
      </w:r>
      <w:r>
        <w:rPr>
          <w:rFonts w:ascii="Times New Roman" w:cs="Times New Roman" w:eastAsia="Times New Roman" w:hAnsi="Times New Roman"/>
          <w:sz w:val="24"/>
          <w:szCs w:val="24"/>
        </w:rPr>
        <w:t xml:space="preserve">τᵈ(x), where wave propagation time depends on flow depth and velocity (in open channels via celerity c = √(gA/T)), creating delays that vary with operating conditions.</w:t>
      </w:r>
    </w:p>
    <w:p>
      <w:pPr>
        <w:spacing w:line="480" w:after="40" w:before="0"/>
        <w:ind w:left="1080"/>
        <w:jc w:val="both"/>
      </w:pPr>
      <w:r>
        <w:rPr>
          <w:rFonts w:ascii="Times New Roman" w:cs="Times New Roman" w:eastAsia="Times New Roman" w:hAnsi="Times New Roman"/>
          <w:b/>
          <w:bCs/>
          <w:sz w:val="24"/>
          <w:szCs w:val="24"/>
        </w:rPr>
        <w:t xml:space="preserve">(S4) Hard safety constraints with irreversible violation: </w:t>
      </w:r>
      <w:r>
        <w:rPr>
          <w:rFonts w:ascii="Times New Roman" w:cs="Times New Roman" w:eastAsia="Times New Roman" w:hAnsi="Times New Roman"/>
          <w:sz w:val="24"/>
          <w:szCs w:val="24"/>
        </w:rPr>
        <w:t xml:space="preserve">g(x, u; θ) ≤ 0, where constraint violation triggers irreversible consequences (OS1). These are not soft penalties but absolute barriers in the optimization landscape.</w:t>
      </w:r>
    </w:p>
    <w:p>
      <w:pPr>
        <w:spacing w:line="480" w:after="40" w:before="0"/>
        <w:ind w:left="1080"/>
        <w:jc w:val="both"/>
      </w:pPr>
      <w:r>
        <w:rPr>
          <w:rFonts w:ascii="Times New Roman" w:cs="Times New Roman" w:eastAsia="Times New Roman" w:hAnsi="Times New Roman"/>
          <w:b/>
          <w:bCs/>
          <w:sz w:val="24"/>
          <w:szCs w:val="24"/>
        </w:rPr>
        <w:t xml:space="preserve">(S5) Open-boundary environmental coupling: </w:t>
      </w:r>
      <w:r>
        <w:rPr>
          <w:rFonts w:ascii="Times New Roman" w:cs="Times New Roman" w:eastAsia="Times New Roman" w:hAnsi="Times New Roman"/>
          <w:sz w:val="24"/>
          <w:szCs w:val="24"/>
        </w:rPr>
        <w:t xml:space="preserve">d(t) enters through spatially distributed open boundaries subject to weather, ecology, and geology (OS4), making complete stochastic characterization of disturbances infeasible.</w:t>
      </w:r>
    </w:p>
    <w:p>
      <w:pPr>
        <w:spacing w:line="480" w:after="0" w:before="0"/>
        <w:ind w:firstLine="720"/>
        <w:jc w:val="both"/>
      </w:pPr>
      <w:r>
        <w:rPr>
          <w:rFonts w:ascii="Times New Roman" w:cs="Times New Roman" w:eastAsia="Times New Roman" w:hAnsi="Times New Roman"/>
          <w:sz w:val="24"/>
          <w:szCs w:val="24"/>
        </w:rPr>
        <w:t xml:space="preserve">Properties S1–S3 establish the mathematical form; properties S4–S5 establish the operational context. The structural isomorphism claim is that every water system in Definition 2 possesses all five properties, and that the specific instantiation of each property (which PDE, which actuator type, which constraint) varies across subsectors but the mathematical structure is invariant. This invariance is what enables cross-sector transfer of control methods (Section 6.3).</w:t>
      </w:r>
    </w:p>
    <w:p>
      <w:pPr>
        <w:spacing w:line="480" w:after="80" w:before="240"/>
        <w:jc w:val="both"/>
      </w:pPr>
      <w:r>
        <w:rPr>
          <w:rFonts w:ascii="Times New Roman" w:cs="Times New Roman" w:eastAsia="Times New Roman" w:hAnsi="Times New Roman"/>
          <w:b/>
          <w:bCs/>
          <w:sz w:val="26"/>
          <w:szCs w:val="26"/>
        </w:rPr>
        <w:t xml:space="preserve">3.3  Six-Element Architecture: Cross-Sector Instantiation</w:t>
      </w:r>
    </w:p>
    <w:p>
      <w:pPr>
        <w:spacing w:line="480" w:after="0" w:before="0"/>
        <w:ind w:firstLine="720"/>
        <w:jc w:val="both"/>
      </w:pPr>
      <w:r>
        <w:rPr>
          <w:rFonts w:ascii="Times New Roman" w:cs="Times New Roman" w:eastAsia="Times New Roman" w:hAnsi="Times New Roman"/>
          <w:sz w:val="24"/>
          <w:szCs w:val="24"/>
        </w:rPr>
        <w:t xml:space="preserve">Table 2 demonstrates the six-element structure (Definition 2) across five water subsectors. Lei (2025a) first noted this isomorphism for four subsectors; Table 2 extends to include inter-basin transfer as a fifth domain. The isomorphism implies that methods developed in canal automation—where the most mature control theory exists—are systematically transferable to hydropower cascade scheduling, urban pressure management, navigation waterway regulation, and inter-basin transfer coordination.</w:t>
      </w:r>
    </w:p>
    <w:p>
      <w:pPr>
        <w:spacing w:line="480" w:after="60" w:before="120"/>
        <w:jc w:val="center"/>
      </w:pPr>
      <w:r>
        <w:rPr>
          <w:rFonts w:ascii="Times New Roman" w:cs="Times New Roman" w:eastAsia="Times New Roman" w:hAnsi="Times New Roman"/>
          <w:b/>
          <w:bCs/>
          <w:i/>
          <w:iCs/>
          <w:sz w:val="24"/>
          <w:szCs w:val="24"/>
        </w:rPr>
        <w:t xml:space="preserve">[Figure 1 about here]</w:t>
      </w:r>
    </w:p>
    <w:p>
      <w:pPr>
        <w:spacing w:line="480" w:after="0" w:before="0"/>
        <w:jc w:val="both"/>
      </w:pPr>
      <w:r>
        <w:rPr>
          <w:rFonts w:ascii="Times New Roman" w:cs="Times New Roman" w:eastAsia="Times New Roman" w:hAnsi="Times New Roman"/>
          <w:sz w:val="24"/>
          <w:szCs w:val="24"/>
        </w:rPr>
        <w:t xml:space="preserve"/>
      </w:r>
    </w:p>
    <w:p>
      <w:pPr>
        <w:spacing w:line="280" w:after="100" w:before="0"/>
        <w:jc w:val="both"/>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i/>
          <w:iCs/>
          <w:sz w:val="24"/>
          <w:szCs w:val="24"/>
        </w:rPr>
        <w:t xml:space="preserve">Six-element controlled dynamical system structure across five water subsectors, demonstrating structural isomorphism (Proposition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Element</w:t>
            </w:r>
          </w:p>
        </w:tc>
        <w:tc>
          <w:tcPr>
            <w:tcW w:type="dxa" w:w="156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Irrigation</w:t>
            </w:r>
            <w:r>
              <w:br/>
            </w:r>
            <w:r>
              <w:rPr>
                <w:rFonts w:ascii="Times New Roman" w:cs="Times New Roman" w:eastAsia="Times New Roman" w:hAnsi="Times New Roman"/>
                <w:b/>
                <w:bCs/>
                <w:sz w:val="20"/>
                <w:szCs w:val="20"/>
              </w:rPr>
              <w:t xml:space="preserve">Canal</w:t>
            </w:r>
          </w:p>
        </w:tc>
        <w:tc>
          <w:tcPr>
            <w:tcW w:type="dxa" w:w="156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Hydropower</w:t>
            </w:r>
            <w:r>
              <w:br/>
            </w:r>
            <w:r>
              <w:rPr>
                <w:rFonts w:ascii="Times New Roman" w:cs="Times New Roman" w:eastAsia="Times New Roman" w:hAnsi="Times New Roman"/>
                <w:b/>
                <w:bCs/>
                <w:sz w:val="20"/>
                <w:szCs w:val="20"/>
              </w:rPr>
              <w:t xml:space="preserve">Cascade</w:t>
            </w:r>
          </w:p>
        </w:tc>
        <w:tc>
          <w:tcPr>
            <w:tcW w:type="dxa" w:w="156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Urban Water</w:t>
            </w:r>
            <w:r>
              <w:br/>
            </w:r>
            <w:r>
              <w:rPr>
                <w:rFonts w:ascii="Times New Roman" w:cs="Times New Roman" w:eastAsia="Times New Roman" w:hAnsi="Times New Roman"/>
                <w:b/>
                <w:bCs/>
                <w:sz w:val="20"/>
                <w:szCs w:val="20"/>
              </w:rPr>
              <w:t xml:space="preserve">Supply</w:t>
            </w:r>
          </w:p>
        </w:tc>
        <w:tc>
          <w:tcPr>
            <w:tcW w:type="dxa" w:w="156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Inland</w:t>
            </w:r>
            <w:r>
              <w:br/>
            </w:r>
            <w:r>
              <w:rPr>
                <w:rFonts w:ascii="Times New Roman" w:cs="Times New Roman" w:eastAsia="Times New Roman" w:hAnsi="Times New Roman"/>
                <w:b/>
                <w:bCs/>
                <w:sz w:val="20"/>
                <w:szCs w:val="20"/>
              </w:rPr>
              <w:t xml:space="preserve">Waterway</w:t>
            </w:r>
          </w:p>
        </w:tc>
        <w:tc>
          <w:tcPr>
            <w:tcW w:type="dxa" w:w="156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Inter-Basin</w:t>
            </w:r>
            <w:r>
              <w:br/>
            </w:r>
            <w:r>
              <w:rPr>
                <w:rFonts w:ascii="Times New Roman" w:cs="Times New Roman" w:eastAsia="Times New Roman" w:hAnsi="Times New Roman"/>
                <w:b/>
                <w:bCs/>
                <w:sz w:val="20"/>
                <w:szCs w:val="20"/>
              </w:rPr>
              <w:t xml:space="preserve">Transfer</w:t>
            </w:r>
          </w:p>
        </w:tc>
      </w:tr>
      <w:tr>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Plant (P)</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Saint-Venant</w:t>
            </w:r>
            <w:r>
              <w:br/>
            </w:r>
            <w:r>
              <w:rPr>
                <w:rFonts w:ascii="Times New Roman" w:cs="Times New Roman" w:eastAsia="Times New Roman" w:hAnsi="Times New Roman"/>
                <w:sz w:val="20"/>
                <w:szCs w:val="20"/>
              </w:rPr>
              <w:t xml:space="preserve">open-channel</w:t>
            </w:r>
            <w:r>
              <w:br/>
            </w:r>
            <w:r>
              <w:rPr>
                <w:rFonts w:ascii="Times New Roman" w:cs="Times New Roman" w:eastAsia="Times New Roman" w:hAnsi="Times New Roman"/>
                <w:sz w:val="20"/>
                <w:szCs w:val="20"/>
              </w:rPr>
              <w:t xml:space="preserve">unsteady flow</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Reservoir storage</w:t>
            </w:r>
            <w:r>
              <w:br/>
            </w:r>
            <w:r>
              <w:rPr>
                <w:rFonts w:ascii="Times New Roman" w:cs="Times New Roman" w:eastAsia="Times New Roman" w:hAnsi="Times New Roman"/>
                <w:sz w:val="20"/>
                <w:szCs w:val="20"/>
              </w:rPr>
              <w:t xml:space="preserve">+ turbine</w:t>
            </w:r>
            <w:r>
              <w:br/>
            </w:r>
            <w:r>
              <w:rPr>
                <w:rFonts w:ascii="Times New Roman" w:cs="Times New Roman" w:eastAsia="Times New Roman" w:hAnsi="Times New Roman"/>
                <w:sz w:val="20"/>
                <w:szCs w:val="20"/>
              </w:rPr>
              <w:t xml:space="preserve">characteristics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Pressurized pipe</w:t>
            </w:r>
            <w:r>
              <w:br/>
            </w:r>
            <w:r>
              <w:rPr>
                <w:rFonts w:ascii="Times New Roman" w:cs="Times New Roman" w:eastAsia="Times New Roman" w:hAnsi="Times New Roman"/>
                <w:sz w:val="20"/>
                <w:szCs w:val="20"/>
              </w:rPr>
              <w:t xml:space="preserve">network (water</w:t>
            </w:r>
            <w:r>
              <w:br/>
            </w:r>
            <w:r>
              <w:rPr>
                <w:rFonts w:ascii="Times New Roman" w:cs="Times New Roman" w:eastAsia="Times New Roman" w:hAnsi="Times New Roman"/>
                <w:sz w:val="20"/>
                <w:szCs w:val="20"/>
              </w:rPr>
              <w:t xml:space="preserve">hammer eqs.)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Saint-Venant</w:t>
            </w:r>
            <w:r>
              <w:br/>
            </w:r>
            <w:r>
              <w:rPr>
                <w:rFonts w:ascii="Times New Roman" w:cs="Times New Roman" w:eastAsia="Times New Roman" w:hAnsi="Times New Roman"/>
                <w:sz w:val="20"/>
                <w:szCs w:val="20"/>
              </w:rPr>
              <w:t xml:space="preserve">with vessel-</w:t>
            </w:r>
            <w:r>
              <w:br/>
            </w:r>
            <w:r>
              <w:rPr>
                <w:rFonts w:ascii="Times New Roman" w:cs="Times New Roman" w:eastAsia="Times New Roman" w:hAnsi="Times New Roman"/>
                <w:sz w:val="20"/>
                <w:szCs w:val="20"/>
              </w:rPr>
              <w:t xml:space="preserve">induced waves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Saint-Venant</w:t>
            </w:r>
            <w:r>
              <w:br/>
            </w:r>
            <w:r>
              <w:rPr>
                <w:rFonts w:ascii="Times New Roman" w:cs="Times New Roman" w:eastAsia="Times New Roman" w:hAnsi="Times New Roman"/>
                <w:sz w:val="20"/>
                <w:szCs w:val="20"/>
              </w:rPr>
              <w:t xml:space="preserve">+ pipe flow</w:t>
            </w:r>
            <w:r>
              <w:br/>
            </w:r>
            <w:r>
              <w:rPr>
                <w:rFonts w:ascii="Times New Roman" w:cs="Times New Roman" w:eastAsia="Times New Roman" w:hAnsi="Times New Roman"/>
                <w:sz w:val="20"/>
                <w:szCs w:val="20"/>
              </w:rPr>
              <w:t xml:space="preserve">(hybrid)</w:t>
            </w:r>
          </w:p>
        </w:tc>
      </w:tr>
      <w:tr>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Actuator (A)</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Check gates,</w:t>
            </w:r>
            <w:r>
              <w:br/>
            </w:r>
            <w:r>
              <w:rPr>
                <w:rFonts w:ascii="Times New Roman" w:cs="Times New Roman" w:eastAsia="Times New Roman" w:hAnsi="Times New Roman"/>
                <w:sz w:val="20"/>
                <w:szCs w:val="20"/>
              </w:rPr>
              <w:t xml:space="preserve">radial gates,</w:t>
            </w:r>
            <w:r>
              <w:br/>
            </w:r>
            <w:r>
              <w:rPr>
                <w:rFonts w:ascii="Times New Roman" w:cs="Times New Roman" w:eastAsia="Times New Roman" w:hAnsi="Times New Roman"/>
                <w:sz w:val="20"/>
                <w:szCs w:val="20"/>
              </w:rPr>
              <w:t xml:space="preserve">turnouts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Turbine wicket</w:t>
            </w:r>
            <w:r>
              <w:br/>
            </w:r>
            <w:r>
              <w:rPr>
                <w:rFonts w:ascii="Times New Roman" w:cs="Times New Roman" w:eastAsia="Times New Roman" w:hAnsi="Times New Roman"/>
                <w:sz w:val="20"/>
                <w:szCs w:val="20"/>
              </w:rPr>
              <w:t xml:space="preserve">gates, spillway</w:t>
            </w:r>
            <w:r>
              <w:br/>
            </w:r>
            <w:r>
              <w:rPr>
                <w:rFonts w:ascii="Times New Roman" w:cs="Times New Roman" w:eastAsia="Times New Roman" w:hAnsi="Times New Roman"/>
                <w:sz w:val="20"/>
                <w:szCs w:val="20"/>
              </w:rPr>
              <w:t xml:space="preserve">gates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Valves, VFD</w:t>
            </w:r>
            <w:r>
              <w:br/>
            </w:r>
            <w:r>
              <w:rPr>
                <w:rFonts w:ascii="Times New Roman" w:cs="Times New Roman" w:eastAsia="Times New Roman" w:hAnsi="Times New Roman"/>
                <w:sz w:val="20"/>
                <w:szCs w:val="20"/>
              </w:rPr>
              <w:t xml:space="preserve">pumps, PRVs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Lock gates,</w:t>
            </w:r>
            <w:r>
              <w:br/>
            </w:r>
            <w:r>
              <w:rPr>
                <w:rFonts w:ascii="Times New Roman" w:cs="Times New Roman" w:eastAsia="Times New Roman" w:hAnsi="Times New Roman"/>
                <w:sz w:val="20"/>
                <w:szCs w:val="20"/>
              </w:rPr>
              <w:t xml:space="preserve">weirs, barrage</w:t>
            </w:r>
            <w:r>
              <w:br/>
            </w:r>
            <w:r>
              <w:rPr>
                <w:rFonts w:ascii="Times New Roman" w:cs="Times New Roman" w:eastAsia="Times New Roman" w:hAnsi="Times New Roman"/>
                <w:sz w:val="20"/>
                <w:szCs w:val="20"/>
              </w:rPr>
              <w:t xml:space="preserve">gates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Gates, pumps,</w:t>
            </w:r>
            <w:r>
              <w:br/>
            </w:r>
            <w:r>
              <w:rPr>
                <w:rFonts w:ascii="Times New Roman" w:cs="Times New Roman" w:eastAsia="Times New Roman" w:hAnsi="Times New Roman"/>
                <w:sz w:val="20"/>
                <w:szCs w:val="20"/>
              </w:rPr>
              <w:t xml:space="preserve">tunnels, inverted</w:t>
            </w:r>
            <w:r>
              <w:br/>
            </w:r>
            <w:r>
              <w:rPr>
                <w:rFonts w:ascii="Times New Roman" w:cs="Times New Roman" w:eastAsia="Times New Roman" w:hAnsi="Times New Roman"/>
                <w:sz w:val="20"/>
                <w:szCs w:val="20"/>
              </w:rPr>
              <w:t xml:space="preserve">siphons</w:t>
            </w:r>
          </w:p>
        </w:tc>
      </w:tr>
      <w:tr>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Sensor (S)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Water level</w:t>
            </w:r>
            <w:r>
              <w:br/>
            </w:r>
            <w:r>
              <w:rPr>
                <w:rFonts w:ascii="Times New Roman" w:cs="Times New Roman" w:eastAsia="Times New Roman" w:hAnsi="Times New Roman"/>
                <w:sz w:val="20"/>
                <w:szCs w:val="20"/>
              </w:rPr>
              <w:t xml:space="preserve">gauges, flow</w:t>
            </w:r>
            <w:r>
              <w:br/>
            </w:r>
            <w:r>
              <w:rPr>
                <w:rFonts w:ascii="Times New Roman" w:cs="Times New Roman" w:eastAsia="Times New Roman" w:hAnsi="Times New Roman"/>
                <w:sz w:val="20"/>
                <w:szCs w:val="20"/>
              </w:rPr>
              <w:t xml:space="preserve">meters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Reservoir level,</w:t>
            </w:r>
            <w:r>
              <w:br/>
            </w:r>
            <w:r>
              <w:rPr>
                <w:rFonts w:ascii="Times New Roman" w:cs="Times New Roman" w:eastAsia="Times New Roman" w:hAnsi="Times New Roman"/>
                <w:sz w:val="20"/>
                <w:szCs w:val="20"/>
              </w:rPr>
              <w:t xml:space="preserve">turbine flow,</w:t>
            </w:r>
            <w:r>
              <w:br/>
            </w:r>
            <w:r>
              <w:rPr>
                <w:rFonts w:ascii="Times New Roman" w:cs="Times New Roman" w:eastAsia="Times New Roman" w:hAnsi="Times New Roman"/>
                <w:sz w:val="20"/>
                <w:szCs w:val="20"/>
              </w:rPr>
              <w:t xml:space="preserve">power meters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Pressure sensors,</w:t>
            </w:r>
            <w:r>
              <w:br/>
            </w:r>
            <w:r>
              <w:rPr>
                <w:rFonts w:ascii="Times New Roman" w:cs="Times New Roman" w:eastAsia="Times New Roman" w:hAnsi="Times New Roman"/>
                <w:sz w:val="20"/>
                <w:szCs w:val="20"/>
              </w:rPr>
              <w:t xml:space="preserve">flow meters,</w:t>
            </w:r>
            <w:r>
              <w:br/>
            </w:r>
            <w:r>
              <w:rPr>
                <w:rFonts w:ascii="Times New Roman" w:cs="Times New Roman" w:eastAsia="Times New Roman" w:hAnsi="Times New Roman"/>
                <w:sz w:val="20"/>
                <w:szCs w:val="20"/>
              </w:rPr>
              <w:t xml:space="preserve">AMI meters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Water level,</w:t>
            </w:r>
            <w:r>
              <w:br/>
            </w:r>
            <w:r>
              <w:rPr>
                <w:rFonts w:ascii="Times New Roman" w:cs="Times New Roman" w:eastAsia="Times New Roman" w:hAnsi="Times New Roman"/>
                <w:sz w:val="20"/>
                <w:szCs w:val="20"/>
              </w:rPr>
              <w:t xml:space="preserve">lock position</w:t>
            </w:r>
            <w:r>
              <w:br/>
            </w:r>
            <w:r>
              <w:rPr>
                <w:rFonts w:ascii="Times New Roman" w:cs="Times New Roman" w:eastAsia="Times New Roman" w:hAnsi="Times New Roman"/>
                <w:sz w:val="20"/>
                <w:szCs w:val="20"/>
              </w:rPr>
              <w:t xml:space="preserve">sensors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Multi-point level,</w:t>
            </w:r>
            <w:r>
              <w:br/>
            </w:r>
            <w:r>
              <w:rPr>
                <w:rFonts w:ascii="Times New Roman" w:cs="Times New Roman" w:eastAsia="Times New Roman" w:hAnsi="Times New Roman"/>
                <w:sz w:val="20"/>
                <w:szCs w:val="20"/>
              </w:rPr>
              <w:t xml:space="preserve">flow, and quality</w:t>
            </w:r>
            <w:r>
              <w:br/>
            </w:r>
            <w:r>
              <w:rPr>
                <w:rFonts w:ascii="Times New Roman" w:cs="Times New Roman" w:eastAsia="Times New Roman" w:hAnsi="Times New Roman"/>
                <w:sz w:val="20"/>
                <w:szCs w:val="20"/>
              </w:rPr>
              <w:t xml:space="preserve">sensors</w:t>
            </w:r>
          </w:p>
        </w:tc>
      </w:tr>
      <w:tr>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Disturbance (D)</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Rainfall-runoff,</w:t>
            </w:r>
            <w:r>
              <w:br/>
            </w:r>
            <w:r>
              <w:rPr>
                <w:rFonts w:ascii="Times New Roman" w:cs="Times New Roman" w:eastAsia="Times New Roman" w:hAnsi="Times New Roman"/>
                <w:sz w:val="20"/>
                <w:szCs w:val="20"/>
              </w:rPr>
              <w:t xml:space="preserve">crop demand</w:t>
            </w:r>
            <w:r>
              <w:br/>
            </w:r>
            <w:r>
              <w:rPr>
                <w:rFonts w:ascii="Times New Roman" w:cs="Times New Roman" w:eastAsia="Times New Roman" w:hAnsi="Times New Roman"/>
                <w:sz w:val="20"/>
                <w:szCs w:val="20"/>
              </w:rPr>
              <w:t xml:space="preserve">variability</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Hydrological</w:t>
            </w:r>
            <w:r>
              <w:br/>
            </w:r>
            <w:r>
              <w:rPr>
                <w:rFonts w:ascii="Times New Roman" w:cs="Times New Roman" w:eastAsia="Times New Roman" w:hAnsi="Times New Roman"/>
                <w:sz w:val="20"/>
                <w:szCs w:val="20"/>
              </w:rPr>
              <w:t xml:space="preserve">inflows, price</w:t>
            </w:r>
            <w:r>
              <w:br/>
            </w:r>
            <w:r>
              <w:rPr>
                <w:rFonts w:ascii="Times New Roman" w:cs="Times New Roman" w:eastAsia="Times New Roman" w:hAnsi="Times New Roman"/>
                <w:sz w:val="20"/>
                <w:szCs w:val="20"/>
              </w:rPr>
              <w:t xml:space="preserve">signals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Demand variation,</w:t>
            </w:r>
            <w:r>
              <w:br/>
            </w:r>
            <w:r>
              <w:rPr>
                <w:rFonts w:ascii="Times New Roman" w:cs="Times New Roman" w:eastAsia="Times New Roman" w:hAnsi="Times New Roman"/>
                <w:sz w:val="20"/>
                <w:szCs w:val="20"/>
              </w:rPr>
              <w:t xml:space="preserve">pipe bursts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Flood events,</w:t>
            </w:r>
            <w:r>
              <w:br/>
            </w:r>
            <w:r>
              <w:rPr>
                <w:rFonts w:ascii="Times New Roman" w:cs="Times New Roman" w:eastAsia="Times New Roman" w:hAnsi="Times New Roman"/>
                <w:sz w:val="20"/>
                <w:szCs w:val="20"/>
              </w:rPr>
              <w:t xml:space="preserve">vessel traffic</w:t>
            </w:r>
            <w:r>
              <w:br/>
            </w:r>
            <w:r>
              <w:rPr>
                <w:rFonts w:ascii="Times New Roman" w:cs="Times New Roman" w:eastAsia="Times New Roman" w:hAnsi="Times New Roman"/>
                <w:sz w:val="20"/>
                <w:szCs w:val="20"/>
              </w:rPr>
              <w:t xml:space="preserve">patterns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Source variability,</w:t>
            </w:r>
            <w:r>
              <w:br/>
            </w:r>
            <w:r>
              <w:rPr>
                <w:rFonts w:ascii="Times New Roman" w:cs="Times New Roman" w:eastAsia="Times New Roman" w:hAnsi="Times New Roman"/>
                <w:sz w:val="20"/>
                <w:szCs w:val="20"/>
              </w:rPr>
              <w:t xml:space="preserve">multi-user</w:t>
            </w:r>
            <w:r>
              <w:br/>
            </w:r>
            <w:r>
              <w:rPr>
                <w:rFonts w:ascii="Times New Roman" w:cs="Times New Roman" w:eastAsia="Times New Roman" w:hAnsi="Times New Roman"/>
                <w:sz w:val="20"/>
                <w:szCs w:val="20"/>
              </w:rPr>
              <w:t xml:space="preserve">demand</w:t>
            </w:r>
          </w:p>
        </w:tc>
      </w:tr>
      <w:tr>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Constraint (C)</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Max/min canal</w:t>
            </w:r>
            <w:r>
              <w:br/>
            </w:r>
            <w:r>
              <w:rPr>
                <w:rFonts w:ascii="Times New Roman" w:cs="Times New Roman" w:eastAsia="Times New Roman" w:hAnsi="Times New Roman"/>
                <w:sz w:val="20"/>
                <w:szCs w:val="20"/>
              </w:rPr>
              <w:t xml:space="preserve">levels, delivery</w:t>
            </w:r>
            <w:r>
              <w:br/>
            </w:r>
            <w:r>
              <w:rPr>
                <w:rFonts w:ascii="Times New Roman" w:cs="Times New Roman" w:eastAsia="Times New Roman" w:hAnsi="Times New Roman"/>
                <w:sz w:val="20"/>
                <w:szCs w:val="20"/>
              </w:rPr>
              <w:t xml:space="preserve">targets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Min ecological</w:t>
            </w:r>
            <w:r>
              <w:br/>
            </w:r>
            <w:r>
              <w:rPr>
                <w:rFonts w:ascii="Times New Roman" w:cs="Times New Roman" w:eastAsia="Times New Roman" w:hAnsi="Times New Roman"/>
                <w:sz w:val="20"/>
                <w:szCs w:val="20"/>
              </w:rPr>
              <w:t xml:space="preserve">flow, max/min</w:t>
            </w:r>
            <w:r>
              <w:br/>
            </w:r>
            <w:r>
              <w:rPr>
                <w:rFonts w:ascii="Times New Roman" w:cs="Times New Roman" w:eastAsia="Times New Roman" w:hAnsi="Times New Roman"/>
                <w:sz w:val="20"/>
                <w:szCs w:val="20"/>
              </w:rPr>
              <w:t xml:space="preserve">reservoir levels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Min pressure</w:t>
            </w:r>
            <w:r>
              <w:br/>
            </w:r>
            <w:r>
              <w:rPr>
                <w:rFonts w:ascii="Times New Roman" w:cs="Times New Roman" w:eastAsia="Times New Roman" w:hAnsi="Times New Roman"/>
                <w:sz w:val="20"/>
                <w:szCs w:val="20"/>
              </w:rPr>
              <w:t xml:space="preserve">head, max</w:t>
            </w:r>
            <w:r>
              <w:br/>
            </w:r>
            <w:r>
              <w:rPr>
                <w:rFonts w:ascii="Times New Roman" w:cs="Times New Roman" w:eastAsia="Times New Roman" w:hAnsi="Times New Roman"/>
                <w:sz w:val="20"/>
                <w:szCs w:val="20"/>
              </w:rPr>
              <w:t xml:space="preserve">leakage</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Navigation depth,</w:t>
            </w:r>
            <w:r>
              <w:br/>
            </w:r>
            <w:r>
              <w:rPr>
                <w:rFonts w:ascii="Times New Roman" w:cs="Times New Roman" w:eastAsia="Times New Roman" w:hAnsi="Times New Roman"/>
                <w:sz w:val="20"/>
                <w:szCs w:val="20"/>
              </w:rPr>
              <w:t xml:space="preserve">flood control</w:t>
            </w:r>
            <w:r>
              <w:br/>
            </w:r>
            <w:r>
              <w:rPr>
                <w:rFonts w:ascii="Times New Roman" w:cs="Times New Roman" w:eastAsia="Times New Roman" w:hAnsi="Times New Roman"/>
                <w:sz w:val="20"/>
                <w:szCs w:val="20"/>
              </w:rPr>
              <w:t xml:space="preserve">levels</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Min ecological</w:t>
            </w:r>
            <w:r>
              <w:br/>
            </w:r>
            <w:r>
              <w:rPr>
                <w:rFonts w:ascii="Times New Roman" w:cs="Times New Roman" w:eastAsia="Times New Roman" w:hAnsi="Times New Roman"/>
                <w:sz w:val="20"/>
                <w:szCs w:val="20"/>
              </w:rPr>
              <w:t xml:space="preserve">flow, max level,</w:t>
            </w:r>
            <w:r>
              <w:br/>
            </w:r>
            <w:r>
              <w:rPr>
                <w:rFonts w:ascii="Times New Roman" w:cs="Times New Roman" w:eastAsia="Times New Roman" w:hAnsi="Times New Roman"/>
                <w:sz w:val="20"/>
                <w:szCs w:val="20"/>
              </w:rPr>
              <w:t xml:space="preserve">ice limits</w:t>
            </w:r>
          </w:p>
        </w:tc>
      </w:tr>
      <w:tr>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Objective (O)</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Delivery equity,</w:t>
            </w:r>
            <w:r>
              <w:br/>
            </w:r>
            <w:r>
              <w:rPr>
                <w:rFonts w:ascii="Times New Roman" w:cs="Times New Roman" w:eastAsia="Times New Roman" w:hAnsi="Times New Roman"/>
                <w:sz w:val="20"/>
                <w:szCs w:val="20"/>
              </w:rPr>
              <w:t xml:space="preserve">water productivity</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Energy revenue,</w:t>
            </w:r>
            <w:r>
              <w:br/>
            </w:r>
            <w:r>
              <w:rPr>
                <w:rFonts w:ascii="Times New Roman" w:cs="Times New Roman" w:eastAsia="Times New Roman" w:hAnsi="Times New Roman"/>
                <w:sz w:val="20"/>
                <w:szCs w:val="20"/>
              </w:rPr>
              <w:t xml:space="preserve">flood control,</w:t>
            </w:r>
            <w:r>
              <w:br/>
            </w:r>
            <w:r>
              <w:rPr>
                <w:rFonts w:ascii="Times New Roman" w:cs="Times New Roman" w:eastAsia="Times New Roman" w:hAnsi="Times New Roman"/>
                <w:sz w:val="20"/>
                <w:szCs w:val="20"/>
              </w:rPr>
              <w:t xml:space="preserve">ecological flow</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Pressure stability,</w:t>
            </w:r>
            <w:r>
              <w:br/>
            </w:r>
            <w:r>
              <w:rPr>
                <w:rFonts w:ascii="Times New Roman" w:cs="Times New Roman" w:eastAsia="Times New Roman" w:hAnsi="Times New Roman"/>
                <w:sz w:val="20"/>
                <w:szCs w:val="20"/>
              </w:rPr>
              <w:t xml:space="preserve">energy efficiency</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Lock throughput,</w:t>
            </w:r>
            <w:r>
              <w:br/>
            </w:r>
            <w:r>
              <w:rPr>
                <w:rFonts w:ascii="Times New Roman" w:cs="Times New Roman" w:eastAsia="Times New Roman" w:hAnsi="Times New Roman"/>
                <w:sz w:val="20"/>
                <w:szCs w:val="20"/>
              </w:rPr>
              <w:t xml:space="preserve">flood safety</w:t>
            </w:r>
          </w:p>
        </w:tc>
        <w:tc>
          <w:tcPr>
            <w:tcW w:type="dxa" w:w="15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Reliable transfer,</w:t>
            </w:r>
            <w:r>
              <w:br/>
            </w:r>
            <w:r>
              <w:rPr>
                <w:rFonts w:ascii="Times New Roman" w:cs="Times New Roman" w:eastAsia="Times New Roman" w:hAnsi="Times New Roman"/>
                <w:sz w:val="20"/>
                <w:szCs w:val="20"/>
              </w:rPr>
              <w:t xml:space="preserve">energy min,</w:t>
            </w:r>
            <w:r>
              <w:br/>
            </w:r>
            <w:r>
              <w:rPr>
                <w:rFonts w:ascii="Times New Roman" w:cs="Times New Roman" w:eastAsia="Times New Roman" w:hAnsi="Times New Roman"/>
                <w:sz w:val="20"/>
                <w:szCs w:val="20"/>
              </w:rPr>
              <w:t xml:space="preserve">water quality</w:t>
            </w:r>
          </w:p>
        </w:tc>
      </w:tr>
    </w:tbl>
    <w:p>
      <w:pPr>
        <w:spacing w:line="480" w:after="0" w:before="0"/>
        <w:jc w:val="both"/>
      </w:pPr>
      <w:r>
        <w:rPr>
          <w:rFonts w:ascii="Times New Roman" w:cs="Times New Roman" w:eastAsia="Times New Roman" w:hAnsi="Times New Roman"/>
          <w:sz w:val="24"/>
          <w:szCs w:val="24"/>
        </w:rPr>
        <w:t xml:space="preserve"/>
      </w:r>
    </w:p>
    <w:p>
      <w:pPr>
        <w:spacing w:line="480" w:after="120" w:before="360"/>
        <w:jc w:val="both"/>
      </w:pPr>
      <w:r>
        <w:rPr>
          <w:rFonts w:ascii="Times New Roman" w:cs="Times New Roman" w:eastAsia="Times New Roman" w:hAnsi="Times New Roman"/>
          <w:b/>
          <w:bCs/>
          <w:sz w:val="28"/>
          <w:szCs w:val="28"/>
        </w:rPr>
        <w:t xml:space="preserve">4  The Unified Model Hierarchy</w:t>
      </w:r>
    </w:p>
    <w:p>
      <w:pPr>
        <w:spacing w:line="480" w:after="0" w:before="0"/>
        <w:ind w:firstLine="720"/>
        <w:jc w:val="both"/>
      </w:pPr>
      <w:r>
        <w:rPr>
          <w:rFonts w:ascii="Times New Roman" w:cs="Times New Roman" w:eastAsia="Times New Roman" w:hAnsi="Times New Roman"/>
          <w:sz w:val="24"/>
          <w:szCs w:val="24"/>
        </w:rPr>
        <w:t xml:space="preserve">The structural isomorphism of Proposition 1 establishes that all water systems share the same mathematical form. A natural question follows: at what level of model complexity should control be designed? The answer is not a single level but a hierarchy. This section develops the unified model hierarchy—the mathematical backbone of CHS—establishing that all existing low-order hydrodynamic models used across water infrastructure, from the Muskingum method in watershed hydrology to the IDZ model in canal automation to the compliance model in pressurized networks, are special cases of a single parametric transfer function family, distinguished only by physical parameter settings and the nature of the downstream boundary condition.</w:t>
      </w:r>
    </w:p>
    <w:p>
      <w:pPr>
        <w:spacing w:line="480" w:after="80" w:before="240"/>
        <w:jc w:val="both"/>
      </w:pPr>
      <w:r>
        <w:rPr>
          <w:rFonts w:ascii="Times New Roman" w:cs="Times New Roman" w:eastAsia="Times New Roman" w:hAnsi="Times New Roman"/>
          <w:b/>
          <w:bCs/>
          <w:sz w:val="26"/>
          <w:szCs w:val="26"/>
        </w:rPr>
        <w:t xml:space="preserve">4.1  The Diffusion Wave: Common Ancestor of All Low-Order Models</w:t>
      </w:r>
    </w:p>
    <w:p>
      <w:pPr>
        <w:spacing w:line="480" w:after="0" w:before="0"/>
        <w:ind w:firstLine="720"/>
        <w:jc w:val="both"/>
      </w:pPr>
      <w:r>
        <w:rPr>
          <w:rFonts w:ascii="Times New Roman" w:cs="Times New Roman" w:eastAsia="Times New Roman" w:hAnsi="Times New Roman"/>
          <w:sz w:val="24"/>
          <w:szCs w:val="24"/>
        </w:rPr>
        <w:t xml:space="preserve">The one-dimensional Saint-Venant equations govern unsteady flow in open channels. The full momentum equation includes local inertia (∂Q/∂t), convective inertia (∂(Q²/A)/∂x), the pressure gradient (gA∂h/∂x), gravity (gAS₀), and friction (gASᶠ). For pressurized systems, the water hammer equations (Wylie &amp; Streeter, 1993) serve the same role, with piezometric head H replacing depth h and acoustic wave speed a replacing the gravity wave celerity c.</w:t>
      </w:r>
    </w:p>
    <w:p>
      <w:pPr>
        <w:spacing w:line="480" w:after="0" w:before="0"/>
        <w:ind w:firstLine="720"/>
        <w:jc w:val="both"/>
      </w:pPr>
      <w:r>
        <w:rPr>
          <w:rFonts w:ascii="Times New Roman" w:cs="Times New Roman" w:eastAsia="Times New Roman" w:hAnsi="Times New Roman"/>
          <w:sz w:val="24"/>
          <w:szCs w:val="24"/>
        </w:rPr>
        <w:t xml:space="preserve">The diffusion wave approximation, introduced by Hayami (1951), drops both inertia terms from the momentum equation, retaining only the balance between friction slope and water surface slope: Sᶠ = S₀ − ∂h/∂x. Combined with the continuity equation and linearized about a reference state (Q₀, A₀), this yields the advection-diffusion PDE:</w:t>
      </w:r>
    </w:p>
    <w:p>
      <w:pPr>
        <w:spacing w:line="480" w:before="160" w:after="160"/>
        <w:jc w:val="center"/>
      </w:pPr>
      <w:r>
        <w:drawing>
          <wp:inline distT="0" distB="0" distL="0" distR="0">
            <wp:extent cx="12001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00150" cy="276225"/>
                    </a:xfrm>
                    <a:prstGeom prst="rect">
                      <a:avLst/>
                    </a:prstGeom>
                  </pic:spPr>
                </pic:pic>
              </a:graphicData>
            </a:graphic>
          </wp:inline>
        </w:drawing>
      </w:r>
      <w:r>
        <w:rPr>
          <w:rFonts w:ascii="Times New Roman" w:cs="Times New Roman" w:eastAsia="Times New Roman" w:hAnsi="Times New Roman"/>
          <w:sz w:val="24"/>
          <w:szCs w:val="24"/>
        </w:rPr>
        <w:t xml:space="preserve">	(1)</w:t>
      </w:r>
    </w:p>
    <w:p>
      <w:pPr>
        <w:spacing w:line="480" w:after="0" w:before="0"/>
        <w:ind w:firstLine="720"/>
        <w:jc w:val="both"/>
      </w:pPr>
      <w:r>
        <w:rPr>
          <w:rFonts w:ascii="Times New Roman" w:cs="Times New Roman" w:eastAsia="Times New Roman" w:hAnsi="Times New Roman"/>
          <w:sz w:val="24"/>
          <w:szCs w:val="24"/>
        </w:rPr>
        <w:t xml:space="preserve">where c = dQ/dA is the Seddon kinematic wave celerity (equal to (5/3)V₀ for Manning friction in wide channels), and D is the hydraulic diffusivity, derived by Hayami (1951) as:</w:t>
      </w:r>
    </w:p>
    <w:p>
      <w:pPr>
        <w:spacing w:line="480" w:before="160" w:after="160"/>
        <w:jc w:val="center"/>
      </w:pPr>
      <w:r>
        <w:drawing>
          <wp:inline distT="0" distB="0" distL="0" distR="0">
            <wp:extent cx="105727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57275" cy="276225"/>
                    </a:xfrm>
                    <a:prstGeom prst="rect">
                      <a:avLst/>
                    </a:prstGeom>
                  </pic:spPr>
                </pic:pic>
              </a:graphicData>
            </a:graphic>
          </wp:inline>
        </w:drawing>
      </w:r>
      <w:r>
        <w:rPr>
          <w:rFonts w:ascii="Times New Roman" w:cs="Times New Roman" w:eastAsia="Times New Roman" w:hAnsi="Times New Roman"/>
          <w:sz w:val="24"/>
          <w:szCs w:val="24"/>
        </w:rPr>
        <w:t xml:space="preserve">	(2)</w:t>
      </w:r>
    </w:p>
    <w:p>
      <w:pPr>
        <w:spacing w:line="480" w:after="0" w:before="0"/>
        <w:ind w:firstLine="720"/>
        <w:jc w:val="both"/>
      </w:pPr>
      <w:r>
        <w:rPr>
          <w:rFonts w:ascii="Times New Roman" w:cs="Times New Roman" w:eastAsia="Times New Roman" w:hAnsi="Times New Roman"/>
          <w:sz w:val="24"/>
          <w:szCs w:val="24"/>
        </w:rPr>
        <w:t xml:space="preserve">where q = Q₀/B₀ is the unit-width discharge and S₀ is the bed slope. This single PDE is the common ancestor from which all low-order water system models descend. The Muskingum-Cunge method emerges as its finite-difference discretization (Cunge, 1969); the Hayami kernel is its analytical impulse response; and the IDZ model emerges from its frequency-domain approximation for bounded canal pools (Litrico &amp; Fromion, 2004, 2009). What has not been previously recognized is that these connections establish a single parametric transfer function family that subsumes all existing low-order models across all water subsectors.</w:t>
      </w:r>
    </w:p>
    <w:p>
      <w:pPr>
        <w:spacing w:line="480" w:after="80" w:before="240"/>
        <w:jc w:val="both"/>
      </w:pPr>
      <w:r>
        <w:rPr>
          <w:rFonts w:ascii="Times New Roman" w:cs="Times New Roman" w:eastAsia="Times New Roman" w:hAnsi="Times New Roman"/>
          <w:b/>
          <w:bCs/>
          <w:sz w:val="26"/>
          <w:szCs w:val="26"/>
        </w:rPr>
        <w:t xml:space="preserve">4.2  Two Families, One Physics: Integrating and Self-Regulating Processes</w:t>
      </w:r>
    </w:p>
    <w:p>
      <w:pPr>
        <w:spacing w:line="480" w:after="0" w:before="0"/>
        <w:ind w:firstLine="720"/>
        <w:jc w:val="both"/>
      </w:pPr>
      <w:r>
        <w:rPr>
          <w:rFonts w:ascii="Times New Roman" w:cs="Times New Roman" w:eastAsia="Times New Roman" w:hAnsi="Times New Roman"/>
          <w:sz w:val="24"/>
          <w:szCs w:val="24"/>
        </w:rPr>
        <w:t xml:space="preserve">The fundamental insight of the CHS unified hierarchy is that all water system transfer functions belong to one of two dual families, distinguished by a single physical property: whether the downstream outflow depends on storage level (self-regulating) or is controlled externally by a gate or pump (non-self-regulating). This distinction, while elementary from a process control perspective, has never been formally recognized as the organizing principle that unifies water system models across subsectors.</w:t>
      </w:r>
    </w:p>
    <w:p>
      <w:pPr>
        <w:spacing w:line="480" w:after="0" w:before="0"/>
        <w:ind w:firstLine="720"/>
        <w:jc w:val="both"/>
      </w:pPr>
      <w:r>
        <w:rPr>
          <w:rFonts w:ascii="Times New Roman" w:cs="Times New Roman" w:eastAsia="Times New Roman" w:hAnsi="Times New Roman"/>
          <w:b/>
          <w:bCs/>
          <w:i/>
          <w:iCs/>
          <w:sz w:val="24"/>
          <w:szCs w:val="24"/>
        </w:rPr>
        <w:t xml:space="preserve">Definition 3 (Non-self-regulating water process). </w:t>
      </w:r>
      <w:r>
        <w:rPr>
          <w:rFonts w:ascii="Times New Roman" w:cs="Times New Roman" w:eastAsia="Times New Roman" w:hAnsi="Times New Roman"/>
          <w:sz w:val="24"/>
          <w:szCs w:val="24"/>
        </w:rPr>
        <w:t xml:space="preserve">A water subsystem is non-self-regulating if its outflow is determined by an external actuator (gate opening, valve position, pump speed) rather than by the system state (water level, pressure head). In such systems, a persistent flow imbalance ΔQ = Qᵢₙ − Qₒᵤₜ causes the state (level or pressure) to ramp indefinitely. The transfer function has a pole at s = 0 (integrator).</w:t>
      </w:r>
    </w:p>
    <w:p>
      <w:pPr>
        <w:spacing w:line="480" w:after="0" w:before="0"/>
        <w:ind w:firstLine="720"/>
        <w:jc w:val="both"/>
      </w:pPr>
      <w:r>
        <w:rPr>
          <w:rFonts w:ascii="Times New Roman" w:cs="Times New Roman" w:eastAsia="Times New Roman" w:hAnsi="Times New Roman"/>
          <w:b/>
          <w:bCs/>
          <w:i/>
          <w:iCs/>
          <w:sz w:val="24"/>
          <w:szCs w:val="24"/>
        </w:rPr>
        <w:t xml:space="preserve">Definition 4 (Self-regulating water process). </w:t>
      </w:r>
      <w:r>
        <w:rPr>
          <w:rFonts w:ascii="Times New Roman" w:cs="Times New Roman" w:eastAsia="Times New Roman" w:hAnsi="Times New Roman"/>
          <w:sz w:val="24"/>
          <w:szCs w:val="24"/>
        </w:rPr>
        <w:t xml:space="preserve">A water subsystem is self-regulating if its outflow increases with storage through a natural resistance relationship (Manning equation, weir curve, orifice equation, rating curve). In such systems, a persistent flow imbalance is self-correcting: rising level increases outflow until a new equilibrium is reached. The transfer function has a finite stable pole at s = −1/Kₛ.</w:t>
      </w:r>
    </w:p>
    <w:p>
      <w:pPr>
        <w:spacing w:line="480" w:after="0" w:before="0"/>
        <w:ind w:firstLine="720"/>
        <w:jc w:val="both"/>
      </w:pPr>
      <w:r>
        <w:rPr>
          <w:rFonts w:ascii="Times New Roman" w:cs="Times New Roman" w:eastAsia="Times New Roman" w:hAnsi="Times New Roman"/>
          <w:sz w:val="24"/>
          <w:szCs w:val="24"/>
        </w:rPr>
        <w:t xml:space="preserve">We now state the central mathematical result of CHS.</w:t>
      </w:r>
    </w:p>
    <w:p>
      <w:pPr>
        <w:spacing w:line="480" w:after="0" w:before="0"/>
        <w:ind w:firstLine="720"/>
        <w:jc w:val="both"/>
      </w:pPr>
      <w:r>
        <w:rPr>
          <w:rFonts w:ascii="Times New Roman" w:cs="Times New Roman" w:eastAsia="Times New Roman" w:hAnsi="Times New Roman"/>
          <w:b/>
          <w:bCs/>
          <w:i/>
          <w:iCs/>
          <w:sz w:val="24"/>
          <w:szCs w:val="24"/>
        </w:rPr>
        <w:t xml:space="preserve">Theorem 2 (Unified Transfer Function Family). </w:t>
      </w:r>
      <w:r>
        <w:rPr>
          <w:rFonts w:ascii="Times New Roman" w:cs="Times New Roman" w:eastAsia="Times New Roman" w:hAnsi="Times New Roman"/>
          <w:sz w:val="24"/>
          <w:szCs w:val="24"/>
        </w:rPr>
        <w:t xml:space="preserve">All single-input-single-output (SISO) linear time-invariant (LTI) low-order models used for control design of one-dimensional water conveyance and distribution systems are special cases of one of two dual parametric transfer function families, each defined by at most three physical parameters (effective storage area or time constant, transport delay, lead time constant):</w:t>
      </w:r>
    </w:p>
    <w:p>
      <w:pPr>
        <w:spacing w:line="480" w:after="60" w:before="0"/>
        <w:ind w:left="1080"/>
        <w:jc w:val="both"/>
      </w:pPr>
      <w:r>
        <w:rPr>
          <w:rFonts w:ascii="Times New Roman" w:cs="Times New Roman" w:eastAsia="Times New Roman" w:hAnsi="Times New Roman"/>
          <w:b/>
          <w:bCs/>
          <w:i/>
          <w:iCs/>
          <w:sz w:val="24"/>
          <w:szCs w:val="24"/>
        </w:rPr>
        <w:t xml:space="preserve">Family α (Non-self-regulating): </w:t>
      </w:r>
      <w:r>
        <w:rPr>
          <w:rFonts w:ascii="Times New Roman" w:cs="Times New Roman" w:eastAsia="Times New Roman" w:hAnsi="Times New Roman"/>
          <w:sz w:val="24"/>
          <w:szCs w:val="24"/>
        </w:rPr>
        <w:t xml:space="preserve">G(s) = (1 + τₘs) · e^(−τᵈs) / (Aₛ · s), where Aₛ is the effective storage area (m²), τᵈ is the transport delay (s), and τₘ is the zero time constant (s). The integrator pole at s = 0 reflects the non-self-regulating nature. This family governs gated canal pools, pumped pipeline zones, and any subsystem with externally controlled outflow.</w:t>
      </w:r>
    </w:p>
    <w:p>
      <w:pPr>
        <w:spacing w:line="480" w:after="60" w:before="0"/>
        <w:ind w:left="1080"/>
        <w:jc w:val="both"/>
      </w:pPr>
      <w:r>
        <w:rPr>
          <w:rFonts w:ascii="Times New Roman" w:cs="Times New Roman" w:eastAsia="Times New Roman" w:hAnsi="Times New Roman"/>
          <w:b/>
          <w:bCs/>
          <w:i/>
          <w:iCs/>
          <w:sz w:val="24"/>
          <w:szCs w:val="24"/>
        </w:rPr>
        <w:t xml:space="preserve">Family β (Self-regulating): </w:t>
      </w:r>
      <w:r>
        <w:rPr>
          <w:rFonts w:ascii="Times New Roman" w:cs="Times New Roman" w:eastAsia="Times New Roman" w:hAnsi="Times New Roman"/>
          <w:sz w:val="24"/>
          <w:szCs w:val="24"/>
        </w:rPr>
        <w:t xml:space="preserve">H(s) = (1 − τₘʹs) · e^(−τᵈʹs) / (1 + Kₛs), where Kₛ is the storage time constant (s), τᵈʹ is the transport delay (s), and τₘʹ is the lead time constant (s). The negative sign in the numerator creates a right-half-plane zero (non-minimum phase behavior—initial inverse response). The stable pole at s = −1/Kₛ reflects the self-regulating nature. This family governs natural river reaches, reservoir spillway systems, and any subsystem where outflow increases with storage through a rating curve.</w:t>
      </w:r>
    </w:p>
    <w:p>
      <w:pPr>
        <w:spacing w:line="480" w:after="0" w:before="0"/>
        <w:ind w:firstLine="720"/>
        <w:jc w:val="both"/>
      </w:pPr>
      <w:r>
        <w:rPr>
          <w:rFonts w:ascii="Times New Roman" w:cs="Times New Roman" w:eastAsia="Times New Roman" w:hAnsi="Times New Roman"/>
          <w:sz w:val="24"/>
          <w:szCs w:val="24"/>
        </w:rPr>
        <w:t xml:space="preserve">The two families are not independent—they are dual representations of the same underlying physics, related by the downstream boundary condition. We establish this through two lemmas and a corollary.</w:t>
      </w:r>
    </w:p>
    <w:p>
      <w:pPr>
        <w:spacing w:line="480" w:after="0" w:before="0"/>
        <w:ind w:firstLine="720"/>
        <w:jc w:val="both"/>
      </w:pPr>
      <w:r>
        <w:rPr>
          <w:rFonts w:ascii="Times New Roman" w:cs="Times New Roman" w:eastAsia="Times New Roman" w:hAnsi="Times New Roman"/>
          <w:b/>
          <w:bCs/>
          <w:i/>
          <w:iCs/>
          <w:sz w:val="24"/>
          <w:szCs w:val="24"/>
        </w:rPr>
        <w:t xml:space="preserve">Lemma 1 (Subsumption of existing models). </w:t>
      </w:r>
      <w:r>
        <w:rPr>
          <w:rFonts w:ascii="Times New Roman" w:cs="Times New Roman" w:eastAsia="Times New Roman" w:hAnsi="Times New Roman"/>
          <w:sz w:val="24"/>
          <w:szCs w:val="24"/>
        </w:rPr>
        <w:t xml:space="preserve">The following established models from four water infrastructure domains are special parameter settings of Families α and β:</w:t>
      </w:r>
    </w:p>
    <w:p>
      <w:pPr>
        <w:spacing w:line="480" w:after="0" w:before="0"/>
        <w:jc w:val="both"/>
      </w:pPr>
      <w:r>
        <w:rPr>
          <w:rFonts w:ascii="Times New Roman" w:cs="Times New Roman" w:eastAsia="Times New Roman" w:hAnsi="Times New Roman"/>
          <w:sz w:val="24"/>
          <w:szCs w:val="24"/>
        </w:rPr>
        <w:t xml:space="preserve"/>
      </w:r>
    </w:p>
    <w:p>
      <w:pPr>
        <w:spacing w:line="280" w:after="100" w:before="0"/>
        <w:jc w:val="both"/>
      </w:pPr>
      <w:r>
        <w:rPr>
          <w:rFonts w:ascii="Times New Roman" w:cs="Times New Roman" w:eastAsia="Times New Roman" w:hAnsi="Times New Roman"/>
          <w:b/>
          <w:bCs/>
          <w:sz w:val="24"/>
          <w:szCs w:val="24"/>
        </w:rPr>
        <w:t xml:space="preserve">Table 4. </w:t>
      </w:r>
      <w:r>
        <w:rPr>
          <w:rFonts w:ascii="Times New Roman" w:cs="Times New Roman" w:eastAsia="Times New Roman" w:hAnsi="Times New Roman"/>
          <w:i/>
          <w:iCs/>
          <w:sz w:val="24"/>
          <w:szCs w:val="24"/>
        </w:rPr>
        <w:t xml:space="preserve">Established low-order hydrodynamic models as special cases of the unified transfer function family (Theorem 2). Each model arises by setting specific parameters to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700"/>
        <w:gridCol w:w="700"/>
        <w:gridCol w:w="700"/>
        <w:gridCol w:w="1800"/>
        <w:gridCol w:w="1700"/>
      </w:tblGrid>
      <w:tr>
        <w:tc>
          <w:tcPr>
            <w:tcW w:type="dxa" w:w="12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7"/>
                <w:szCs w:val="17"/>
              </w:rPr>
              <w:t xml:space="preserve">Model</w:t>
            </w:r>
          </w:p>
        </w:tc>
        <w:tc>
          <w:tcPr>
            <w:tcW w:type="dxa" w:w="11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7"/>
                <w:szCs w:val="17"/>
              </w:rPr>
              <w:t xml:space="preserve">Family</w:t>
            </w:r>
          </w:p>
        </w:tc>
        <w:tc>
          <w:tcPr>
            <w:tcW w:type="dxa" w:w="7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7"/>
                <w:szCs w:val="17"/>
              </w:rPr>
              <w:t xml:space="preserve">τₘ or τₘʹ</w:t>
            </w:r>
          </w:p>
        </w:tc>
        <w:tc>
          <w:tcPr>
            <w:tcW w:type="dxa" w:w="7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7"/>
                <w:szCs w:val="17"/>
              </w:rPr>
              <w:t xml:space="preserve">τᵈ</w:t>
            </w:r>
          </w:p>
        </w:tc>
        <w:tc>
          <w:tcPr>
            <w:tcW w:type="dxa" w:w="7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7"/>
                <w:szCs w:val="17"/>
              </w:rPr>
              <w:t xml:space="preserve">Aₛ or Kₛ</w:t>
            </w:r>
          </w:p>
        </w:tc>
        <w:tc>
          <w:tcPr>
            <w:tcW w:type="dxa" w:w="18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7"/>
                <w:szCs w:val="17"/>
              </w:rPr>
              <w:t xml:space="preserve">Transfer Function</w:t>
            </w:r>
          </w:p>
        </w:tc>
        <w:tc>
          <w:tcPr>
            <w:tcW w:type="dxa" w:w="17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7"/>
                <w:szCs w:val="17"/>
              </w:rPr>
              <w:t xml:space="preserve">Domain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Full IDZ</w:t>
            </w:r>
            <w:r>
              <w:br/>
            </w:r>
            <w:r>
              <w:rPr>
                <w:rFonts w:ascii="Times New Roman" w:cs="Times New Roman" w:eastAsia="Times New Roman" w:hAnsi="Times New Roman"/>
                <w:sz w:val="17"/>
                <w:szCs w:val="17"/>
              </w:rPr>
              <w:t xml:space="preserve">(Litrico &amp;</w:t>
            </w:r>
            <w:r>
              <w:br/>
            </w:r>
            <w:r>
              <w:rPr>
                <w:rFonts w:ascii="Times New Roman" w:cs="Times New Roman" w:eastAsia="Times New Roman" w:hAnsi="Times New Roman"/>
                <w:sz w:val="17"/>
                <w:szCs w:val="17"/>
              </w:rPr>
              <w:t xml:space="preserve">Fromion, 2004)</w:t>
            </w:r>
          </w:p>
        </w:tc>
        <w:tc>
          <w:tcPr>
            <w:tcW w:type="dxa" w:w="1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α</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 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 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Aₛ</w:t>
            </w:r>
          </w:p>
        </w:tc>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(1+τₘs)·e^(−τᵈs)</w:t>
            </w:r>
            <w:r>
              <w:br/>
            </w:r>
            <w:r>
              <w:rPr>
                <w:rFonts w:ascii="Times New Roman" w:cs="Times New Roman" w:eastAsia="Times New Roman" w:hAnsi="Times New Roman"/>
                <w:sz w:val="17"/>
                <w:szCs w:val="17"/>
              </w:rPr>
              <w:t xml:space="preserve">/ (Aₛs)</w:t>
            </w:r>
          </w:p>
        </w:tc>
        <w:tc>
          <w:tcPr>
            <w:tcW w:type="dxa" w:w="1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Canal pool</w:t>
            </w:r>
            <w:r>
              <w:br/>
            </w:r>
            <w:r>
              <w:rPr>
                <w:rFonts w:ascii="Times New Roman" w:cs="Times New Roman" w:eastAsia="Times New Roman" w:hAnsi="Times New Roman"/>
                <w:sz w:val="17"/>
                <w:szCs w:val="17"/>
              </w:rPr>
              <w:t xml:space="preserve">with backwater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ID</w:t>
            </w:r>
            <w:r>
              <w:br/>
            </w:r>
            <w:r>
              <w:rPr>
                <w:rFonts w:ascii="Times New Roman" w:cs="Times New Roman" w:eastAsia="Times New Roman" w:hAnsi="Times New Roman"/>
                <w:sz w:val="17"/>
                <w:szCs w:val="17"/>
              </w:rPr>
              <w:t xml:space="preserve">(Schuurmans,</w:t>
            </w:r>
            <w:r>
              <w:br/>
            </w:r>
            <w:r>
              <w:rPr>
                <w:rFonts w:ascii="Times New Roman" w:cs="Times New Roman" w:eastAsia="Times New Roman" w:hAnsi="Times New Roman"/>
                <w:sz w:val="17"/>
                <w:szCs w:val="17"/>
              </w:rPr>
              <w:t xml:space="preserve">1997)</w:t>
            </w:r>
          </w:p>
        </w:tc>
        <w:tc>
          <w:tcPr>
            <w:tcW w:type="dxa" w:w="1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α</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 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 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Aₛ</w:t>
            </w:r>
          </w:p>
        </w:tc>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e^(−τᵈs) / (Aₛs)</w:t>
            </w:r>
          </w:p>
        </w:tc>
        <w:tc>
          <w:tcPr>
            <w:tcW w:type="dxa" w:w="1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Canal pool,</w:t>
            </w:r>
            <w:r>
              <w:br/>
            </w:r>
            <w:r>
              <w:rPr>
                <w:rFonts w:ascii="Times New Roman" w:cs="Times New Roman" w:eastAsia="Times New Roman" w:hAnsi="Times New Roman"/>
                <w:sz w:val="17"/>
                <w:szCs w:val="17"/>
              </w:rPr>
              <w:t xml:space="preserve">uniform flow</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Pure Integrator</w:t>
            </w:r>
            <w:r>
              <w:br/>
            </w:r>
            <w:r>
              <w:rPr>
                <w:rFonts w:ascii="Times New Roman" w:cs="Times New Roman" w:eastAsia="Times New Roman" w:hAnsi="Times New Roman"/>
                <w:sz w:val="17"/>
                <w:szCs w:val="17"/>
              </w:rPr>
              <w:t xml:space="preserve">(I)</w:t>
            </w:r>
          </w:p>
        </w:tc>
        <w:tc>
          <w:tcPr>
            <w:tcW w:type="dxa" w:w="1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α</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 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 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Aₛ</w:t>
            </w:r>
          </w:p>
        </w:tc>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1 / (Aₛs)</w:t>
            </w:r>
          </w:p>
        </w:tc>
        <w:tc>
          <w:tcPr>
            <w:tcW w:type="dxa" w:w="1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Short pool;</w:t>
            </w:r>
            <w:r>
              <w:br/>
            </w:r>
            <w:r>
              <w:rPr>
                <w:rFonts w:ascii="Times New Roman" w:cs="Times New Roman" w:eastAsia="Times New Roman" w:hAnsi="Times New Roman"/>
                <w:sz w:val="17"/>
                <w:szCs w:val="17"/>
              </w:rPr>
              <w:t xml:space="preserve">pipe compliance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Muskingum</w:t>
            </w:r>
            <w:r>
              <w:br/>
            </w:r>
            <w:r>
              <w:rPr>
                <w:rFonts w:ascii="Times New Roman" w:cs="Times New Roman" w:eastAsia="Times New Roman" w:hAnsi="Times New Roman"/>
                <w:sz w:val="17"/>
                <w:szCs w:val="17"/>
              </w:rPr>
              <w:t xml:space="preserve">(Cunge, 1969)</w:t>
            </w:r>
          </w:p>
        </w:tc>
        <w:tc>
          <w:tcPr>
            <w:tcW w:type="dxa" w:w="1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β</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KX</w:t>
            </w:r>
            <w:r>
              <w:br/>
            </w:r>
            <w:r>
              <w:rPr>
                <w:rFonts w:ascii="Times New Roman" w:cs="Times New Roman" w:eastAsia="Times New Roman" w:hAnsi="Times New Roman"/>
                <w:sz w:val="17"/>
                <w:szCs w:val="17"/>
              </w:rPr>
              <w:t xml:space="preserve">(RHP)</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 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K(1−X)</w:t>
            </w:r>
          </w:p>
        </w:tc>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(1−KXs)</w:t>
            </w:r>
            <w:r>
              <w:br/>
            </w:r>
            <w:r>
              <w:rPr>
                <w:rFonts w:ascii="Times New Roman" w:cs="Times New Roman" w:eastAsia="Times New Roman" w:hAnsi="Times New Roman"/>
                <w:sz w:val="17"/>
                <w:szCs w:val="17"/>
              </w:rPr>
              <w:t xml:space="preserve">/ (1+K(1−X)s)</w:t>
            </w:r>
          </w:p>
        </w:tc>
        <w:tc>
          <w:tcPr>
            <w:tcW w:type="dxa" w:w="1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River/watershed</w:t>
            </w:r>
            <w:r>
              <w:br/>
            </w:r>
            <w:r>
              <w:rPr>
                <w:rFonts w:ascii="Times New Roman" w:cs="Times New Roman" w:eastAsia="Times New Roman" w:hAnsi="Times New Roman"/>
                <w:sz w:val="17"/>
                <w:szCs w:val="17"/>
              </w:rPr>
              <w:t xml:space="preserve">routing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FOPDT</w:t>
            </w:r>
            <w:r>
              <w:br/>
            </w:r>
            <w:r>
              <w:rPr>
                <w:rFonts w:ascii="Times New Roman" w:cs="Times New Roman" w:eastAsia="Times New Roman" w:hAnsi="Times New Roman"/>
                <w:sz w:val="17"/>
                <w:szCs w:val="17"/>
              </w:rPr>
              <w:t xml:space="preserve">(Seborg et al.,</w:t>
            </w:r>
            <w:r>
              <w:br/>
            </w:r>
            <w:r>
              <w:rPr>
                <w:rFonts w:ascii="Times New Roman" w:cs="Times New Roman" w:eastAsia="Times New Roman" w:hAnsi="Times New Roman"/>
                <w:sz w:val="17"/>
                <w:szCs w:val="17"/>
              </w:rPr>
              <w:t xml:space="preserve">2011)</w:t>
            </w:r>
          </w:p>
        </w:tc>
        <w:tc>
          <w:tcPr>
            <w:tcW w:type="dxa" w:w="1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β</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 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 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Kₛ</w:t>
            </w:r>
          </w:p>
        </w:tc>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e^(−τᵈs)</w:t>
            </w:r>
            <w:r>
              <w:br/>
            </w:r>
            <w:r>
              <w:rPr>
                <w:rFonts w:ascii="Times New Roman" w:cs="Times New Roman" w:eastAsia="Times New Roman" w:hAnsi="Times New Roman"/>
                <w:sz w:val="17"/>
                <w:szCs w:val="17"/>
              </w:rPr>
              <w:t xml:space="preserve">/ (1+Kₛs)</w:t>
            </w:r>
          </w:p>
        </w:tc>
        <w:tc>
          <w:tcPr>
            <w:tcW w:type="dxa" w:w="1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Long river</w:t>
            </w:r>
            <w:r>
              <w:br/>
            </w:r>
            <w:r>
              <w:rPr>
                <w:rFonts w:ascii="Times New Roman" w:cs="Times New Roman" w:eastAsia="Times New Roman" w:hAnsi="Times New Roman"/>
                <w:sz w:val="17"/>
                <w:szCs w:val="17"/>
              </w:rPr>
              <w:t xml:space="preserve">reach</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Linear reservoir</w:t>
            </w:r>
            <w:r>
              <w:br/>
            </w:r>
            <w:r>
              <w:rPr>
                <w:rFonts w:ascii="Times New Roman" w:cs="Times New Roman" w:eastAsia="Times New Roman" w:hAnsi="Times New Roman"/>
                <w:sz w:val="17"/>
                <w:szCs w:val="17"/>
              </w:rPr>
              <w:t xml:space="preserve">/ Nash n=1</w:t>
            </w:r>
            <w:r>
              <w:br/>
            </w:r>
            <w:r>
              <w:rPr>
                <w:rFonts w:ascii="Times New Roman" w:cs="Times New Roman" w:eastAsia="Times New Roman" w:hAnsi="Times New Roman"/>
                <w:sz w:val="17"/>
                <w:szCs w:val="17"/>
              </w:rPr>
              <w:t xml:space="preserve">(Nash, 1957)</w:t>
            </w:r>
          </w:p>
        </w:tc>
        <w:tc>
          <w:tcPr>
            <w:tcW w:type="dxa" w:w="1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β</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 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 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K</w:t>
            </w:r>
          </w:p>
        </w:tc>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1 / (1+Ks)</w:t>
            </w:r>
          </w:p>
        </w:tc>
        <w:tc>
          <w:tcPr>
            <w:tcW w:type="dxa" w:w="1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Reservoir;</w:t>
            </w:r>
            <w:r>
              <w:br/>
            </w:r>
            <w:r>
              <w:rPr>
                <w:rFonts w:ascii="Times New Roman" w:cs="Times New Roman" w:eastAsia="Times New Roman" w:hAnsi="Times New Roman"/>
                <w:sz w:val="17"/>
                <w:szCs w:val="17"/>
              </w:rPr>
              <w:t xml:space="preserve">watershed</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Nash cascade</w:t>
            </w:r>
            <w:r>
              <w:br/>
            </w:r>
            <w:r>
              <w:rPr>
                <w:rFonts w:ascii="Times New Roman" w:cs="Times New Roman" w:eastAsia="Times New Roman" w:hAnsi="Times New Roman"/>
                <w:sz w:val="17"/>
                <w:szCs w:val="17"/>
              </w:rPr>
              <w:t xml:space="preserve">(n reservoirs)</w:t>
            </w:r>
          </w:p>
        </w:tc>
        <w:tc>
          <w:tcPr>
            <w:tcW w:type="dxa" w:w="1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β</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 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 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K</w:t>
            </w:r>
            <w:r>
              <w:br/>
            </w:r>
            <w:r>
              <w:rPr>
                <w:rFonts w:ascii="Times New Roman" w:cs="Times New Roman" w:eastAsia="Times New Roman" w:hAnsi="Times New Roman"/>
                <w:sz w:val="17"/>
                <w:szCs w:val="17"/>
              </w:rPr>
              <w:t xml:space="preserve">(×n)</w:t>
            </w:r>
          </w:p>
        </w:tc>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1 / (1+Ks)ⁿ</w:t>
            </w:r>
          </w:p>
        </w:tc>
        <w:tc>
          <w:tcPr>
            <w:tcW w:type="dxa" w:w="1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Watershed</w:t>
            </w:r>
            <w:r>
              <w:br/>
            </w:r>
            <w:r>
              <w:rPr>
                <w:rFonts w:ascii="Times New Roman" w:cs="Times New Roman" w:eastAsia="Times New Roman" w:hAnsi="Times New Roman"/>
                <w:sz w:val="17"/>
                <w:szCs w:val="17"/>
              </w:rPr>
              <w:t xml:space="preserve">hydrology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Steady state</w:t>
            </w:r>
            <w:r>
              <w:br/>
            </w:r>
            <w:r>
              <w:rPr>
                <w:rFonts w:ascii="Times New Roman" w:cs="Times New Roman" w:eastAsia="Times New Roman" w:hAnsi="Times New Roman"/>
                <w:sz w:val="17"/>
                <w:szCs w:val="17"/>
              </w:rPr>
              <w:t xml:space="preserve">(SS)</w:t>
            </w:r>
          </w:p>
        </w:tc>
        <w:tc>
          <w:tcPr>
            <w:tcW w:type="dxa" w:w="1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w:t>
            </w:r>
          </w:p>
        </w:tc>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Qᵢₙ = Qₒᵤₜ</w:t>
            </w:r>
            <w:r>
              <w:br/>
            </w:r>
            <w:r>
              <w:rPr>
                <w:rFonts w:ascii="Times New Roman" w:cs="Times New Roman" w:eastAsia="Times New Roman" w:hAnsi="Times New Roman"/>
                <w:sz w:val="17"/>
                <w:szCs w:val="17"/>
              </w:rPr>
              <w:t xml:space="preserve">(algebraic)</w:t>
            </w:r>
          </w:p>
        </w:tc>
        <w:tc>
          <w:tcPr>
            <w:tcW w:type="dxa" w:w="1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7"/>
                <w:szCs w:val="17"/>
              </w:rPr>
              <w:t xml:space="preserve">Water balance</w:t>
            </w:r>
            <w:r>
              <w:br/>
            </w:r>
            <w:r>
              <w:rPr>
                <w:rFonts w:ascii="Times New Roman" w:cs="Times New Roman" w:eastAsia="Times New Roman" w:hAnsi="Times New Roman"/>
                <w:sz w:val="17"/>
                <w:szCs w:val="17"/>
              </w:rPr>
              <w:t xml:space="preserve">/ allocation</w:t>
            </w:r>
          </w:p>
        </w:tc>
      </w:tr>
    </w:tbl>
    <w:p>
      <w:pPr>
        <w:spacing w:line="480" w:after="0" w:before="0"/>
        <w:jc w:val="both"/>
      </w:pPr>
      <w:r>
        <w:rPr>
          <w:rFonts w:ascii="Times New Roman" w:cs="Times New Roman" w:eastAsia="Times New Roman" w:hAnsi="Times New Roman"/>
          <w:sz w:val="24"/>
          <w:szCs w:val="24"/>
        </w:rPr>
        <w:t xml:space="preserve"/>
      </w:r>
    </w:p>
    <w:p>
      <w:pPr>
        <w:spacing w:line="480" w:after="0" w:before="0"/>
        <w:ind w:firstLine="720"/>
        <w:jc w:val="both"/>
      </w:pPr>
      <w:r>
        <w:rPr>
          <w:rFonts w:ascii="Times New Roman" w:cs="Times New Roman" w:eastAsia="Times New Roman" w:hAnsi="Times New Roman"/>
          <w:sz w:val="24"/>
          <w:szCs w:val="24"/>
        </w:rPr>
        <w:t xml:space="preserve">The proof for each row is by direct derivation from the governing equations of the respective domain, as established in the originating references. What is novel is the recognition that all rows are parameter specializations of two families rather than independent models. □</w:t>
      </w:r>
    </w:p>
    <w:p>
      <w:pPr>
        <w:spacing w:line="480" w:after="0" w:before="0"/>
        <w:ind w:firstLine="720"/>
        <w:jc w:val="both"/>
      </w:pPr>
      <w:r>
        <w:rPr>
          <w:rFonts w:ascii="Times New Roman" w:cs="Times New Roman" w:eastAsia="Times New Roman" w:hAnsi="Times New Roman"/>
          <w:b/>
          <w:bCs/>
          <w:i/>
          <w:iCs/>
          <w:sz w:val="24"/>
          <w:szCs w:val="24"/>
        </w:rPr>
        <w:t xml:space="preserve">Lemma 2 (Nash cascade limit; classical, restated in CHS context). </w:t>
      </w:r>
      <w:r>
        <w:rPr>
          <w:rFonts w:ascii="Times New Roman" w:cs="Times New Roman" w:eastAsia="Times New Roman" w:hAnsi="Times New Roman"/>
          <w:sz w:val="24"/>
          <w:szCs w:val="24"/>
        </w:rPr>
        <w:t xml:space="preserve">The Nash cascade of n identical linear reservoirs, each with storage constant K, converges to a pure transport delay as n → ∞ with nK = τᵈ held constant: lim [1/(1 + τᵈs/n)]^n = e^(−τᵈs) as n → ∞.</w:t>
      </w:r>
    </w:p>
    <w:p>
      <w:pPr>
        <w:spacing w:line="480" w:after="0" w:before="0"/>
        <w:ind w:firstLine="720"/>
        <w:jc w:val="both"/>
      </w:pPr>
      <w:r>
        <w:rPr>
          <w:rFonts w:ascii="Times New Roman" w:cs="Times New Roman" w:eastAsia="Times New Roman" w:hAnsi="Times New Roman"/>
          <w:sz w:val="24"/>
          <w:szCs w:val="24"/>
        </w:rPr>
        <w:t xml:space="preserve">Proof. Taking the natural logarithm: ln Hₙ(s) = −n · ln(1 + τᵈs/n). For large n, ln(1 + τᵈs/n) ≈ τᵈs/n − (τᵈs)²/(2n²) + ..., so −n · ln(1 + τᵈs/n) → −τᵈs. Therefore Hₙ(s) → e^(−τᵈs). This is the classical result (1 + x/n)^(−n) → e^(−x), establishing that distributed storage (many small reservoirs) is mathematically equivalent to lumped transport delay—a result that connects the Nash cascade in watershed hydrology to the transport delay in canal control through a rigorous mathematical limit. □</w:t>
      </w:r>
    </w:p>
    <w:p>
      <w:pPr>
        <w:spacing w:line="480" w:after="80" w:before="240"/>
        <w:jc w:val="both"/>
      </w:pPr>
      <w:r>
        <w:rPr>
          <w:rFonts w:ascii="Times New Roman" w:cs="Times New Roman" w:eastAsia="Times New Roman" w:hAnsi="Times New Roman"/>
          <w:b/>
          <w:bCs/>
          <w:sz w:val="26"/>
          <w:szCs w:val="26"/>
        </w:rPr>
        <w:t xml:space="preserve">4.3  The Muskingum–IDZ Bridge: Proof of Cross-Domain Duality</w:t>
      </w:r>
    </w:p>
    <w:p>
      <w:pPr>
        <w:spacing w:line="480" w:after="0" w:before="0"/>
        <w:ind w:firstLine="720"/>
        <w:jc w:val="both"/>
      </w:pPr>
      <w:r>
        <w:rPr>
          <w:rFonts w:ascii="Times New Roman" w:cs="Times New Roman" w:eastAsia="Times New Roman" w:hAnsi="Times New Roman"/>
          <w:sz w:val="24"/>
          <w:szCs w:val="24"/>
        </w:rPr>
        <w:t xml:space="preserve">The deepest result in the unified hierarchy is the exact mathematical relationship between the two families. This bridge, established by Bolea, Puig and Grau (2014) and here formalized as a CHS corollary, proves that the Muskingum model and the IDZ model are not competing descriptions from different disciplines but dual representations of the same physics under different boundary conditions.</w:t>
      </w:r>
    </w:p>
    <w:p>
      <w:pPr>
        <w:spacing w:line="480" w:after="0" w:before="0"/>
        <w:ind w:firstLine="720"/>
        <w:jc w:val="both"/>
      </w:pPr>
      <w:r>
        <w:rPr>
          <w:rFonts w:ascii="Times New Roman" w:cs="Times New Roman" w:eastAsia="Times New Roman" w:hAnsi="Times New Roman"/>
          <w:b/>
          <w:bCs/>
          <w:i/>
          <w:iCs/>
          <w:sz w:val="24"/>
          <w:szCs w:val="24"/>
        </w:rPr>
        <w:t xml:space="preserve">Corollary 1 (Muskingum–IDZ duality). </w:t>
      </w:r>
      <w:r>
        <w:rPr>
          <w:rFonts w:ascii="Times New Roman" w:cs="Times New Roman" w:eastAsia="Times New Roman" w:hAnsi="Times New Roman"/>
          <w:sz w:val="24"/>
          <w:szCs w:val="24"/>
        </w:rPr>
        <w:t xml:space="preserve">When a Family α (non-self-regulating) canal pool with IDZ transfer function G(s) = (1 + τₘs) · e^(−τᵈs) / (Aₛ · s) is closed with a linearized self-regulating downstream boundary Qₒᵤₜ = λy (where λ is the rating curve gain, e.g. spillway coefficient), the resulting Qᵢₙ → Qₒᵤₜ transfer function is a Family β model. Specifically, the first-order MacLaurin approximation of the delay yields the Muskingum transfer function H(s) = (1 − KXs)/(1 + K(1−X)s) with K = Aₛ/λ and X = λτᵈ/Aₛ.</w:t>
      </w:r>
    </w:p>
    <w:p>
      <w:pPr>
        <w:spacing w:line="480" w:after="0" w:before="0"/>
        <w:ind w:firstLine="720"/>
        <w:jc w:val="both"/>
      </w:pPr>
      <w:r>
        <w:rPr>
          <w:rFonts w:ascii="Times New Roman" w:cs="Times New Roman" w:eastAsia="Times New Roman" w:hAnsi="Times New Roman"/>
          <w:sz w:val="24"/>
          <w:szCs w:val="24"/>
        </w:rPr>
        <w:t xml:space="preserve">Proof. The closed-loop transfer function from Qᵢₙ to Qₒᵤₜ with Qₒᵤₜ = λ · y is Gᶜₗ(s) = λG(s)/(1 + λG(s)). Substituting G(s) and simplifying:</w:t>
      </w:r>
    </w:p>
    <w:p>
      <w:pPr>
        <w:spacing w:line="480" w:before="160" w:after="160"/>
        <w:jc w:val="center"/>
      </w:pPr>
      <w:r>
        <w:drawing>
          <wp:inline distT="0" distB="0" distL="0" distR="0">
            <wp:extent cx="18859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85950" cy="304800"/>
                    </a:xfrm>
                    <a:prstGeom prst="rect">
                      <a:avLst/>
                    </a:prstGeom>
                  </pic:spPr>
                </pic:pic>
              </a:graphicData>
            </a:graphic>
          </wp:inline>
        </w:drawing>
      </w:r>
    </w:p>
    <w:p>
      <w:pPr>
        <w:spacing w:line="480" w:after="0" w:before="0"/>
        <w:ind w:firstLine="720"/>
        <w:jc w:val="both"/>
      </w:pPr>
      <w:r>
        <w:rPr>
          <w:rFonts w:ascii="Times New Roman" w:cs="Times New Roman" w:eastAsia="Times New Roman" w:hAnsi="Times New Roman"/>
          <w:sz w:val="24"/>
          <w:szCs w:val="24"/>
        </w:rPr>
        <w:t xml:space="preserve">Applying the first-order MacLaurin approximation e^(−τᵈs) ≈ 1 − τᵈs and neglecting the backwater zero (τₘ ≈ 0 for simplicity):</w:t>
      </w:r>
    </w:p>
    <w:p>
      <w:pPr>
        <w:spacing w:line="480" w:before="160" w:after="160"/>
        <w:jc w:val="center"/>
      </w:pPr>
      <w:r>
        <w:drawing>
          <wp:inline distT="0" distB="0" distL="0" distR="0">
            <wp:extent cx="252412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24125" cy="323850"/>
                    </a:xfrm>
                    <a:prstGeom prst="rect">
                      <a:avLst/>
                    </a:prstGeom>
                  </pic:spPr>
                </pic:pic>
              </a:graphicData>
            </a:graphic>
          </wp:inline>
        </w:drawing>
      </w:r>
    </w:p>
    <w:p>
      <w:pPr>
        <w:spacing w:line="480" w:after="0" w:before="0"/>
        <w:ind w:firstLine="720"/>
        <w:jc w:val="both"/>
      </w:pPr>
      <w:r>
        <w:rPr>
          <w:rFonts w:ascii="Times New Roman" w:cs="Times New Roman" w:eastAsia="Times New Roman" w:hAnsi="Times New Roman"/>
          <w:sz w:val="24"/>
          <w:szCs w:val="24"/>
        </w:rPr>
        <w:t xml:space="preserve">Rearranging and defining K = Aₛ/λ:</w:t>
      </w:r>
    </w:p>
    <w:p>
      <w:pPr>
        <w:spacing w:line="480" w:before="160" w:after="160"/>
        <w:jc w:val="center"/>
      </w:pPr>
      <w:r>
        <w:drawing>
          <wp:inline distT="0" distB="0" distL="0" distR="0">
            <wp:extent cx="2286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295275"/>
                    </a:xfrm>
                    <a:prstGeom prst="rect">
                      <a:avLst/>
                    </a:prstGeom>
                  </pic:spPr>
                </pic:pic>
              </a:graphicData>
            </a:graphic>
          </wp:inline>
        </w:drawing>
      </w:r>
    </w:p>
    <w:p>
      <w:pPr>
        <w:spacing w:line="480" w:after="0" w:before="0"/>
        <w:ind w:firstLine="720"/>
        <w:jc w:val="both"/>
      </w:pPr>
      <w:r>
        <w:rPr>
          <w:rFonts w:ascii="Times New Roman" w:cs="Times New Roman" w:eastAsia="Times New Roman" w:hAnsi="Times New Roman"/>
          <w:sz w:val="24"/>
          <w:szCs w:val="24"/>
        </w:rPr>
        <w:t xml:space="preserve">with the identification X = τᵈ/K = λτᵈ/Aₛ. This is precisely the Muskingum transfer function derived in watershed hydrology from the storage equation S = K[XI + (1−X)Q] (Cunge, 1969). The Muskingum weighting factor X, traditionally treated as a calibration parameter in hydrology, is thus revealed to be the ratio of transport delay to total storage time constant: X = τᵈ/(Aₛ/λ). When X → 0, delay is negligible relative to storage (pure reservoir), recovering the linear reservoir model. When X → 0.5, the first-order Padé approximation of a pure delay is recovered. Note that the duality is approximate: it relies on the MacLaurin truncation of the delay (valid at low frequencies where τᵈs ≪ 1) and the neglect of the backwater zero. The approximation quality degrades at frequencies above 1/τᵈ, i.e., at time scales shorter than the transport delay. For control design purposes, this low-frequency regime is precisely where the model is applied (Theorem 3), so the duality is operationally exact within its intended scope. □</w:t>
      </w:r>
    </w:p>
    <w:p>
      <w:pPr>
        <w:spacing w:line="480" w:after="0" w:before="0"/>
        <w:ind w:firstLine="720"/>
        <w:jc w:val="both"/>
      </w:pPr>
      <w:r>
        <w:rPr>
          <w:rFonts w:ascii="Times New Roman" w:cs="Times New Roman" w:eastAsia="Times New Roman" w:hAnsi="Times New Roman"/>
          <w:sz w:val="24"/>
          <w:szCs w:val="24"/>
        </w:rPr>
        <w:t xml:space="preserve">This result has profound implications for cross-sector learning. The Muskingum model, used in every hydrological textbook and flood routing software worldwide (Chow et al., 1988), has been taught for seven decades as an empirical storage-weighted routing method. The IDZ model, developed independently by Schuurmans (1997) and Litrico and Fromion (2004) from frequency-domain analysis of the Saint-Venant equations, has been the workhorse of canal automation for two decades. CHS reveals through Corollary 1 that these are not separate models but the same physics viewed through different downstream boundary conditions—one of the clearest possible demonstrations that disciplinary fragmentation (Section 2.2) has concealed mathematical unity.</w:t>
      </w:r>
    </w:p>
    <w:p>
      <w:pPr>
        <w:spacing w:line="480" w:after="0" w:before="0"/>
        <w:ind w:firstLine="720"/>
        <w:jc w:val="both"/>
      </w:pPr>
      <w:r>
        <w:rPr>
          <w:rFonts w:ascii="Times New Roman" w:cs="Times New Roman" w:eastAsia="Times New Roman" w:hAnsi="Times New Roman"/>
          <w:sz w:val="24"/>
          <w:szCs w:val="24"/>
        </w:rPr>
        <w:t xml:space="preserve">This duality also has a physical interpretation through the Cunge (1969) analysis. Cunge showed that the Muskingum routing equation is the finite-difference discretization of the diffusion wave PDE (Equation 1), with K = Δx/c and X = ½(1 − q/(S₀cΔx)). The parameter X encodes the ratio of physical diffusion D = q/(2S₀) to numerical diffusion cΔx/2. When X = 0.5 (zero physical diffusion), the scheme is pure kinematic wave translation. When X = 0 (maximum physical diffusion relative to grid), the scheme is a pure linear reservoir. The Muskingum parameters are not free calibration constants—they are determined by channel physics. CHS provides the unifying framework within which the Cunge finite-difference route and the Litrico-Fromion frequency-domain route converge on the same parametric family.</w:t>
      </w:r>
    </w:p>
    <w:p>
      <w:pPr>
        <w:spacing w:line="480" w:after="80" w:before="240"/>
        <w:jc w:val="both"/>
      </w:pPr>
      <w:r>
        <w:rPr>
          <w:rFonts w:ascii="Times New Roman" w:cs="Times New Roman" w:eastAsia="Times New Roman" w:hAnsi="Times New Roman"/>
          <w:b/>
          <w:bCs/>
          <w:sz w:val="26"/>
          <w:szCs w:val="26"/>
        </w:rPr>
        <w:t xml:space="preserve">4.4  The Pipe Compliance Integrator: Elastic Storage as Gravitational Storage</w:t>
      </w:r>
    </w:p>
    <w:p>
      <w:pPr>
        <w:spacing w:line="480" w:after="0" w:before="0"/>
        <w:ind w:firstLine="720"/>
        <w:jc w:val="both"/>
      </w:pPr>
      <w:r>
        <w:rPr>
          <w:rFonts w:ascii="Times New Roman" w:cs="Times New Roman" w:eastAsia="Times New Roman" w:hAnsi="Times New Roman"/>
          <w:sz w:val="24"/>
          <w:szCs w:val="24"/>
        </w:rPr>
        <w:t xml:space="preserve">For pressurized water distribution systems, the water hammer equations (Wylie &amp; Streeter, 1993; Chaudhry, 2014) are the distributed-parameter governing dynamics, playing the same role as the Saint-Venant equations for open channels. When the pipe length L is short relative to the wavelength of pressure fluctuations of interest (a lumped approximation valid at the time scales of pressure control), the distributed equations reduce to a single hydraulic capacitance:</w:t>
      </w:r>
    </w:p>
    <w:p>
      <w:pPr>
        <w:spacing w:line="480" w:before="160" w:after="160"/>
        <w:jc w:val="center"/>
      </w:pPr>
      <w:r>
        <w:drawing>
          <wp:inline distT="0" distB="0" distL="0" distR="0">
            <wp:extent cx="13525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52550" cy="266700"/>
                    </a:xfrm>
                    <a:prstGeom prst="rect">
                      <a:avLst/>
                    </a:prstGeom>
                  </pic:spPr>
                </pic:pic>
              </a:graphicData>
            </a:graphic>
          </wp:inline>
        </w:drawing>
      </w:r>
      <w:r>
        <w:rPr>
          <w:rFonts w:ascii="Times New Roman" w:cs="Times New Roman" w:eastAsia="Times New Roman" w:hAnsi="Times New Roman"/>
          <w:sz w:val="24"/>
          <w:szCs w:val="24"/>
        </w:rPr>
        <w:t xml:space="preserve">	(3)</w:t>
      </w:r>
    </w:p>
    <w:p>
      <w:pPr>
        <w:spacing w:line="480" w:after="0" w:before="0"/>
        <w:ind w:firstLine="720"/>
        <w:jc w:val="both"/>
      </w:pPr>
      <w:r>
        <w:rPr>
          <w:rFonts w:ascii="Times New Roman" w:cs="Times New Roman" w:eastAsia="Times New Roman" w:hAnsi="Times New Roman"/>
          <w:sz w:val="24"/>
          <w:szCs w:val="24"/>
        </w:rPr>
        <w:t xml:space="preserve">where H is piezometric head, Qᵈₑₘₐₙᵈ is the time-varying demand disturbance, and the hydraulic capacitance is:</w:t>
      </w:r>
    </w:p>
    <w:p>
      <w:pPr>
        <w:spacing w:line="480" w:before="160" w:after="160"/>
        <w:jc w:val="center"/>
      </w:pPr>
      <w:r>
        <w:drawing>
          <wp:inline distT="0" distB="0" distL="0" distR="0">
            <wp:extent cx="6000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 cy="257175"/>
                    </a:xfrm>
                    <a:prstGeom prst="rect">
                      <a:avLst/>
                    </a:prstGeom>
                  </pic:spPr>
                </pic:pic>
              </a:graphicData>
            </a:graphic>
          </wp:inline>
        </w:drawing>
      </w:r>
      <w:r>
        <w:rPr>
          <w:rFonts w:ascii="Times New Roman" w:cs="Times New Roman" w:eastAsia="Times New Roman" w:hAnsi="Times New Roman"/>
          <w:sz w:val="24"/>
          <w:szCs w:val="24"/>
        </w:rPr>
        <w:t xml:space="preserve">	(4)</w:t>
      </w:r>
    </w:p>
    <w:p>
      <w:pPr>
        <w:spacing w:line="480" w:after="0" w:before="0"/>
        <w:ind w:firstLine="720"/>
        <w:jc w:val="both"/>
      </w:pPr>
      <w:r>
        <w:rPr>
          <w:rFonts w:ascii="Times New Roman" w:cs="Times New Roman" w:eastAsia="Times New Roman" w:hAnsi="Times New Roman"/>
          <w:sz w:val="24"/>
          <w:szCs w:val="24"/>
        </w:rPr>
        <w:t xml:space="preserve">Here g is gravitational acceleration, A is the pipe cross-sectional area, L is the effective pipe length, and a is the pressure wave speed given by a² = (Kᶠ/ρ)/[1 + (KᶠDₚ)/(Ee)], where Kᶠ is the fluid bulk modulus (≈2.15 GPa for water), ρ is fluid density, E is the pipe Young’s modulus, e is the wall thickness, and Dₚ is the pipe diameter (Ghidaoui et al., 2005). The transfer function is:</w:t>
      </w:r>
    </w:p>
    <w:p>
      <w:pPr>
        <w:spacing w:line="480" w:before="160" w:after="160"/>
        <w:jc w:val="center"/>
      </w:pPr>
      <w:r>
        <w:drawing>
          <wp:inline distT="0" distB="0" distL="0" distR="0">
            <wp:extent cx="13239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23975" cy="304800"/>
                    </a:xfrm>
                    <a:prstGeom prst="rect">
                      <a:avLst/>
                    </a:prstGeom>
                  </pic:spPr>
                </pic:pic>
              </a:graphicData>
            </a:graphic>
          </wp:inline>
        </w:drawing>
      </w:r>
      <w:r>
        <w:rPr>
          <w:rFonts w:ascii="Times New Roman" w:cs="Times New Roman" w:eastAsia="Times New Roman" w:hAnsi="Times New Roman"/>
          <w:sz w:val="24"/>
          <w:szCs w:val="24"/>
        </w:rPr>
        <w:t xml:space="preserve">	(5)</w:t>
      </w:r>
    </w:p>
    <w:p>
      <w:pPr>
        <w:spacing w:line="480" w:after="0" w:before="0"/>
        <w:ind w:firstLine="720"/>
        <w:jc w:val="both"/>
      </w:pPr>
      <w:r>
        <w:rPr>
          <w:rFonts w:ascii="Times New Roman" w:cs="Times New Roman" w:eastAsia="Times New Roman" w:hAnsi="Times New Roman"/>
          <w:sz w:val="24"/>
          <w:szCs w:val="24"/>
        </w:rPr>
        <w:t xml:space="preserve">This is a pure integrator—structurally identical to the canal Integrator model G(s) = 1/(Aₛ · s). The correspondence is physically revealing: the canal backwater area Aₛ represents gravitational storage capacity (a free-surface area that absorbs flow imbalances by changing water level), while the pipe hydraulic capacitance Cₕ represents elastic storage capacity (combined fluid compression and pipe wall expansion that absorbs flow imbalances by changing pressure head). Both are instances of Family α with τₘ = 0, τᵈ = 0, and the effective storage parameter being Aₛ (canal, m²) or Cₕ (pipe, m³/m = m² when expressed per unit head). The key physical difference is the time scale: the much faster wave speed in pressurized systems (a ≈ 1000 m/s vs. c ≈ 1 m/s for open channels) compresses the transport delay from hours to seconds, requiring correspondingly faster sampling for control.</w:t>
      </w:r>
    </w:p>
    <w:p>
      <w:pPr>
        <w:spacing w:line="480" w:after="80" w:before="240"/>
        <w:jc w:val="both"/>
      </w:pPr>
      <w:r>
        <w:rPr>
          <w:rFonts w:ascii="Times New Roman" w:cs="Times New Roman" w:eastAsia="Times New Roman" w:hAnsi="Times New Roman"/>
          <w:b/>
          <w:bCs/>
          <w:sz w:val="26"/>
          <w:szCs w:val="26"/>
        </w:rPr>
        <w:t xml:space="preserve">4.5  The Actuator Reduction: Steady-State Boundary Conditions</w:t>
      </w:r>
    </w:p>
    <w:p>
      <w:pPr>
        <w:spacing w:line="480" w:after="0" w:before="0"/>
        <w:ind w:firstLine="720"/>
        <w:jc w:val="both"/>
      </w:pPr>
      <w:r>
        <w:rPr>
          <w:rFonts w:ascii="Times New Roman" w:cs="Times New Roman" w:eastAsia="Times New Roman" w:hAnsi="Times New Roman"/>
          <w:sz w:val="24"/>
          <w:szCs w:val="24"/>
        </w:rPr>
        <w:t xml:space="preserve">The unified transfer function family (Theorem 2) describes how water levels and flows evolve between actuator boundaries—the global dynamics of pools, reaches, and pipe segments. But every such model requires boundary conditions specifying how flow relates to control inputs (gate opening, pump speed, valve position, wicket gate angle) and local heads. These boundary conditions—the actuator characteristic curves—are themselves products of order reduction: the local momentum or energy equation at each actuator is simplified to a static algebraic map by invoking the same steady-state assumption that produces Level 1 (SS) in the plant hierarchy, but applied locally at the actuator boundary rather than globally across a reach.</w:t>
      </w:r>
    </w:p>
    <w:p>
      <w:pPr>
        <w:spacing w:line="480" w:after="0" w:before="0"/>
        <w:ind w:firstLine="720"/>
        <w:jc w:val="both"/>
      </w:pPr>
      <w:r>
        <w:rPr>
          <w:rFonts w:ascii="Times New Roman" w:cs="Times New Roman" w:eastAsia="Times New Roman" w:hAnsi="Times New Roman"/>
          <w:sz w:val="24"/>
          <w:szCs w:val="24"/>
        </w:rPr>
        <w:t xml:space="preserve">The physical starting point for every water system actuator is Newton’s second law applied to the fluid element accelerating through the constriction or interacting with a rotating machine. For gates and valves, the unsteady Bernoulli equation along the streamline gives Lₐ(dv/dt) + ½v² = gΔH, where Lₐ is the effective length of the accelerating water column and ΔH = Hᵤₚ − Hᵈₙ the driving head. The transient solution v(t) = √(2gΔH)·tanh(t/τᶝ) has a gate water-column time constant τᶝ = Lₐ/√(2gΔH), typically 0.1–1 s. For pumps, the Euler turbomachinery equation couples with rotational dynamics J(dω/dt) = Tₘₒₜₒᵣ − Tₕᵧᵈ, where the mechanical time constant Tₘ = Jω₀/T₀ is typically 2–10 s. For turbines, the penstock rigid water column equation Tᵥ(dq/dt) = h₀ − h − f(q) introduces the water starting time Tᵥ = LQ₀/(gAH₀), typically 0.5–4 s, yielding the non-minimum-phase transfer function Gₚ(s) = (1 − Tᵥs)/(1 + 0.5Tᵥs) for the linearized ideal turbine (Kundur, 1994; IEEE Working Group, 1992).</w:t>
      </w:r>
    </w:p>
    <w:p>
      <w:pPr>
        <w:spacing w:line="480" w:after="0" w:before="0"/>
        <w:ind w:firstLine="720"/>
        <w:jc w:val="both"/>
      </w:pPr>
      <w:r>
        <w:rPr>
          <w:rFonts w:ascii="Times New Roman" w:cs="Times New Roman" w:eastAsia="Times New Roman" w:hAnsi="Times New Roman"/>
          <w:sz w:val="24"/>
          <w:szCs w:val="24"/>
        </w:rPr>
        <w:t xml:space="preserve">Setting all time derivatives to zero eliminates these fast local dynamics, producing a static nonlinear map Q = f(u, Hᵤₚ, Hᵈₙ) for each actuator type: the orifice equation Q = Cᵈ·w·u·√(2gΔH) for sluice gates (Henderson, 1966), the pump characteristic H = αN² + βNQ + γQ² with affinity laws for variable-speed pumps, the valve equation Q = Cᵥ(u)·√(ΔP/ρ) with inherent characteristics (linear, equal-percentage, or quick-opening) per ISA-75.01, and the turbine Hill chart Q = Q₁₁(n₁₁, α)·D²√H which at synchronous speed simplifies to Q = G√H—exactly the orifice equation. We formalize this observation.</w:t>
      </w:r>
    </w:p>
    <w:p>
      <w:pPr>
        <w:spacing w:line="480" w:after="0" w:before="0"/>
        <w:ind w:firstLine="720"/>
        <w:jc w:val="both"/>
      </w:pPr>
      <w:r>
        <w:rPr>
          <w:rFonts w:ascii="Times New Roman" w:cs="Times New Roman" w:eastAsia="Times New Roman" w:hAnsi="Times New Roman"/>
          <w:b/>
          <w:bCs/>
          <w:i/>
          <w:iCs/>
          <w:sz w:val="24"/>
          <w:szCs w:val="24"/>
        </w:rPr>
        <w:t xml:space="preserve">Lemma 3 (Unified Actuator Characteristic). </w:t>
      </w:r>
      <w:r>
        <w:rPr>
          <w:rFonts w:ascii="Times New Roman" w:cs="Times New Roman" w:eastAsia="Times New Roman" w:hAnsi="Times New Roman"/>
          <w:sz w:val="24"/>
          <w:szCs w:val="24"/>
        </w:rPr>
        <w:t xml:space="preserve">Every water system actuator—gate, pump, valve, or turbine—when modeled under the quasi-steady (zero-inertia) assumption, produces a static nonlinear map Q = f(u, Hᵤₚ, Hᵈₙ). Linearization about an operating point (Q₀, u₀, H₀) yields the universal three-term boundary condition:</w:t>
      </w:r>
    </w:p>
    <w:p>
      <w:pPr>
        <w:spacing w:line="480" w:before="160" w:after="160"/>
        <w:jc w:val="center"/>
      </w:pPr>
      <w:r>
        <w:drawing>
          <wp:inline distT="0" distB="0" distL="0" distR="0">
            <wp:extent cx="204787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47875" cy="123825"/>
                    </a:xfrm>
                    <a:prstGeom prst="rect">
                      <a:avLst/>
                    </a:prstGeom>
                  </pic:spPr>
                </pic:pic>
              </a:graphicData>
            </a:graphic>
          </wp:inline>
        </w:drawing>
      </w:r>
      <w:r>
        <w:rPr>
          <w:rFonts w:ascii="Times New Roman" w:cs="Times New Roman" w:eastAsia="Times New Roman" w:hAnsi="Times New Roman"/>
          <w:sz w:val="24"/>
          <w:szCs w:val="24"/>
        </w:rPr>
        <w:t xml:space="preserve">	(6)</w:t>
      </w:r>
    </w:p>
    <w:p>
      <w:pPr>
        <w:spacing w:line="480" w:after="0" w:before="0"/>
        <w:ind w:firstLine="720"/>
        <w:jc w:val="both"/>
      </w:pPr>
      <w:r>
        <w:rPr>
          <w:rFonts w:ascii="Times New Roman" w:cs="Times New Roman" w:eastAsia="Times New Roman" w:hAnsi="Times New Roman"/>
          <w:sz w:val="24"/>
          <w:szCs w:val="24"/>
        </w:rPr>
        <w:t xml:space="preserve">where α = ∂Q/∂u is the actuator gain, βᵤₚ = ∂Q/∂Hᵤₚ, and βᵈₙ = ∂Q/∂Hᵈₙ. For all orifice-type actuators (gates, valves, turbines at fixed speed), βᵈₙ = −βᵤₚ by antisymmetry of the ΔH dependence, and βᵤₚ = Q₀/(2ΔH₀) universally, reflecting the √(ΔH) structure common to all. Table 5 provides the specific coefficients.</w:t>
      </w:r>
    </w:p>
    <w:p>
      <w:pPr>
        <w:spacing w:line="280" w:after="100" w:before="0"/>
        <w:jc w:val="both"/>
      </w:pPr>
      <w:r>
        <w:rPr>
          <w:rFonts w:ascii="Times New Roman" w:cs="Times New Roman" w:eastAsia="Times New Roman" w:hAnsi="Times New Roman"/>
          <w:b/>
          <w:bCs/>
          <w:sz w:val="24"/>
          <w:szCs w:val="24"/>
        </w:rPr>
        <w:t xml:space="preserve">Table 5. </w:t>
      </w:r>
      <w:r>
        <w:rPr>
          <w:rFonts w:ascii="Times New Roman" w:cs="Times New Roman" w:eastAsia="Times New Roman" w:hAnsi="Times New Roman"/>
          <w:i/>
          <w:iCs/>
          <w:sz w:val="24"/>
          <w:szCs w:val="24"/>
        </w:rPr>
        <w:t xml:space="preserve">Linearized actuator coefficients (Lemma 3). All four actuator types share the same algebraic structure; only the physical parameters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800"/>
        <w:gridCol w:w="1800"/>
        <w:gridCol w:w="900"/>
        <w:gridCol w:w="900"/>
      </w:tblGrid>
      <w:tr>
        <w:tc>
          <w:tcPr>
            <w:tcW w:type="dxa" w:w="18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8"/>
                <w:szCs w:val="18"/>
              </w:rPr>
              <w:t xml:space="preserve">Actuator</w:t>
            </w:r>
          </w:p>
        </w:tc>
        <w:tc>
          <w:tcPr>
            <w:tcW w:type="dxa" w:w="10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8"/>
                <w:szCs w:val="18"/>
              </w:rPr>
              <w:t xml:space="preserve">Control</w:t>
            </w:r>
            <w:r>
              <w:br/>
            </w:r>
            <w:r>
              <w:rPr>
                <w:rFonts w:ascii="Times New Roman" w:cs="Times New Roman" w:eastAsia="Times New Roman" w:hAnsi="Times New Roman"/>
                <w:b/>
                <w:bCs/>
                <w:sz w:val="18"/>
                <w:szCs w:val="18"/>
              </w:rPr>
              <w:t xml:space="preserve">input u</w:t>
            </w:r>
          </w:p>
        </w:tc>
        <w:tc>
          <w:tcPr>
            <w:tcW w:type="dxa" w:w="18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8"/>
                <w:szCs w:val="18"/>
              </w:rPr>
              <w:t xml:space="preserve">Gain α = ∂Q/∂u</w:t>
            </w:r>
          </w:p>
        </w:tc>
        <w:tc>
          <w:tcPr>
            <w:tcW w:type="dxa" w:w="18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8"/>
                <w:szCs w:val="18"/>
              </w:rPr>
              <w:t xml:space="preserve">βᵤₚ = ∂Q/∂Hᵤₚ</w:t>
            </w:r>
          </w:p>
        </w:tc>
        <w:tc>
          <w:tcPr>
            <w:tcW w:type="dxa" w:w="9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8"/>
                <w:szCs w:val="18"/>
              </w:rPr>
              <w:t xml:space="preserve">Elim. τ (s)</w:t>
            </w:r>
          </w:p>
        </w:tc>
        <w:tc>
          <w:tcPr>
            <w:tcW w:type="dxa" w:w="9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18"/>
                <w:szCs w:val="18"/>
              </w:rPr>
              <w:t xml:space="preserve">Domain</w:t>
            </w:r>
          </w:p>
        </w:tc>
      </w:tr>
      <w:tr>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Sluice gate</w:t>
            </w:r>
            <w:r>
              <w:br/>
            </w:r>
            <w:r>
              <w:rPr>
                <w:rFonts w:ascii="Times New Roman" w:cs="Times New Roman" w:eastAsia="Times New Roman" w:hAnsi="Times New Roman"/>
                <w:sz w:val="18"/>
                <w:szCs w:val="18"/>
              </w:rPr>
              <w:t xml:space="preserve">(Henderson,</w:t>
            </w:r>
            <w:r>
              <w:br/>
            </w:r>
            <w:r>
              <w:rPr>
                <w:rFonts w:ascii="Times New Roman" w:cs="Times New Roman" w:eastAsia="Times New Roman" w:hAnsi="Times New Roman"/>
                <w:sz w:val="18"/>
                <w:szCs w:val="18"/>
              </w:rPr>
              <w:t xml:space="preserve">1966)</w:t>
            </w:r>
          </w:p>
        </w:tc>
        <w:tc>
          <w:tcPr>
            <w:tcW w:type="dxa" w:w="1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Opening</w:t>
            </w:r>
            <w:r>
              <w:br/>
            </w:r>
            <w:r>
              <w:rPr>
                <w:rFonts w:ascii="Times New Roman" w:cs="Times New Roman" w:eastAsia="Times New Roman" w:hAnsi="Times New Roman"/>
                <w:sz w:val="18"/>
                <w:szCs w:val="18"/>
              </w:rPr>
              <w:t xml:space="preserve">height w</w:t>
            </w:r>
          </w:p>
        </w:tc>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Q₀/w₀</w:t>
            </w:r>
          </w:p>
        </w:tc>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Q₀/(2ΔH₀)</w:t>
            </w:r>
          </w:p>
        </w:tc>
        <w:tc>
          <w:tcPr>
            <w:tcW w:type="dxa" w:w="9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0.1–1</w:t>
            </w:r>
          </w:p>
        </w:tc>
        <w:tc>
          <w:tcPr>
            <w:tcW w:type="dxa" w:w="9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Canal,</w:t>
            </w:r>
            <w:r>
              <w:br/>
            </w:r>
            <w:r>
              <w:rPr>
                <w:rFonts w:ascii="Times New Roman" w:cs="Times New Roman" w:eastAsia="Times New Roman" w:hAnsi="Times New Roman"/>
                <w:sz w:val="18"/>
                <w:szCs w:val="18"/>
              </w:rPr>
              <w:t xml:space="preserve">reservoir</w:t>
            </w:r>
          </w:p>
        </w:tc>
      </w:tr>
      <w:tr>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VFD pump</w:t>
            </w:r>
          </w:p>
        </w:tc>
        <w:tc>
          <w:tcPr>
            <w:tcW w:type="dxa" w:w="1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Speed N</w:t>
            </w:r>
          </w:p>
        </w:tc>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−(∂H/∂N)/</w:t>
            </w:r>
            <w:r>
              <w:br/>
            </w:r>
            <w:r>
              <w:rPr>
                <w:rFonts w:ascii="Times New Roman" w:cs="Times New Roman" w:eastAsia="Times New Roman" w:hAnsi="Times New Roman"/>
                <w:sz w:val="18"/>
                <w:szCs w:val="18"/>
              </w:rPr>
              <w:t xml:space="preserve">(∂H/∂Q−∂hₗ/∂Q)</w:t>
            </w:r>
          </w:p>
        </w:tc>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−1/(∂H/∂Q−∂hₗ/∂Q)</w:t>
            </w:r>
          </w:p>
        </w:tc>
        <w:tc>
          <w:tcPr>
            <w:tcW w:type="dxa" w:w="9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2–10</w:t>
            </w:r>
          </w:p>
        </w:tc>
        <w:tc>
          <w:tcPr>
            <w:tcW w:type="dxa" w:w="9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Urban,</w:t>
            </w:r>
            <w:r>
              <w:br/>
            </w:r>
            <w:r>
              <w:rPr>
                <w:rFonts w:ascii="Times New Roman" w:cs="Times New Roman" w:eastAsia="Times New Roman" w:hAnsi="Times New Roman"/>
                <w:sz w:val="18"/>
                <w:szCs w:val="18"/>
              </w:rPr>
              <w:t xml:space="preserve">transfer</w:t>
            </w:r>
          </w:p>
        </w:tc>
      </w:tr>
      <w:tr>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Control valve</w:t>
            </w:r>
            <w:r>
              <w:br/>
            </w:r>
            <w:r>
              <w:rPr>
                <w:rFonts w:ascii="Times New Roman" w:cs="Times New Roman" w:eastAsia="Times New Roman" w:hAnsi="Times New Roman"/>
                <w:sz w:val="18"/>
                <w:szCs w:val="18"/>
              </w:rPr>
              <w:t xml:space="preserve">(Seborg et al.,</w:t>
            </w:r>
            <w:r>
              <w:br/>
            </w:r>
            <w:r>
              <w:rPr>
                <w:rFonts w:ascii="Times New Roman" w:cs="Times New Roman" w:eastAsia="Times New Roman" w:hAnsi="Times New Roman"/>
                <w:sz w:val="18"/>
                <w:szCs w:val="18"/>
              </w:rPr>
              <w:t xml:space="preserve">2011)</w:t>
            </w:r>
          </w:p>
        </w:tc>
        <w:tc>
          <w:tcPr>
            <w:tcW w:type="dxa" w:w="1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Stem</w:t>
            </w:r>
            <w:r>
              <w:br/>
            </w:r>
            <w:r>
              <w:rPr>
                <w:rFonts w:ascii="Times New Roman" w:cs="Times New Roman" w:eastAsia="Times New Roman" w:hAnsi="Times New Roman"/>
                <w:sz w:val="18"/>
                <w:szCs w:val="18"/>
              </w:rPr>
              <w:t xml:space="preserve">position u</w:t>
            </w:r>
          </w:p>
        </w:tc>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(dCᵥ/du)√(ΔP/ρ)</w:t>
            </w:r>
          </w:p>
        </w:tc>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Q₀/(2ΔP₀/ρg)</w:t>
            </w:r>
          </w:p>
        </w:tc>
        <w:tc>
          <w:tcPr>
            <w:tcW w:type="dxa" w:w="9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0.1–0.5</w:t>
            </w:r>
          </w:p>
        </w:tc>
        <w:tc>
          <w:tcPr>
            <w:tcW w:type="dxa" w:w="9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Urban,</w:t>
            </w:r>
            <w:r>
              <w:br/>
            </w:r>
            <w:r>
              <w:rPr>
                <w:rFonts w:ascii="Times New Roman" w:cs="Times New Roman" w:eastAsia="Times New Roman" w:hAnsi="Times New Roman"/>
                <w:sz w:val="18"/>
                <w:szCs w:val="18"/>
              </w:rPr>
              <w:t xml:space="preserve">industrial</w:t>
            </w:r>
          </w:p>
        </w:tc>
      </w:tr>
      <w:tr>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Turbine</w:t>
            </w:r>
            <w:r>
              <w:br/>
            </w:r>
            <w:r>
              <w:rPr>
                <w:rFonts w:ascii="Times New Roman" w:cs="Times New Roman" w:eastAsia="Times New Roman" w:hAnsi="Times New Roman"/>
                <w:sz w:val="18"/>
                <w:szCs w:val="18"/>
              </w:rPr>
              <w:t xml:space="preserve">(Kundur,</w:t>
            </w:r>
            <w:r>
              <w:br/>
            </w:r>
            <w:r>
              <w:rPr>
                <w:rFonts w:ascii="Times New Roman" w:cs="Times New Roman" w:eastAsia="Times New Roman" w:hAnsi="Times New Roman"/>
                <w:sz w:val="18"/>
                <w:szCs w:val="18"/>
              </w:rPr>
              <w:t xml:space="preserve">1994)</w:t>
            </w:r>
          </w:p>
        </w:tc>
        <w:tc>
          <w:tcPr>
            <w:tcW w:type="dxa" w:w="1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Wicket</w:t>
            </w:r>
            <w:r>
              <w:br/>
            </w:r>
            <w:r>
              <w:rPr>
                <w:rFonts w:ascii="Times New Roman" w:cs="Times New Roman" w:eastAsia="Times New Roman" w:hAnsi="Times New Roman"/>
                <w:sz w:val="18"/>
                <w:szCs w:val="18"/>
              </w:rPr>
              <w:t xml:space="preserve">gate G</w:t>
            </w:r>
          </w:p>
        </w:tc>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√H₀</w:t>
            </w:r>
          </w:p>
        </w:tc>
        <w:tc>
          <w:tcPr>
            <w:tcW w:type="dxa" w:w="1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G₀/(2√H₀)</w:t>
            </w:r>
          </w:p>
        </w:tc>
        <w:tc>
          <w:tcPr>
            <w:tcW w:type="dxa" w:w="9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0.5–4</w:t>
            </w:r>
          </w:p>
        </w:tc>
        <w:tc>
          <w:tcPr>
            <w:tcW w:type="dxa" w:w="9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18"/>
                <w:szCs w:val="18"/>
              </w:rPr>
              <w:t xml:space="preserve">Hydro-</w:t>
            </w:r>
            <w:r>
              <w:br/>
            </w:r>
            <w:r>
              <w:rPr>
                <w:rFonts w:ascii="Times New Roman" w:cs="Times New Roman" w:eastAsia="Times New Roman" w:hAnsi="Times New Roman"/>
                <w:sz w:val="18"/>
                <w:szCs w:val="18"/>
              </w:rPr>
              <w:t xml:space="preserve">power</w:t>
            </w:r>
          </w:p>
        </w:tc>
      </w:tr>
    </w:tbl>
    <w:p>
      <w:pPr>
        <w:spacing w:line="480" w:after="0" w:before="0"/>
        <w:ind w:firstLine="720"/>
        <w:jc w:val="both"/>
      </w:pPr>
      <w:r>
        <w:rPr>
          <w:rFonts w:ascii="Times New Roman" w:cs="Times New Roman" w:eastAsia="Times New Roman" w:hAnsi="Times New Roman"/>
          <w:sz w:val="24"/>
          <w:szCs w:val="24"/>
        </w:rPr>
        <w:t xml:space="preserve">The time-scale separation justifying this reduction is quantitative: the eliminated actuator dynamics (0.1–10 s) are two to three orders of magnitude faster than the retained plant dynamics (100–10,000 s for canal pools; 10–1,000 s for pipe networks). This ratio ensures the actuator reaches its new equilibrium before the plant can respond appreciably. The quasi-steady assumption fails only during emergency transients (water hammer from rapid gate closure, pump trip) where the Joukowsky pressure surge ΔH = a·V/g must be captured—but these are precisely the events handled by Layer 0 (Safety) using the full Level 5 model (Theorem 3), not the control-design levels.</w:t>
      </w:r>
    </w:p>
    <w:p>
      <w:pPr>
        <w:spacing w:line="480" w:after="0" w:before="0"/>
        <w:ind w:firstLine="720"/>
        <w:jc w:val="both"/>
      </w:pPr>
      <w:r>
        <w:rPr>
          <w:rFonts w:ascii="Times New Roman" w:cs="Times New Roman" w:eastAsia="Times New Roman" w:hAnsi="Times New Roman"/>
          <w:sz w:val="24"/>
          <w:szCs w:val="24"/>
        </w:rPr>
        <w:t xml:space="preserve">This actuator reduction is the second instance of the order-reduction principle (P3) applied in the CHS framework. The first, developed in Sections 4.1–4.4, reduces the global plant dynamics (Saint-Venant PDE → transfer function → integrator → steady state). The second, formalized here, reduces the local actuator dynamics (unsteady Bernoulli/Euler → static characteristic curve → linearized gains). The two reductions are consistent because the time scales nest cleanly: τₐᶜₜᵤₐₜₒᵣ ≪ τᵥₐᵥₑ ≪ τₚₒₒₗ. Together, the global plant transfer function (Theorem 2) and the local actuator algebraic boundary condition (Lemma 3) provide a complete, modular description of any water control system: swap in any actuator type by substituting (α, βᵤₚ, βᵈₙ) without altering the plant model structure.</w:t>
      </w:r>
    </w:p>
    <w:p>
      <w:pPr>
        <w:spacing w:line="480" w:after="80" w:before="240"/>
        <w:jc w:val="both"/>
      </w:pPr>
      <w:r>
        <w:rPr>
          <w:rFonts w:ascii="Times New Roman" w:cs="Times New Roman" w:eastAsia="Times New Roman" w:hAnsi="Times New Roman"/>
          <w:b/>
          <w:bCs/>
          <w:sz w:val="26"/>
          <w:szCs w:val="26"/>
        </w:rPr>
        <w:t xml:space="preserve">4.6  The Five-Level Hierarchy: A Principled Reduction Path</w:t>
      </w:r>
    </w:p>
    <w:p>
      <w:pPr>
        <w:spacing w:line="480" w:after="0" w:before="0"/>
        <w:ind w:firstLine="720"/>
        <w:jc w:val="both"/>
      </w:pPr>
      <w:r>
        <w:rPr>
          <w:rFonts w:ascii="Times New Roman" w:cs="Times New Roman" w:eastAsia="Times New Roman" w:hAnsi="Times New Roman"/>
          <w:sz w:val="24"/>
          <w:szCs w:val="24"/>
        </w:rPr>
        <w:t xml:space="preserve">We now formalize the five-level hierarchy as a sequence of mathematically principled reductions from the full PDE dynamics to algebraic balance. Each level is obtained from the one above by a specific simplification—linearization, zero neglect, delay neglect, or steady-state assumption—and each discards dynamics operating at time scales faster than the corresponding control function requires. For the non-self-regulating family (Family α), which governs most controlled water infrastructure:</w:t>
      </w:r>
    </w:p>
    <w:p>
      <w:pPr>
        <w:spacing w:line="480" w:after="60" w:before="0"/>
        <w:ind w:left="720"/>
        <w:jc w:val="both"/>
      </w:pPr>
      <w:r>
        <w:rPr>
          <w:rFonts w:ascii="Times New Roman" w:cs="Times New Roman" w:eastAsia="Times New Roman" w:hAnsi="Times New Roman"/>
          <w:b/>
          <w:bCs/>
          <w:sz w:val="24"/>
          <w:szCs w:val="24"/>
        </w:rPr>
        <w:t xml:space="preserve">Level 5 — Linearized Saint-Venant (LSV). </w:t>
      </w:r>
      <w:r>
        <w:rPr>
          <w:rFonts w:ascii="Times New Roman" w:cs="Times New Roman" w:eastAsia="Times New Roman" w:hAnsi="Times New Roman"/>
          <w:sz w:val="24"/>
          <w:szCs w:val="24"/>
        </w:rPr>
        <w:t xml:space="preserve">The full linearized one-dimensional unsteady flow equations with wave speeds c± = v ± √(gA/T). For pressurized systems: water hammer equations with wave speed a. Infinite-dimensional; equivalent to the diffusion wave PDE (Equation 1) when inertia is secondary. Valid at all time scales; used for safety verification.</w:t>
      </w:r>
    </w:p>
    <w:p>
      <w:pPr>
        <w:spacing w:line="480" w:after="60" w:before="0"/>
        <w:ind w:left="720"/>
        <w:jc w:val="both"/>
      </w:pPr>
      <w:r>
        <w:rPr>
          <w:rFonts w:ascii="Times New Roman" w:cs="Times New Roman" w:eastAsia="Times New Roman" w:hAnsi="Times New Roman"/>
          <w:b/>
          <w:bCs/>
          <w:sz w:val="24"/>
          <w:szCs w:val="24"/>
        </w:rPr>
        <w:t xml:space="preserve">Level 4 — Integrator-Delay-Zero (IDZ). </w:t>
      </w:r>
      <w:r>
        <w:rPr>
          <w:rFonts w:ascii="Times New Roman" w:cs="Times New Roman" w:eastAsia="Times New Roman" w:hAnsi="Times New Roman"/>
          <w:sz w:val="24"/>
          <w:szCs w:val="24"/>
        </w:rPr>
        <w:t xml:space="preserve">G(s) = (1 + τₘs) · e^(−τᵈs) / (Aₛ · s). Three physically meaningful parameters derived from low-frequency approximation (Litrico &amp; Fromion, 2004). Self-regulating dual: Muskingum H(s) = (1 − KXs)/(1 + K(1−X)s), via Corollary 1. Third-order after Padé approximation. Valid at minutes-to-hours; used for pool-level regulation (Layer 1).</w:t>
      </w:r>
    </w:p>
    <w:p>
      <w:pPr>
        <w:spacing w:line="480" w:after="60" w:before="0"/>
        <w:ind w:left="720"/>
        <w:jc w:val="both"/>
      </w:pPr>
      <w:r>
        <w:rPr>
          <w:rFonts w:ascii="Times New Roman" w:cs="Times New Roman" w:eastAsia="Times New Roman" w:hAnsi="Times New Roman"/>
          <w:b/>
          <w:bCs/>
          <w:sz w:val="24"/>
          <w:szCs w:val="24"/>
        </w:rPr>
        <w:t xml:space="preserve">Level 3 — Integrator-Delay (ID). </w:t>
      </w:r>
      <w:r>
        <w:rPr>
          <w:rFonts w:ascii="Times New Roman" w:cs="Times New Roman" w:eastAsia="Times New Roman" w:hAnsi="Times New Roman"/>
          <w:sz w:val="24"/>
          <w:szCs w:val="24"/>
        </w:rPr>
        <w:t xml:space="preserve">G(s) = e^(−τᵈs) / (Aₛ · s). Neglects backwater zero (τₘ = 0). Introduced by Schuurmans (1997); equivalent to IPDT in process control. Self-regulating dual: FOPDT. Cunge (1969) showed this structure is the diffusion wave PDE discretized with K = Δx/c, X = ½(1 − q/(S₀cΔx)). Valid at hours.</w:t>
      </w:r>
    </w:p>
    <w:p>
      <w:pPr>
        <w:spacing w:line="480" w:after="60" w:before="0"/>
        <w:ind w:left="720"/>
        <w:jc w:val="both"/>
      </w:pPr>
      <w:r>
        <w:rPr>
          <w:rFonts w:ascii="Times New Roman" w:cs="Times New Roman" w:eastAsia="Times New Roman" w:hAnsi="Times New Roman"/>
          <w:b/>
          <w:bCs/>
          <w:sz w:val="24"/>
          <w:szCs w:val="24"/>
        </w:rPr>
        <w:t xml:space="preserve">Level 2 — Integrator (I) / Linear Reservoir (LR). </w:t>
      </w:r>
      <w:r>
        <w:rPr>
          <w:rFonts w:ascii="Times New Roman" w:cs="Times New Roman" w:eastAsia="Times New Roman" w:hAnsi="Times New Roman"/>
          <w:sz w:val="24"/>
          <w:szCs w:val="24"/>
        </w:rPr>
        <w:t xml:space="preserve">G(s) = 1/(Aₛ · s) or H(s) = 1/(1+Ks). Neglects delay (τᵈ = 0). Family α: reservoir continuity dV/dt = Qᵢₙ − Qₒᵤₜ, pipe compliance Cₕ·dH/dt = ΔQ. Family β: Nash linear reservoir S = KQ. Lemma 2 shows n cascaded reservoirs converge to pure delay as n → ∞. First-order; valid at hours-to-days; used for coordination (Layer 2).</w:t>
      </w:r>
    </w:p>
    <w:p>
      <w:pPr>
        <w:spacing w:line="480" w:after="60" w:before="0"/>
        <w:ind w:left="720"/>
        <w:jc w:val="both"/>
      </w:pPr>
      <w:r>
        <w:rPr>
          <w:rFonts w:ascii="Times New Roman" w:cs="Times New Roman" w:eastAsia="Times New Roman" w:hAnsi="Times New Roman"/>
          <w:b/>
          <w:bCs/>
          <w:sz w:val="24"/>
          <w:szCs w:val="24"/>
        </w:rPr>
        <w:t xml:space="preserve">Level 1 — Steady-State Mass Balance (SS). </w:t>
      </w:r>
      <w:r>
        <w:rPr>
          <w:rFonts w:ascii="Times New Roman" w:cs="Times New Roman" w:eastAsia="Times New Roman" w:hAnsi="Times New Roman"/>
          <w:sz w:val="24"/>
          <w:szCs w:val="24"/>
        </w:rPr>
        <w:t xml:space="preserve">Sets dV/dt = 0, yielding Qᵢₙ = Qₒᵤₜ + Qₗₒₛₛ. Zero-order (no dynamics). The level at which conventional water resources systems analysis operates (Loucks &amp; van Beek, 2017). Valid at days-to-seasons; used for planning.</w:t>
      </w:r>
    </w:p>
    <w:p>
      <w:pPr>
        <w:spacing w:line="480" w:after="0" w:before="0"/>
        <w:ind w:firstLine="720"/>
        <w:jc w:val="both"/>
      </w:pPr>
      <w:r>
        <w:rPr>
          <w:rFonts w:ascii="Times New Roman" w:cs="Times New Roman" w:eastAsia="Times New Roman" w:hAnsi="Times New Roman"/>
          <w:sz w:val="24"/>
          <w:szCs w:val="24"/>
        </w:rPr>
        <w:t xml:space="preserve">The reduction path LSV → IDZ → ID → I → SS is not arbitrary; each step is a mathematically principled operation. The self-regulating branch follows a parallel path: diffusion wave PDE → Muskingum (lead-lag) → FOPDT → linear reservoir → steady-state rating curve. Figure 2 illustrates the complete dual hierarchy.</w:t>
      </w:r>
    </w:p>
    <w:p>
      <w:pPr>
        <w:spacing w:line="480" w:after="60" w:before="120"/>
        <w:jc w:val="center"/>
      </w:pPr>
      <w:r>
        <w:rPr>
          <w:rFonts w:ascii="Times New Roman" w:cs="Times New Roman" w:eastAsia="Times New Roman" w:hAnsi="Times New Roman"/>
          <w:b/>
          <w:bCs/>
          <w:i/>
          <w:iCs/>
          <w:sz w:val="24"/>
          <w:szCs w:val="24"/>
        </w:rPr>
        <w:t xml:space="preserve">[Figure 2 about here]</w:t>
      </w:r>
    </w:p>
    <w:p>
      <w:pPr>
        <w:spacing w:line="480" w:after="80" w:before="240"/>
        <w:jc w:val="both"/>
      </w:pPr>
      <w:r>
        <w:rPr>
          <w:rFonts w:ascii="Times New Roman" w:cs="Times New Roman" w:eastAsia="Times New Roman" w:hAnsi="Times New Roman"/>
          <w:b/>
          <w:bCs/>
          <w:sz w:val="26"/>
          <w:szCs w:val="26"/>
        </w:rPr>
        <w:t xml:space="preserve">4.7  From Saint-Venant to State Space: The IDZ Derivation</w:t>
      </w:r>
    </w:p>
    <w:p>
      <w:pPr>
        <w:spacing w:line="480" w:after="0" w:before="0"/>
        <w:ind w:firstLine="720"/>
        <w:jc w:val="both"/>
      </w:pPr>
      <w:r>
        <w:rPr>
          <w:rFonts w:ascii="Times New Roman" w:cs="Times New Roman" w:eastAsia="Times New Roman" w:hAnsi="Times New Roman"/>
          <w:sz w:val="24"/>
          <w:szCs w:val="24"/>
        </w:rPr>
        <w:t xml:space="preserve">The derivation of the IDZ model proceeds through four steps, following Litrico and Fromion (2004, 2009). Step 1: Linearization of the Saint-Venant equations around steady-state uniform flow (Q₀, y₀), yielding linear hyperbolic PDEs. Boundary conditions are the linearized actuator characteristic (Lemma 3): qᵤ(t) = αᵤΔuᵤ(t) + βᵤΔy(0,t) at x = 0 and qᵈ(t) = αᵈΔuᵈ(t) + βᵈΔy(L,t) at x = L. Step 2: Laplace transform converts PDEs to ODEs in s, with solutions as 2×2 transfer matrices. The key result of Litrico and Fromion (2004) is that the downstream-level-to-upstream-flow element p₁₁(s), despite involving irrational hyperbolic functions, admits a low-frequency rational approximation. Step 3: IDZ approximation at low frequencies: G(s) ≈ (1/Aₛ)(1 + τₘs)/(s · e^(−τᵈs)), with Aₛ ≈ T₀L, τᵈ ≈ L/(v₀ + c₀), and τₘ ≈ L/(2c₀). Step 4: Padé approximation e^(−τᵈs) ≈ (1 − τᵈs/2)/(1 + τᵈs/2) and discretization at sampling period Tₛ yield x(k+1) = Ax(k) + Bu(k) + Bᵈd(k), y(k) = Cx(k), with 3×3 state vector x = [pool volume deviation; delayed input; Padé auxiliary]ᵀ.</w:t>
      </w:r>
    </w:p>
    <w:p>
      <w:pPr>
        <w:spacing w:line="480" w:after="0" w:before="0"/>
        <w:ind w:firstLine="720"/>
        <w:jc w:val="both"/>
      </w:pPr>
      <w:r>
        <w:rPr>
          <w:rFonts w:ascii="Times New Roman" w:cs="Times New Roman" w:eastAsia="Times New Roman" w:hAnsi="Times New Roman"/>
          <w:sz w:val="24"/>
          <w:szCs w:val="24"/>
        </w:rPr>
        <w:t xml:space="preserve">This four-step chain—linearization, Laplace transform, rational approximation, discretization—is the canonical CHS derivation for Level 4 models. The Cunge (1969) route provides an alternative for the self-regulating branch: finite-difference discretization of the diffusion wave PDE (Equation 1) with numerical diffusion matching. Both routes converge on the unified family (Theorem 2).</w:t>
      </w:r>
    </w:p>
    <w:p>
      <w:pPr>
        <w:spacing w:line="480" w:after="80" w:before="240"/>
        <w:jc w:val="both"/>
      </w:pPr>
      <w:r>
        <w:rPr>
          <w:rFonts w:ascii="Times New Roman" w:cs="Times New Roman" w:eastAsia="Times New Roman" w:hAnsi="Times New Roman"/>
          <w:b/>
          <w:bCs/>
          <w:sz w:val="26"/>
          <w:szCs w:val="26"/>
        </w:rPr>
        <w:t xml:space="preserve">4.8  Model–Layer Correspondence</w:t>
      </w:r>
    </w:p>
    <w:p>
      <w:pPr>
        <w:spacing w:line="480" w:after="0" w:before="0"/>
        <w:ind w:firstLine="720"/>
        <w:jc w:val="both"/>
      </w:pPr>
      <w:r>
        <w:rPr>
          <w:rFonts w:ascii="Times New Roman" w:cs="Times New Roman" w:eastAsia="Times New Roman" w:hAnsi="Times New Roman"/>
          <w:b/>
          <w:bCs/>
          <w:i/>
          <w:iCs/>
          <w:sz w:val="24"/>
          <w:szCs w:val="24"/>
        </w:rPr>
        <w:t xml:space="preserve">Theorem 3 (Model–Layer Correspondence). </w:t>
      </w:r>
      <w:r>
        <w:rPr>
          <w:rFonts w:ascii="Times New Roman" w:cs="Times New Roman" w:eastAsia="Times New Roman" w:hAnsi="Times New Roman"/>
          <w:sz w:val="24"/>
          <w:szCs w:val="24"/>
        </w:rPr>
        <w:t xml:space="preserve">In a CHS-compliant control architecture, each control layer shall use a model of sufficient fidelity for its temporal scope and no more:</w:t>
      </w:r>
    </w:p>
    <w:p>
      <w:pPr>
        <w:spacing w:line="480" w:after="40" w:before="0"/>
        <w:ind w:left="1080"/>
        <w:jc w:val="both"/>
      </w:pPr>
      <w:r>
        <w:rPr>
          <w:rFonts w:ascii="Times New Roman" w:cs="Times New Roman" w:eastAsia="Times New Roman" w:hAnsi="Times New Roman"/>
          <w:b/>
          <w:bCs/>
          <w:sz w:val="24"/>
          <w:szCs w:val="24"/>
        </w:rPr>
        <w:t xml:space="preserve">(i) Layer 0 (Safety): </w:t>
      </w:r>
      <w:r>
        <w:rPr>
          <w:rFonts w:ascii="Times New Roman" w:cs="Times New Roman" w:eastAsia="Times New Roman" w:hAnsi="Times New Roman"/>
          <w:sz w:val="24"/>
          <w:szCs w:val="24"/>
        </w:rPr>
        <w:t xml:space="preserve">millisecond-to-second response. Level 5 (LSV) for offline verification; hardwired interlocks for runtime. No model-based computation in the critical path.</w:t>
      </w:r>
    </w:p>
    <w:p>
      <w:pPr>
        <w:spacing w:line="480" w:after="40" w:before="0"/>
        <w:ind w:left="1080"/>
        <w:jc w:val="both"/>
      </w:pPr>
      <w:r>
        <w:rPr>
          <w:rFonts w:ascii="Times New Roman" w:cs="Times New Roman" w:eastAsia="Times New Roman" w:hAnsi="Times New Roman"/>
          <w:b/>
          <w:bCs/>
          <w:sz w:val="24"/>
          <w:szCs w:val="24"/>
        </w:rPr>
        <w:t xml:space="preserve">(ii) Layer 1 (Regulation): </w:t>
      </w:r>
      <w:r>
        <w:rPr>
          <w:rFonts w:ascii="Times New Roman" w:cs="Times New Roman" w:eastAsia="Times New Roman" w:hAnsi="Times New Roman"/>
          <w:sz w:val="24"/>
          <w:szCs w:val="24"/>
        </w:rPr>
        <w:t xml:space="preserve">minute-scale response. Level 4 (IDZ or Muskingum, per boundary type) as internal model for MPC or LQR. Captures dominant dynamics while remaining tractable for real-time constrained optimization.</w:t>
      </w:r>
    </w:p>
    <w:p>
      <w:pPr>
        <w:spacing w:line="480" w:after="40" w:before="0"/>
        <w:ind w:left="1080"/>
        <w:jc w:val="both"/>
      </w:pPr>
      <w:r>
        <w:rPr>
          <w:rFonts w:ascii="Times New Roman" w:cs="Times New Roman" w:eastAsia="Times New Roman" w:hAnsi="Times New Roman"/>
          <w:b/>
          <w:bCs/>
          <w:sz w:val="24"/>
          <w:szCs w:val="24"/>
        </w:rPr>
        <w:t xml:space="preserve">(iii) Layer 2 (Coordination): </w:t>
      </w:r>
      <w:r>
        <w:rPr>
          <w:rFonts w:ascii="Times New Roman" w:cs="Times New Roman" w:eastAsia="Times New Roman" w:hAnsi="Times New Roman"/>
          <w:sz w:val="24"/>
          <w:szCs w:val="24"/>
        </w:rPr>
        <w:t xml:space="preserve">hour-scale response. Level 2 (I or LR) coupled through mass balance at junctions. Transport delays negligible at this temporal scope.</w:t>
      </w:r>
    </w:p>
    <w:p>
      <w:pPr>
        <w:spacing w:line="480" w:after="40" w:before="0"/>
        <w:ind w:left="1080"/>
        <w:jc w:val="both"/>
      </w:pPr>
      <w:r>
        <w:rPr>
          <w:rFonts w:ascii="Times New Roman" w:cs="Times New Roman" w:eastAsia="Times New Roman" w:hAnsi="Times New Roman"/>
          <w:b/>
          <w:bCs/>
          <w:sz w:val="24"/>
          <w:szCs w:val="24"/>
        </w:rPr>
        <w:t xml:space="preserve">(iv) Planning Layer: </w:t>
      </w:r>
      <w:r>
        <w:rPr>
          <w:rFonts w:ascii="Times New Roman" w:cs="Times New Roman" w:eastAsia="Times New Roman" w:hAnsi="Times New Roman"/>
          <w:sz w:val="24"/>
          <w:szCs w:val="24"/>
        </w:rPr>
        <w:t xml:space="preserve">day-to-week scale. Level 1 (SS)—algebraic mass balance (Loucks &amp; van Beek, 2017).</w:t>
      </w:r>
    </w:p>
    <w:p>
      <w:pPr>
        <w:spacing w:line="480" w:after="0" w:before="0"/>
        <w:ind w:firstLine="720"/>
        <w:jc w:val="both"/>
      </w:pPr>
      <w:r>
        <w:rPr>
          <w:rFonts w:ascii="Times New Roman" w:cs="Times New Roman" w:eastAsia="Times New Roman" w:hAnsi="Times New Roman"/>
          <w:sz w:val="24"/>
          <w:szCs w:val="24"/>
        </w:rPr>
        <w:t xml:space="preserve">The correspondence applies identically across subsectors via the unified family. For pressurized networks: water hammer → linearized network → quasi-steady with delay → compliance integrator → steady-state allocation. For reservoir systems: 2D hydrodynamic → 1D routing → Muskingum → storage continuity → water balance. Theorem 2 guarantees this universality. Horváth et al. (2024) recently demonstrated automatic model structure selection for canal control without manual tuning, empirically validating the model hierarchy: their algorithm recovers the IDZ structure when data support it and degrades gracefully to ID or I when they do not—exactly the behavior predicted by the CHS reduction path.</w:t>
      </w:r>
    </w:p>
    <w:p>
      <w:pPr>
        <w:spacing w:line="480" w:after="60" w:before="120"/>
        <w:jc w:val="center"/>
      </w:pPr>
      <w:r>
        <w:rPr>
          <w:rFonts w:ascii="Times New Roman" w:cs="Times New Roman" w:eastAsia="Times New Roman" w:hAnsi="Times New Roman"/>
          <w:b/>
          <w:bCs/>
          <w:i/>
          <w:iCs/>
          <w:sz w:val="24"/>
          <w:szCs w:val="24"/>
        </w:rPr>
        <w:t xml:space="preserve">[Figure 3 about here]</w:t>
      </w:r>
    </w:p>
    <w:p>
      <w:pPr>
        <w:spacing w:line="480" w:after="120" w:before="360"/>
        <w:jc w:val="both"/>
      </w:pPr>
      <w:r>
        <w:rPr>
          <w:rFonts w:ascii="Times New Roman" w:cs="Times New Roman" w:eastAsia="Times New Roman" w:hAnsi="Times New Roman"/>
          <w:b/>
          <w:bCs/>
          <w:sz w:val="28"/>
          <w:szCs w:val="28"/>
        </w:rPr>
        <w:t xml:space="preserve">5  The Eight Governing Principles</w:t>
      </w:r>
    </w:p>
    <w:p>
      <w:pPr>
        <w:spacing w:line="480" w:after="0" w:before="0"/>
        <w:ind w:firstLine="720"/>
        <w:jc w:val="both"/>
      </w:pPr>
      <w:r>
        <w:rPr>
          <w:rFonts w:ascii="Times New Roman" w:cs="Times New Roman" w:eastAsia="Times New Roman" w:hAnsi="Times New Roman"/>
          <w:sz w:val="24"/>
          <w:szCs w:val="24"/>
        </w:rPr>
        <w:t xml:space="preserve">Building on the formalization of Sections 3–4, we identify eight principles governing water system operations. The preliminary CHS framework (Lei, 2025a) identified feedback and decoupling as two foundational principles. Here we expand to eight, derived from systematic enumeration of four design dimensions—temporal, spatial, complexity, and systemic—each requiring both an operational mechanism and a resilience mechanism. The temporal dimension yields Feedback (P1) and Adaptation (P7); the spatial dimension yields Decoupling (P2) and Coordination (P6); the complexity dimension yields Order Reduction (P3) and Robustness (P5); the systemic dimension yields Emergence (P4) and Hierarchy (P8). This 4×2 structure provides a completeness argument: the eight principles are organized into an Operational Tetrad and a Resilience Tetrad, The four dimensions correspond to the four fundamental design degrees of freedom in any distributed control system: when to act (temporal), where to act (spatial), how much detail to model (complexity), and how to compose local decisions into global behavior (systemic). Each dimension requires both a mechanism for normal operation and a mechanism for maintaining performance under uncertainty, yielding the 4×2 structure. We acknowledge that an ‘informational’ dimension (data quality, communication bandwidth) could be argued as a fifth; we subsume it under the temporal (sampling) and spatial (communication topology) dimensions, but recognize this as a design choice rather than a mathematical necessity.</w:t>
      </w:r>
    </w:p>
    <w:p>
      <w:pPr>
        <w:spacing w:line="480" w:after="60" w:before="120"/>
        <w:jc w:val="center"/>
      </w:pPr>
      <w:r>
        <w:rPr>
          <w:rFonts w:ascii="Times New Roman" w:cs="Times New Roman" w:eastAsia="Times New Roman" w:hAnsi="Times New Roman"/>
          <w:b/>
          <w:bCs/>
          <w:i/>
          <w:iCs/>
          <w:sz w:val="24"/>
          <w:szCs w:val="24"/>
        </w:rPr>
        <w:t xml:space="preserve">[Figure 4 about here]</w:t>
      </w:r>
    </w:p>
    <w:p>
      <w:pPr>
        <w:spacing w:line="480" w:after="80" w:before="240"/>
        <w:jc w:val="both"/>
      </w:pPr>
      <w:r>
        <w:rPr>
          <w:rFonts w:ascii="Times New Roman" w:cs="Times New Roman" w:eastAsia="Times New Roman" w:hAnsi="Times New Roman"/>
          <w:b/>
          <w:bCs/>
          <w:sz w:val="26"/>
          <w:szCs w:val="26"/>
        </w:rPr>
        <w:t xml:space="preserve">5.1  The Operational Tetrad</w:t>
      </w:r>
    </w:p>
    <w:p>
      <w:pPr>
        <w:spacing w:line="480" w:after="60" w:before="200"/>
        <w:jc w:val="both"/>
      </w:pPr>
      <w:r>
        <w:rPr>
          <w:rFonts w:ascii="Times New Roman" w:cs="Times New Roman" w:eastAsia="Times New Roman" w:hAnsi="Times New Roman"/>
          <w:b/>
          <w:bCs/>
          <w:i/>
          <w:iCs/>
          <w:sz w:val="24"/>
          <w:szCs w:val="24"/>
        </w:rPr>
        <w:t xml:space="preserve">5.1.1  Principle 1: Feedback</w:t>
      </w:r>
    </w:p>
    <w:p>
      <w:pPr>
        <w:spacing w:line="480" w:after="0" w:before="0"/>
        <w:ind w:firstLine="720"/>
        <w:jc w:val="both"/>
      </w:pPr>
      <w:r>
        <w:rPr>
          <w:rFonts w:ascii="Times New Roman" w:cs="Times New Roman" w:eastAsia="Times New Roman" w:hAnsi="Times New Roman"/>
          <w:sz w:val="24"/>
          <w:szCs w:val="24"/>
        </w:rPr>
        <w:t xml:space="preserve">Feedback—continuously measuring system state and adjusting control actions to reduce discrepancy from desired states—is foundational. Without feedback, water system operation is open-loop scheduling: a pre-computed plan executed without regard to actual system response. Two factors amplify the necessity of feedback in water systems: disturbances are large and poorly predictable (inflows varying by orders of magnitude), and long transport delays mean consequences of errors accumulate far downstream. CHS emphasizes multi-scale feedback: fast local loops for safety (seconds), medium-speed loops for pool-level regulation (minutes), and slow outer loops for coordination (hours), as recognized by Clemmens and Schuurmans (2004). Water systems impose a specific constraint absent from most process control: the ratio of transport delay to dominant time constant, τᵈ/Kₛ, is typically 0.3–0.8—far larger than in chemical process control where τᵈ/Kₛ &lt; 0.1 is common (Seborg et al., 2011). This large delay ratio severely limits achievable closed-loop bandwidth and demands model-predictive (rather than purely reactive) feedback architectures.</w:t>
      </w:r>
    </w:p>
    <w:p>
      <w:pPr>
        <w:spacing w:line="480" w:after="60" w:before="200"/>
        <w:jc w:val="both"/>
      </w:pPr>
      <w:r>
        <w:rPr>
          <w:rFonts w:ascii="Times New Roman" w:cs="Times New Roman" w:eastAsia="Times New Roman" w:hAnsi="Times New Roman"/>
          <w:b/>
          <w:bCs/>
          <w:i/>
          <w:iCs/>
          <w:sz w:val="24"/>
          <w:szCs w:val="24"/>
        </w:rPr>
        <w:t xml:space="preserve">5.1.2  Principle 2: Decoupling</w:t>
      </w:r>
    </w:p>
    <w:p>
      <w:pPr>
        <w:spacing w:line="480" w:after="0" w:before="0"/>
        <w:ind w:firstLine="720"/>
        <w:jc w:val="both"/>
      </w:pPr>
      <w:r>
        <w:rPr>
          <w:rFonts w:ascii="Times New Roman" w:cs="Times New Roman" w:eastAsia="Times New Roman" w:hAnsi="Times New Roman"/>
          <w:sz w:val="24"/>
          <w:szCs w:val="24"/>
        </w:rPr>
        <w:t xml:space="preserve">Water networks are inherently coupled: a gate adjustment propagates both upstream (backwater) and downstream (flow disturbance), creating cascade effects across interconnected pools. The decoupling principle requires minimizing inter-subsystem disturbance propagation through local volume compensation. Litrico and Fromion (2009) demonstrated that downstream control inherently provides better decoupling by exploiting pool storage as a buffer. CHS generalizes: in any water network, natural storage elements (canal pools, reservoir zones, pipeline elastic capacity) should be systematically exploited as local disturbance absorbers (Lei, 2025a). Quantitatively, a pool with backwater area Aₛ can absorb a flow disturbance ΔQ for a duration Tₛᵤᶠ = Aₛ·Δyₘₐₓ/ΔQ before reaching constraint limits—the ‘decoupling time horizon.’ This horizon determines the minimum coordination update frequency: if Tᶜₒₘₘ &gt; Tₛᵤᶠ, the pool saturates before the coordinator can respond.</w:t>
      </w:r>
    </w:p>
    <w:p>
      <w:pPr>
        <w:spacing w:line="480" w:after="60" w:before="200"/>
        <w:jc w:val="both"/>
      </w:pPr>
      <w:r>
        <w:rPr>
          <w:rFonts w:ascii="Times New Roman" w:cs="Times New Roman" w:eastAsia="Times New Roman" w:hAnsi="Times New Roman"/>
          <w:b/>
          <w:bCs/>
          <w:i/>
          <w:iCs/>
          <w:sz w:val="24"/>
          <w:szCs w:val="24"/>
        </w:rPr>
        <w:t xml:space="preserve">5.1.3  Principle 3: Order Reduction</w:t>
      </w:r>
    </w:p>
    <w:p>
      <w:pPr>
        <w:spacing w:line="480" w:after="0" w:before="0"/>
        <w:ind w:firstLine="720"/>
        <w:jc w:val="both"/>
      </w:pPr>
      <w:r>
        <w:rPr>
          <w:rFonts w:ascii="Times New Roman" w:cs="Times New Roman" w:eastAsia="Times New Roman" w:hAnsi="Times New Roman"/>
          <w:sz w:val="24"/>
          <w:szCs w:val="24"/>
        </w:rPr>
        <w:t xml:space="preserve">The unified model hierarchy of Section 4 is the direct expression of this principle. Order reduction addresses the gap between PDE-level dynamics (∞-dimensional) and real-time computational requirements. The five-level hierarchy (LSV→IDZ→ID→I→SS) with its unified transfer function family (Theorem 2) provides a principled reduction path, where each level is a specific parameter specialization of the same three-parameter family. The key insight is that different control functions require different model fidelities, and that the downstream boundary condition determines which branch (Family α integrating or Family β self-regulating) applies—the selection governed by Theorem 3. The principle operates recursively at two scales: globally across reaches (Section 4.1–4.4) and locally at each actuator boundary (Section 4.5), where unsteady momentum equations are reduced to static characteristic curves with time-scale separation ratios of 100–10,000.</w:t>
      </w:r>
    </w:p>
    <w:p>
      <w:pPr>
        <w:spacing w:line="480" w:after="60" w:before="200"/>
        <w:jc w:val="both"/>
      </w:pPr>
      <w:r>
        <w:rPr>
          <w:rFonts w:ascii="Times New Roman" w:cs="Times New Roman" w:eastAsia="Times New Roman" w:hAnsi="Times New Roman"/>
          <w:b/>
          <w:bCs/>
          <w:i/>
          <w:iCs/>
          <w:sz w:val="24"/>
          <w:szCs w:val="24"/>
        </w:rPr>
        <w:t xml:space="preserve">5.1.4  Principle 4: Emergence</w:t>
      </w:r>
    </w:p>
    <w:p>
      <w:pPr>
        <w:spacing w:line="480" w:after="0" w:before="0"/>
        <w:ind w:firstLine="720"/>
        <w:jc w:val="both"/>
      </w:pPr>
      <w:r>
        <w:rPr>
          <w:rFonts w:ascii="Times New Roman" w:cs="Times New Roman" w:eastAsia="Times New Roman" w:hAnsi="Times New Roman"/>
          <w:sz w:val="24"/>
          <w:szCs w:val="24"/>
        </w:rPr>
        <w:t xml:space="preserve">Emergence refers to system-level behaviors arising from interactions among locally controlled subsystems. In water networks, emergence can be positive—autonomous pool controllers achieving network-wide flow balance without explicit central coordination—or negative—individually stable controllers producing network-level oscillations through hydrodynamic coupling. Multi-agent systems theory (Wooldridge, 2009) provides the analytical framework. The design challenge is defining local interaction rules that guarantee desirable emergent behavior, connecting to consensus algorithms and distributed optimization (Nedić &amp; Ozdaglar, 2009). Water networks exhibit a specific emergence pathology: downstream controllers, by rejecting disturbances back upstream, can create inter-pool oscillations whose period scales as 2Στᵈᵢ—the sum of transport delays along the cascade. This ‘hydraulic resonance’ is unique to spatially distributed flow systems and has no direct analog in electrical power grids or chemical process networks.</w:t>
      </w:r>
    </w:p>
    <w:p>
      <w:pPr>
        <w:spacing w:line="480" w:after="80" w:before="240"/>
        <w:jc w:val="both"/>
      </w:pPr>
      <w:r>
        <w:rPr>
          <w:rFonts w:ascii="Times New Roman" w:cs="Times New Roman" w:eastAsia="Times New Roman" w:hAnsi="Times New Roman"/>
          <w:b/>
          <w:bCs/>
          <w:sz w:val="26"/>
          <w:szCs w:val="26"/>
        </w:rPr>
        <w:t xml:space="preserve">5.2  The Resilience Tetrad</w:t>
      </w:r>
    </w:p>
    <w:p>
      <w:pPr>
        <w:spacing w:line="480" w:after="60" w:before="200"/>
        <w:jc w:val="both"/>
      </w:pPr>
      <w:r>
        <w:rPr>
          <w:rFonts w:ascii="Times New Roman" w:cs="Times New Roman" w:eastAsia="Times New Roman" w:hAnsi="Times New Roman"/>
          <w:b/>
          <w:bCs/>
          <w:i/>
          <w:iCs/>
          <w:sz w:val="24"/>
          <w:szCs w:val="24"/>
        </w:rPr>
        <w:t xml:space="preserve">5.2.1  Principle 5: Robustness</w:t>
      </w:r>
    </w:p>
    <w:p>
      <w:pPr>
        <w:spacing w:line="480" w:after="0" w:before="0"/>
        <w:ind w:firstLine="720"/>
        <w:jc w:val="both"/>
      </w:pPr>
      <w:r>
        <w:rPr>
          <w:rFonts w:ascii="Times New Roman" w:cs="Times New Roman" w:eastAsia="Times New Roman" w:hAnsi="Times New Roman"/>
          <w:sz w:val="24"/>
          <w:szCs w:val="24"/>
        </w:rPr>
        <w:t xml:space="preserve">Robustness maintains acceptable performance despite uncertainties in the plant model, sensor measurements, and disturbance forecasts. In water systems, channel roughness changes with sediment deposition, sensor calibration drifts, and hydrological forecasts carry substantial errors beyond 24–48 hours. Schuurmans (1997) was among the first to apply robust control theory to canal regulation. CHS elevates robustness from a property of individual controllers to a system-level architectural requirement.</w:t>
      </w:r>
    </w:p>
    <w:p>
      <w:pPr>
        <w:spacing w:line="480" w:after="60" w:before="200"/>
        <w:jc w:val="both"/>
      </w:pPr>
      <w:r>
        <w:rPr>
          <w:rFonts w:ascii="Times New Roman" w:cs="Times New Roman" w:eastAsia="Times New Roman" w:hAnsi="Times New Roman"/>
          <w:b/>
          <w:bCs/>
          <w:i/>
          <w:iCs/>
          <w:sz w:val="24"/>
          <w:szCs w:val="24"/>
        </w:rPr>
        <w:t xml:space="preserve">5.2.2  Principle 6: Coordination</w:t>
      </w:r>
    </w:p>
    <w:p>
      <w:pPr>
        <w:spacing w:line="480" w:after="0" w:before="0"/>
        <w:ind w:firstLine="720"/>
        <w:jc w:val="both"/>
      </w:pPr>
      <w:r>
        <w:rPr>
          <w:rFonts w:ascii="Times New Roman" w:cs="Times New Roman" w:eastAsia="Times New Roman" w:hAnsi="Times New Roman"/>
          <w:sz w:val="24"/>
          <w:szCs w:val="24"/>
        </w:rPr>
        <w:t xml:space="preserve">Coordination aligns distributed controllers for system-wide objectives under constraints of spatial distribution, limited communication bandwidth, and jurisdictional boundaries. CHS frames this through distributed MPC: each subsystem solves a local optimization while exchanging boundary information with neighbors (Negenborn et al., 2009; Maestre &amp; Negenborn, 2014). The South-to-North Water Diversion Middle Route, with 64 check gates over 1,432 km, exemplifies the need: centralized MPC is computationally intractable at this scale.</w:t>
      </w:r>
    </w:p>
    <w:p>
      <w:pPr>
        <w:spacing w:line="480" w:after="60" w:before="200"/>
        <w:jc w:val="both"/>
      </w:pPr>
      <w:r>
        <w:rPr>
          <w:rFonts w:ascii="Times New Roman" w:cs="Times New Roman" w:eastAsia="Times New Roman" w:hAnsi="Times New Roman"/>
          <w:b/>
          <w:bCs/>
          <w:i/>
          <w:iCs/>
          <w:sz w:val="24"/>
          <w:szCs w:val="24"/>
        </w:rPr>
        <w:t xml:space="preserve">5.2.3  Principle 7: Adaptation</w:t>
      </w:r>
    </w:p>
    <w:p>
      <w:pPr>
        <w:spacing w:line="480" w:after="0" w:before="0"/>
        <w:ind w:firstLine="720"/>
        <w:jc w:val="both"/>
      </w:pPr>
      <w:r>
        <w:rPr>
          <w:rFonts w:ascii="Times New Roman" w:cs="Times New Roman" w:eastAsia="Times New Roman" w:hAnsi="Times New Roman"/>
          <w:sz w:val="24"/>
          <w:szCs w:val="24"/>
        </w:rPr>
        <w:t xml:space="preserve">Adaptation modifies control behavior when operating conditions exceed the design envelope. The Operational Design Domain (ODD) concept from autonomous vehicles (SAE International, 2021; ISO, 2022) is central to CHS: for each autonomy level, the conditions for autonomous operation are explicitly defined, and the system transitions to lower automation or human control at ODD boundaries. The autonomous water network architecture (Lei, 2025b), defining Water Network Intelligence Levels WN-L0 through WN-L5, operationalizes this principle.</w:t>
      </w:r>
    </w:p>
    <w:p>
      <w:pPr>
        <w:spacing w:line="480" w:after="60" w:before="200"/>
        <w:jc w:val="both"/>
      </w:pPr>
      <w:r>
        <w:rPr>
          <w:rFonts w:ascii="Times New Roman" w:cs="Times New Roman" w:eastAsia="Times New Roman" w:hAnsi="Times New Roman"/>
          <w:b/>
          <w:bCs/>
          <w:i/>
          <w:iCs/>
          <w:sz w:val="24"/>
          <w:szCs w:val="24"/>
        </w:rPr>
        <w:t xml:space="preserve">5.2.4  Principle 8: Hierarchy</w:t>
      </w:r>
    </w:p>
    <w:p>
      <w:pPr>
        <w:spacing w:line="480" w:after="0" w:before="0"/>
        <w:ind w:firstLine="720"/>
        <w:jc w:val="both"/>
      </w:pPr>
      <w:r>
        <w:rPr>
          <w:rFonts w:ascii="Times New Roman" w:cs="Times New Roman" w:eastAsia="Times New Roman" w:hAnsi="Times New Roman"/>
          <w:sz w:val="24"/>
          <w:szCs w:val="24"/>
        </w:rPr>
        <w:t xml:space="preserve">Hierarchy organizes the control system in multiple layers: Layer 0 (Safety)—local PLCs providing interlocks at millisecond response without requiring communication; Layer 1 (Regulation)—pool-level MPC at minute-scale; Layer 2 (Coordination)—system-wide optimization at hourly scale. This mirrors the ISA-95 industrial automation model, the primary/secondary/tertiary frequency control hierarchy in power systems, and the stability augmentation/autopilot/flight management hierarchy in aerospace. CHS formalizes this specifically for water networks, defining information interfaces between layers and specifying graceful degradation requirements: each layer must maintain safety autonomously if communication with higher layers is lost—a direct consequence of OS5.</w:t>
      </w:r>
    </w:p>
    <w:p>
      <w:pPr>
        <w:spacing w:line="480" w:after="80" w:before="240"/>
        <w:jc w:val="both"/>
      </w:pPr>
      <w:r>
        <w:rPr>
          <w:rFonts w:ascii="Times New Roman" w:cs="Times New Roman" w:eastAsia="Times New Roman" w:hAnsi="Times New Roman"/>
          <w:b/>
          <w:bCs/>
          <w:sz w:val="26"/>
          <w:szCs w:val="26"/>
        </w:rPr>
        <w:t xml:space="preserve">5.3  Inter-Principle Tradeoffs</w:t>
      </w:r>
    </w:p>
    <w:p>
      <w:pPr>
        <w:spacing w:line="480" w:after="0" w:before="0"/>
        <w:ind w:firstLine="720"/>
        <w:jc w:val="both"/>
      </w:pPr>
      <w:r>
        <w:rPr>
          <w:rFonts w:ascii="Times New Roman" w:cs="Times New Roman" w:eastAsia="Times New Roman" w:hAnsi="Times New Roman"/>
          <w:sz w:val="24"/>
          <w:szCs w:val="24"/>
        </w:rPr>
        <w:t xml:space="preserve">A critical feature distinguishing CHS from a mere taxonomy is that the eight principles exhibit fundamental tradeoffs defining the feasible design space. We identify four primary tensions:</w:t>
      </w:r>
    </w:p>
    <w:p>
      <w:pPr>
        <w:spacing w:line="480" w:after="0" w:before="0"/>
        <w:ind w:firstLine="720"/>
        <w:jc w:val="both"/>
      </w:pPr>
      <w:r>
        <w:rPr>
          <w:rFonts w:ascii="Times New Roman" w:cs="Times New Roman" w:eastAsia="Times New Roman" w:hAnsi="Times New Roman"/>
          <w:b/>
          <w:bCs/>
          <w:i/>
          <w:iCs/>
          <w:sz w:val="24"/>
          <w:szCs w:val="24"/>
        </w:rPr>
        <w:t xml:space="preserve">Feedback–Robustness tension (P1–P5). </w:t>
      </w:r>
      <w:r>
        <w:rPr>
          <w:rFonts w:ascii="Times New Roman" w:cs="Times New Roman" w:eastAsia="Times New Roman" w:hAnsi="Times New Roman"/>
          <w:sz w:val="24"/>
          <w:szCs w:val="24"/>
        </w:rPr>
        <w:t xml:space="preserve">Faster feedback improves disturbance rejection but amplifies sensor noise and model uncertainty. In water systems with large transport delays, aggressive feedback gains can destabilize the control loop (Schuurmans, 1997). The resolution lies in model-based feedback (MPC) that explicitly accounts for delay and uncertainty, rather than high-gain reactive control.</w:t>
      </w:r>
    </w:p>
    <w:p>
      <w:pPr>
        <w:spacing w:line="480" w:after="0" w:before="0"/>
        <w:ind w:firstLine="720"/>
        <w:jc w:val="both"/>
      </w:pPr>
      <w:r>
        <w:rPr>
          <w:rFonts w:ascii="Times New Roman" w:cs="Times New Roman" w:eastAsia="Times New Roman" w:hAnsi="Times New Roman"/>
          <w:b/>
          <w:bCs/>
          <w:i/>
          <w:iCs/>
          <w:sz w:val="24"/>
          <w:szCs w:val="24"/>
        </w:rPr>
        <w:t xml:space="preserve">Decoupling–Coordination tension (P2–P6). </w:t>
      </w:r>
      <w:r>
        <w:rPr>
          <w:rFonts w:ascii="Times New Roman" w:cs="Times New Roman" w:eastAsia="Times New Roman" w:hAnsi="Times New Roman"/>
          <w:sz w:val="24"/>
          <w:szCs w:val="24"/>
        </w:rPr>
        <w:t xml:space="preserve">Perfect decoupling eliminates disturbance propagation but sacrifices global optimality—water stored locally for decoupling is unavailable for system-wide redistribution. Perfect coordination requires centralized optimization, which is computationally intractable and vulnerable to communication failure. The resolution is hierarchical DMPC: strong decoupling at Layer 1 combined with loose coordination at Layer 2.</w:t>
      </w:r>
    </w:p>
    <w:p>
      <w:pPr>
        <w:spacing w:line="480" w:after="0" w:before="0"/>
        <w:ind w:firstLine="720"/>
        <w:jc w:val="both"/>
      </w:pPr>
      <w:r>
        <w:rPr>
          <w:rFonts w:ascii="Times New Roman" w:cs="Times New Roman" w:eastAsia="Times New Roman" w:hAnsi="Times New Roman"/>
          <w:b/>
          <w:bCs/>
          <w:i/>
          <w:iCs/>
          <w:sz w:val="24"/>
          <w:szCs w:val="24"/>
        </w:rPr>
        <w:t xml:space="preserve">Order Reduction–Robustness tension (P3–P5). </w:t>
      </w:r>
      <w:r>
        <w:rPr>
          <w:rFonts w:ascii="Times New Roman" w:cs="Times New Roman" w:eastAsia="Times New Roman" w:hAnsi="Times New Roman"/>
          <w:sz w:val="24"/>
          <w:szCs w:val="24"/>
        </w:rPr>
        <w:t xml:space="preserve">More aggressive model simplification enables faster computation but introduces larger modeling errors. The IDZ model neglects high-frequency dynamics; using it for fast safety protection may miss rapid transients. CHS resolves this through scale-appropriate model selection (Theorem 3): Level 5 for safety verification, Level 4 for regulation, Level 2 for coordination.</w:t>
      </w:r>
    </w:p>
    <w:p>
      <w:pPr>
        <w:spacing w:line="480" w:after="0" w:before="0"/>
        <w:ind w:firstLine="720"/>
        <w:jc w:val="both"/>
      </w:pPr>
      <w:r>
        <w:rPr>
          <w:rFonts w:ascii="Times New Roman" w:cs="Times New Roman" w:eastAsia="Times New Roman" w:hAnsi="Times New Roman"/>
          <w:b/>
          <w:bCs/>
          <w:i/>
          <w:iCs/>
          <w:sz w:val="24"/>
          <w:szCs w:val="24"/>
        </w:rPr>
        <w:t xml:space="preserve">Emergence–Hierarchy tension (P4–P8). </w:t>
      </w:r>
      <w:r>
        <w:rPr>
          <w:rFonts w:ascii="Times New Roman" w:cs="Times New Roman" w:eastAsia="Times New Roman" w:hAnsi="Times New Roman"/>
          <w:sz w:val="24"/>
          <w:szCs w:val="24"/>
        </w:rPr>
        <w:t xml:space="preserve">Greater local autonomy reduces communication requirements and increases resilience, but decreases system-level predictability. Stronger hierarchical control provides tighter performance guarantees but creates single points of failure. CHS advocates ‘residual autonomy’: hierarchical coordination under normal conditions, with graceful degradation to emergent local control when communication is impaired—a direct consequence of OS5.</w:t>
      </w:r>
    </w:p>
    <w:p>
      <w:pPr>
        <w:spacing w:line="480" w:after="0" w:before="0"/>
        <w:ind w:firstLine="720"/>
        <w:jc w:val="both"/>
      </w:pPr>
      <w:r>
        <w:rPr>
          <w:rFonts w:ascii="Times New Roman" w:cs="Times New Roman" w:eastAsia="Times New Roman" w:hAnsi="Times New Roman"/>
          <w:sz w:val="24"/>
          <w:szCs w:val="24"/>
        </w:rPr>
        <w:t xml:space="preserve">These tradeoffs interact: the Feedback–Robustness tension couples with Order Reduction–Robustness through internal model choice, and Decoupling–Coordination couples with Emergence–Hierarchy through communication architecture. A complete CHS design navigates this multi-dimensional tradeoff space, with the operational singularity (Definition 1) providing the ultimate criterion: any configuration that risks constraint violation under plausible uncertainty is inadmissible, regardless of performance optimality.</w:t>
      </w:r>
    </w:p>
    <w:p>
      <w:pPr>
        <w:spacing w:line="480" w:after="0" w:before="0"/>
        <w:jc w:val="both"/>
      </w:pPr>
      <w:r>
        <w:rPr>
          <w:rFonts w:ascii="Times New Roman" w:cs="Times New Roman" w:eastAsia="Times New Roman" w:hAnsi="Times New Roman"/>
          <w:sz w:val="24"/>
          <w:szCs w:val="24"/>
        </w:rPr>
        <w:t xml:space="preserve"/>
      </w:r>
    </w:p>
    <w:p>
      <w:pPr>
        <w:spacing w:line="280" w:after="100" w:before="0"/>
        <w:jc w:val="both"/>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i/>
          <w:iCs/>
          <w:sz w:val="24"/>
          <w:szCs w:val="24"/>
        </w:rPr>
        <w:t xml:space="preserve">Summary of the eight CHS principles with primary inter-principle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200"/>
        <w:gridCol w:w="2700"/>
        <w:gridCol w:w="2300"/>
        <w:gridCol w:w="2010"/>
      </w:tblGrid>
      <w:tr>
        <w:tc>
          <w:tcPr>
            <w:tcW w:type="dxa" w:w="75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w:t>
            </w:r>
          </w:p>
        </w:tc>
        <w:tc>
          <w:tcPr>
            <w:tcW w:type="dxa" w:w="12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Principle</w:t>
            </w:r>
          </w:p>
        </w:tc>
        <w:tc>
          <w:tcPr>
            <w:tcW w:type="dxa" w:w="27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CHS Definition</w:t>
            </w:r>
          </w:p>
        </w:tc>
        <w:tc>
          <w:tcPr>
            <w:tcW w:type="dxa" w:w="230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Mathematical Tools</w:t>
            </w:r>
          </w:p>
        </w:tc>
        <w:tc>
          <w:tcPr>
            <w:tcW w:type="dxa" w:w="2010"/>
            <w:tcBorders>
              <w:top w:val="single" w:color="999999" w:sz="1"/>
              <w:left w:val="single" w:color="999999" w:sz="1"/>
              <w:bottom w:val="single" w:color="999999" w:sz="1"/>
              <w:right w:val="single" w:color="999999" w:sz="1"/>
            </w:tcBorders>
            <w:shd w:fill="D6E4F0"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Primary Tradeoff</w:t>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w:r>
          </w:p>
        </w:tc>
        <w:tc>
          <w:tcPr>
            <w:tcW w:type="dxa" w:w="2700"/>
            <w:tcBorders>
              <w:top w:val="single" w:color="999999" w:sz="1"/>
              <w:left w:val="single" w:color="999999" w:sz="1"/>
              <w:bottom w:val="single" w:color="999999" w:sz="1"/>
              <w:right w:val="single" w:color="999999" w:sz="1"/>
            </w:tcBorders>
            <w:shd w:fill="EBF0F7" w:val="clear"/>
            <w:tcMar>
              <w:top w:type="dxa" w:w="50"/>
              <w:left w:type="dxa" w:w="70"/>
              <w:bottom w:type="dxa" w:w="50"/>
              <w:right w:type="dxa" w:w="70"/>
            </w:tcMar>
          </w:tcPr>
          <w:p>
            <w:pPr>
              <w:spacing w:line="240"/>
            </w:pPr>
            <w:r>
              <w:rPr>
                <w:rFonts w:ascii="Times New Roman" w:cs="Times New Roman" w:eastAsia="Times New Roman" w:hAnsi="Times New Roman"/>
                <w:b/>
                <w:bCs/>
                <w:i/>
                <w:iCs/>
                <w:sz w:val="20"/>
                <w:szCs w:val="20"/>
              </w:rPr>
              <w:t xml:space="preserve">OPERATIONAL TETRAD</w:t>
            </w:r>
          </w:p>
        </w:tc>
        <w:tc>
          <w:tcPr>
            <w:tcW w:type="dxa" w:w="2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w:r>
          </w:p>
        </w:tc>
        <w:tc>
          <w:tcPr>
            <w:tcW w:type="dxa" w:w="20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P1</w:t>
            </w:r>
          </w:p>
        </w:tc>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Feedback</w:t>
            </w:r>
          </w:p>
        </w:tc>
        <w:tc>
          <w:tcPr>
            <w:tcW w:type="dxa" w:w="2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Closed-loop disturbance</w:t>
            </w:r>
            <w:r>
              <w:br/>
            </w:r>
            <w:r>
              <w:rPr>
                <w:rFonts w:ascii="Times New Roman" w:cs="Times New Roman" w:eastAsia="Times New Roman" w:hAnsi="Times New Roman"/>
                <w:sz w:val="20"/>
                <w:szCs w:val="20"/>
              </w:rPr>
              <w:t xml:space="preserve">rejection and setpoint</w:t>
            </w:r>
            <w:r>
              <w:br/>
            </w:r>
            <w:r>
              <w:rPr>
                <w:rFonts w:ascii="Times New Roman" w:cs="Times New Roman" w:eastAsia="Times New Roman" w:hAnsi="Times New Roman"/>
                <w:sz w:val="20"/>
                <w:szCs w:val="20"/>
              </w:rPr>
              <w:t xml:space="preserve">tracking</w:t>
            </w:r>
          </w:p>
        </w:tc>
        <w:tc>
          <w:tcPr>
            <w:tcW w:type="dxa" w:w="2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PID, LQR, MPC,</w:t>
            </w:r>
            <w:r>
              <w:br/>
            </w:r>
            <w:r>
              <w:rPr>
                <w:rFonts w:ascii="Times New Roman" w:cs="Times New Roman" w:eastAsia="Times New Roman" w:hAnsi="Times New Roman"/>
                <w:sz w:val="20"/>
                <w:szCs w:val="20"/>
              </w:rPr>
              <w:t xml:space="preserve">Kalman filtering</w:t>
            </w:r>
          </w:p>
        </w:tc>
        <w:tc>
          <w:tcPr>
            <w:tcW w:type="dxa" w:w="20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Speed vs. noise</w:t>
            </w:r>
            <w:r>
              <w:br/>
            </w:r>
            <w:r>
              <w:rPr>
                <w:rFonts w:ascii="Times New Roman" w:cs="Times New Roman" w:eastAsia="Times New Roman" w:hAnsi="Times New Roman"/>
                <w:sz w:val="20"/>
                <w:szCs w:val="20"/>
              </w:rPr>
              <w:t xml:space="preserve">sensitivity</w:t>
            </w:r>
            <w:r>
              <w:br/>
            </w:r>
            <w:r>
              <w:rPr>
                <w:rFonts w:ascii="Times New Roman" w:cs="Times New Roman" w:eastAsia="Times New Roman" w:hAnsi="Times New Roman"/>
                <w:sz w:val="20"/>
                <w:szCs w:val="20"/>
              </w:rPr>
              <w:t xml:space="preserve">(↔ P5 Robustness)</w:t>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P2</w:t>
            </w:r>
          </w:p>
        </w:tc>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Decoupling</w:t>
            </w:r>
          </w:p>
        </w:tc>
        <w:tc>
          <w:tcPr>
            <w:tcW w:type="dxa" w:w="2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Minimizing inter-subsystem</w:t>
            </w:r>
            <w:r>
              <w:br/>
            </w:r>
            <w:r>
              <w:rPr>
                <w:rFonts w:ascii="Times New Roman" w:cs="Times New Roman" w:eastAsia="Times New Roman" w:hAnsi="Times New Roman"/>
                <w:sz w:val="20"/>
                <w:szCs w:val="20"/>
              </w:rPr>
              <w:t xml:space="preserve">disturbance propagation via</w:t>
            </w:r>
            <w:r>
              <w:br/>
            </w:r>
            <w:r>
              <w:rPr>
                <w:rFonts w:ascii="Times New Roman" w:cs="Times New Roman" w:eastAsia="Times New Roman" w:hAnsi="Times New Roman"/>
                <w:sz w:val="20"/>
                <w:szCs w:val="20"/>
              </w:rPr>
              <w:t xml:space="preserve">local storage utilization</w:t>
            </w:r>
          </w:p>
        </w:tc>
        <w:tc>
          <w:tcPr>
            <w:tcW w:type="dxa" w:w="2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Volume compensation,</w:t>
            </w:r>
            <w:r>
              <w:br/>
            </w:r>
            <w:r>
              <w:rPr>
                <w:rFonts w:ascii="Times New Roman" w:cs="Times New Roman" w:eastAsia="Times New Roman" w:hAnsi="Times New Roman"/>
                <w:sz w:val="20"/>
                <w:szCs w:val="20"/>
              </w:rPr>
              <w:t xml:space="preserve">feedforward,</w:t>
            </w:r>
            <w:r>
              <w:br/>
            </w:r>
            <w:r>
              <w:rPr>
                <w:rFonts w:ascii="Times New Roman" w:cs="Times New Roman" w:eastAsia="Times New Roman" w:hAnsi="Times New Roman"/>
                <w:sz w:val="20"/>
                <w:szCs w:val="20"/>
              </w:rPr>
              <w:t xml:space="preserve">disturbance rejection</w:t>
            </w:r>
          </w:p>
        </w:tc>
        <w:tc>
          <w:tcPr>
            <w:tcW w:type="dxa" w:w="20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Isolation vs. global</w:t>
            </w:r>
            <w:r>
              <w:br/>
            </w:r>
            <w:r>
              <w:rPr>
                <w:rFonts w:ascii="Times New Roman" w:cs="Times New Roman" w:eastAsia="Times New Roman" w:hAnsi="Times New Roman"/>
                <w:sz w:val="20"/>
                <w:szCs w:val="20"/>
              </w:rPr>
              <w:t xml:space="preserve">optimality</w:t>
            </w:r>
            <w:r>
              <w:br/>
            </w:r>
            <w:r>
              <w:rPr>
                <w:rFonts w:ascii="Times New Roman" w:cs="Times New Roman" w:eastAsia="Times New Roman" w:hAnsi="Times New Roman"/>
                <w:sz w:val="20"/>
                <w:szCs w:val="20"/>
              </w:rPr>
              <w:t xml:space="preserve">(↔ P6 Coordination)</w:t>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P3</w:t>
            </w:r>
          </w:p>
        </w:tc>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Order</w:t>
            </w:r>
            <w:r>
              <w:br/>
            </w:r>
            <w:r>
              <w:rPr>
                <w:rFonts w:ascii="Times New Roman" w:cs="Times New Roman" w:eastAsia="Times New Roman" w:hAnsi="Times New Roman"/>
                <w:sz w:val="20"/>
                <w:szCs w:val="20"/>
              </w:rPr>
              <w:t xml:space="preserve">Reduction</w:t>
            </w:r>
          </w:p>
        </w:tc>
        <w:tc>
          <w:tcPr>
            <w:tcW w:type="dxa" w:w="2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Systematic model</w:t>
            </w:r>
            <w:r>
              <w:br/>
            </w:r>
            <w:r>
              <w:rPr>
                <w:rFonts w:ascii="Times New Roman" w:cs="Times New Roman" w:eastAsia="Times New Roman" w:hAnsi="Times New Roman"/>
                <w:sz w:val="20"/>
                <w:szCs w:val="20"/>
              </w:rPr>
              <w:t xml:space="preserve">simplification:</w:t>
            </w:r>
            <w:r>
              <w:br/>
            </w:r>
            <w:r>
              <w:rPr>
                <w:rFonts w:ascii="Times New Roman" w:cs="Times New Roman" w:eastAsia="Times New Roman" w:hAnsi="Times New Roman"/>
                <w:sz w:val="20"/>
                <w:szCs w:val="20"/>
              </w:rPr>
              <w:t xml:space="preserve">LSV→IDZ→ID→I→SS</w:t>
            </w:r>
          </w:p>
        </w:tc>
        <w:tc>
          <w:tcPr>
            <w:tcW w:type="dxa" w:w="2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Model reduction,</w:t>
            </w:r>
            <w:r>
              <w:br/>
            </w:r>
            <w:r>
              <w:rPr>
                <w:rFonts w:ascii="Times New Roman" w:cs="Times New Roman" w:eastAsia="Times New Roman" w:hAnsi="Times New Roman"/>
                <w:sz w:val="20"/>
                <w:szCs w:val="20"/>
              </w:rPr>
              <w:t xml:space="preserve">frequency analysis,</w:t>
            </w:r>
            <w:r>
              <w:br/>
            </w:r>
            <w:r>
              <w:rPr>
                <w:rFonts w:ascii="Times New Roman" w:cs="Times New Roman" w:eastAsia="Times New Roman" w:hAnsi="Times New Roman"/>
                <w:sz w:val="20"/>
                <w:szCs w:val="20"/>
              </w:rPr>
              <w:t xml:space="preserve">singular perturbation</w:t>
            </w:r>
          </w:p>
        </w:tc>
        <w:tc>
          <w:tcPr>
            <w:tcW w:type="dxa" w:w="20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Simplicity vs. model</w:t>
            </w:r>
            <w:r>
              <w:br/>
            </w:r>
            <w:r>
              <w:rPr>
                <w:rFonts w:ascii="Times New Roman" w:cs="Times New Roman" w:eastAsia="Times New Roman" w:hAnsi="Times New Roman"/>
                <w:sz w:val="20"/>
                <w:szCs w:val="20"/>
              </w:rPr>
              <w:t xml:space="preserve">fidelity</w:t>
            </w:r>
            <w:r>
              <w:br/>
            </w:r>
            <w:r>
              <w:rPr>
                <w:rFonts w:ascii="Times New Roman" w:cs="Times New Roman" w:eastAsia="Times New Roman" w:hAnsi="Times New Roman"/>
                <w:sz w:val="20"/>
                <w:szCs w:val="20"/>
              </w:rPr>
              <w:t xml:space="preserve">(↔ P5 Robustness)</w:t>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P4</w:t>
            </w:r>
          </w:p>
        </w:tc>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Emergence</w:t>
            </w:r>
          </w:p>
        </w:tc>
        <w:tc>
          <w:tcPr>
            <w:tcW w:type="dxa" w:w="2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Desirable network behavior</w:t>
            </w:r>
            <w:r>
              <w:br/>
            </w:r>
            <w:r>
              <w:rPr>
                <w:rFonts w:ascii="Times New Roman" w:cs="Times New Roman" w:eastAsia="Times New Roman" w:hAnsi="Times New Roman"/>
                <w:sz w:val="20"/>
                <w:szCs w:val="20"/>
              </w:rPr>
              <w:t xml:space="preserve">from local agent</w:t>
            </w:r>
            <w:r>
              <w:br/>
            </w:r>
            <w:r>
              <w:rPr>
                <w:rFonts w:ascii="Times New Roman" w:cs="Times New Roman" w:eastAsia="Times New Roman" w:hAnsi="Times New Roman"/>
                <w:sz w:val="20"/>
                <w:szCs w:val="20"/>
              </w:rPr>
              <w:t xml:space="preserve">interactions</w:t>
            </w:r>
          </w:p>
        </w:tc>
        <w:tc>
          <w:tcPr>
            <w:tcW w:type="dxa" w:w="2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Multi-agent systems,</w:t>
            </w:r>
            <w:r>
              <w:br/>
            </w:r>
            <w:r>
              <w:rPr>
                <w:rFonts w:ascii="Times New Roman" w:cs="Times New Roman" w:eastAsia="Times New Roman" w:hAnsi="Times New Roman"/>
                <w:sz w:val="20"/>
                <w:szCs w:val="20"/>
              </w:rPr>
              <w:t xml:space="preserve">consensus algorithms,</w:t>
            </w:r>
            <w:r>
              <w:br/>
            </w:r>
            <w:r>
              <w:rPr>
                <w:rFonts w:ascii="Times New Roman" w:cs="Times New Roman" w:eastAsia="Times New Roman" w:hAnsi="Times New Roman"/>
                <w:sz w:val="20"/>
                <w:szCs w:val="20"/>
              </w:rPr>
              <w:t xml:space="preserve">game theory</w:t>
            </w:r>
          </w:p>
        </w:tc>
        <w:tc>
          <w:tcPr>
            <w:tcW w:type="dxa" w:w="20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Autonomy vs.</w:t>
            </w:r>
            <w:r>
              <w:br/>
            </w:r>
            <w:r>
              <w:rPr>
                <w:rFonts w:ascii="Times New Roman" w:cs="Times New Roman" w:eastAsia="Times New Roman" w:hAnsi="Times New Roman"/>
                <w:sz w:val="20"/>
                <w:szCs w:val="20"/>
              </w:rPr>
              <w:t xml:space="preserve">predictability</w:t>
            </w:r>
            <w:r>
              <w:br/>
            </w:r>
            <w:r>
              <w:rPr>
                <w:rFonts w:ascii="Times New Roman" w:cs="Times New Roman" w:eastAsia="Times New Roman" w:hAnsi="Times New Roman"/>
                <w:sz w:val="20"/>
                <w:szCs w:val="20"/>
              </w:rPr>
              <w:t xml:space="preserve">(↔ P8 Hierarchy)</w:t>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w:r>
          </w:p>
        </w:tc>
        <w:tc>
          <w:tcPr>
            <w:tcW w:type="dxa" w:w="2700"/>
            <w:tcBorders>
              <w:top w:val="single" w:color="999999" w:sz="1"/>
              <w:left w:val="single" w:color="999999" w:sz="1"/>
              <w:bottom w:val="single" w:color="999999" w:sz="1"/>
              <w:right w:val="single" w:color="999999" w:sz="1"/>
            </w:tcBorders>
            <w:shd w:fill="FDF0E6" w:val="clear"/>
            <w:tcMar>
              <w:top w:type="dxa" w:w="50"/>
              <w:left w:type="dxa" w:w="70"/>
              <w:bottom w:type="dxa" w:w="50"/>
              <w:right w:type="dxa" w:w="70"/>
            </w:tcMar>
          </w:tcPr>
          <w:p>
            <w:pPr>
              <w:spacing w:line="240"/>
            </w:pPr>
            <w:r>
              <w:rPr>
                <w:rFonts w:ascii="Times New Roman" w:cs="Times New Roman" w:eastAsia="Times New Roman" w:hAnsi="Times New Roman"/>
                <w:b/>
                <w:bCs/>
                <w:i/>
                <w:iCs/>
                <w:sz w:val="20"/>
                <w:szCs w:val="20"/>
              </w:rPr>
              <w:t xml:space="preserve">RESILIENCE TETRAD</w:t>
            </w:r>
          </w:p>
        </w:tc>
        <w:tc>
          <w:tcPr>
            <w:tcW w:type="dxa" w:w="2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w:r>
          </w:p>
        </w:tc>
        <w:tc>
          <w:tcPr>
            <w:tcW w:type="dxa" w:w="20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P5</w:t>
            </w:r>
          </w:p>
        </w:tc>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Robustness</w:t>
            </w:r>
          </w:p>
        </w:tc>
        <w:tc>
          <w:tcPr>
            <w:tcW w:type="dxa" w:w="2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Maintaining performance</w:t>
            </w:r>
            <w:r>
              <w:br/>
            </w:r>
            <w:r>
              <w:rPr>
                <w:rFonts w:ascii="Times New Roman" w:cs="Times New Roman" w:eastAsia="Times New Roman" w:hAnsi="Times New Roman"/>
                <w:sz w:val="20"/>
                <w:szCs w:val="20"/>
              </w:rPr>
              <w:t xml:space="preserve">under model uncertainty</w:t>
            </w:r>
            <w:r>
              <w:br/>
            </w:r>
            <w:r>
              <w:rPr>
                <w:rFonts w:ascii="Times New Roman" w:cs="Times New Roman" w:eastAsia="Times New Roman" w:hAnsi="Times New Roman"/>
                <w:sz w:val="20"/>
                <w:szCs w:val="20"/>
              </w:rPr>
              <w:t xml:space="preserve">and sensor faults</w:t>
            </w:r>
          </w:p>
        </w:tc>
        <w:tc>
          <w:tcPr>
            <w:tcW w:type="dxa" w:w="2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Robust MPC, H∞,</w:t>
            </w:r>
            <w:r>
              <w:br/>
            </w:r>
            <w:r>
              <w:rPr>
                <w:rFonts w:ascii="Times New Roman" w:cs="Times New Roman" w:eastAsia="Times New Roman" w:hAnsi="Times New Roman"/>
                <w:sz w:val="20"/>
                <w:szCs w:val="20"/>
              </w:rPr>
              <w:t xml:space="preserve">min-max optimization</w:t>
            </w:r>
          </w:p>
        </w:tc>
        <w:tc>
          <w:tcPr>
            <w:tcW w:type="dxa" w:w="20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P1, P3</w:t>
            </w:r>
            <w:r>
              <w:br/>
            </w:r>
            <w:r>
              <w:rPr>
                <w:rFonts w:ascii="Times New Roman" w:cs="Times New Roman" w:eastAsia="Times New Roman" w:hAnsi="Times New Roman"/>
                <w:sz w:val="20"/>
                <w:szCs w:val="20"/>
              </w:rPr>
              <w:t xml:space="preserve">(see above)</w:t>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P6</w:t>
            </w:r>
          </w:p>
        </w:tc>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Coordination</w:t>
            </w:r>
          </w:p>
        </w:tc>
        <w:tc>
          <w:tcPr>
            <w:tcW w:type="dxa" w:w="2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Aligning distributed</w:t>
            </w:r>
            <w:r>
              <w:br/>
            </w:r>
            <w:r>
              <w:rPr>
                <w:rFonts w:ascii="Times New Roman" w:cs="Times New Roman" w:eastAsia="Times New Roman" w:hAnsi="Times New Roman"/>
                <w:sz w:val="20"/>
                <w:szCs w:val="20"/>
              </w:rPr>
              <w:t xml:space="preserve">controllers for system-</w:t>
            </w:r>
            <w:r>
              <w:br/>
            </w:r>
            <w:r>
              <w:rPr>
                <w:rFonts w:ascii="Times New Roman" w:cs="Times New Roman" w:eastAsia="Times New Roman" w:hAnsi="Times New Roman"/>
                <w:sz w:val="20"/>
                <w:szCs w:val="20"/>
              </w:rPr>
              <w:t xml:space="preserve">wide optimality</w:t>
            </w:r>
          </w:p>
        </w:tc>
        <w:tc>
          <w:tcPr>
            <w:tcW w:type="dxa" w:w="2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DMPC, ADMM,</w:t>
            </w:r>
            <w:r>
              <w:br/>
            </w:r>
            <w:r>
              <w:rPr>
                <w:rFonts w:ascii="Times New Roman" w:cs="Times New Roman" w:eastAsia="Times New Roman" w:hAnsi="Times New Roman"/>
                <w:sz w:val="20"/>
                <w:szCs w:val="20"/>
              </w:rPr>
              <w:t xml:space="preserve">cooperative control</w:t>
            </w:r>
          </w:p>
        </w:tc>
        <w:tc>
          <w:tcPr>
            <w:tcW w:type="dxa" w:w="20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P2</w:t>
            </w:r>
            <w:r>
              <w:br/>
            </w:r>
            <w:r>
              <w:rPr>
                <w:rFonts w:ascii="Times New Roman" w:cs="Times New Roman" w:eastAsia="Times New Roman" w:hAnsi="Times New Roman"/>
                <w:sz w:val="20"/>
                <w:szCs w:val="20"/>
              </w:rPr>
              <w:t xml:space="preserve">(see above)</w:t>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P7</w:t>
            </w:r>
          </w:p>
        </w:tc>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Adaptation</w:t>
            </w:r>
          </w:p>
        </w:tc>
        <w:tc>
          <w:tcPr>
            <w:tcW w:type="dxa" w:w="2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Modifying behavior as</w:t>
            </w:r>
            <w:r>
              <w:br/>
            </w:r>
            <w:r>
              <w:rPr>
                <w:rFonts w:ascii="Times New Roman" w:cs="Times New Roman" w:eastAsia="Times New Roman" w:hAnsi="Times New Roman"/>
                <w:sz w:val="20"/>
                <w:szCs w:val="20"/>
              </w:rPr>
              <w:t xml:space="preserve">conditions exceed</w:t>
            </w:r>
            <w:r>
              <w:br/>
            </w:r>
            <w:r>
              <w:rPr>
                <w:rFonts w:ascii="Times New Roman" w:cs="Times New Roman" w:eastAsia="Times New Roman" w:hAnsi="Times New Roman"/>
                <w:sz w:val="20"/>
                <w:szCs w:val="20"/>
              </w:rPr>
              <w:t xml:space="preserve">design envelope (ODD)</w:t>
            </w:r>
          </w:p>
        </w:tc>
        <w:tc>
          <w:tcPr>
            <w:tcW w:type="dxa" w:w="2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Adaptive MPC, RL,</w:t>
            </w:r>
            <w:r>
              <w:br/>
            </w:r>
            <w:r>
              <w:rPr>
                <w:rFonts w:ascii="Times New Roman" w:cs="Times New Roman" w:eastAsia="Times New Roman" w:hAnsi="Times New Roman"/>
                <w:sz w:val="20"/>
                <w:szCs w:val="20"/>
              </w:rPr>
              <w:t xml:space="preserve">ODD-based mode</w:t>
            </w:r>
            <w:r>
              <w:br/>
            </w:r>
            <w:r>
              <w:rPr>
                <w:rFonts w:ascii="Times New Roman" w:cs="Times New Roman" w:eastAsia="Times New Roman" w:hAnsi="Times New Roman"/>
                <w:sz w:val="20"/>
                <w:szCs w:val="20"/>
              </w:rPr>
              <w:t xml:space="preserve">switching</w:t>
            </w:r>
          </w:p>
        </w:tc>
        <w:tc>
          <w:tcPr>
            <w:tcW w:type="dxa" w:w="20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Learning vs.</w:t>
            </w:r>
            <w:r>
              <w:br/>
            </w:r>
            <w:r>
              <w:rPr>
                <w:rFonts w:ascii="Times New Roman" w:cs="Times New Roman" w:eastAsia="Times New Roman" w:hAnsi="Times New Roman"/>
                <w:sz w:val="20"/>
                <w:szCs w:val="20"/>
              </w:rPr>
              <w:t xml:space="preserve">irreversibility</w:t>
            </w:r>
            <w:r>
              <w:br/>
            </w:r>
            <w:r>
              <w:rPr>
                <w:rFonts w:ascii="Times New Roman" w:cs="Times New Roman" w:eastAsia="Times New Roman" w:hAnsi="Times New Roman"/>
                <w:sz w:val="20"/>
                <w:szCs w:val="20"/>
              </w:rPr>
              <w:t xml:space="preserve">constraint</w:t>
            </w:r>
          </w:p>
        </w:tc>
      </w:tr>
      <w:tr>
        <w:tc>
          <w:tcPr>
            <w:tcW w:type="dxa" w:w="75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P8</w:t>
            </w:r>
          </w:p>
        </w:tc>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Hierarchy</w:t>
            </w:r>
          </w:p>
        </w:tc>
        <w:tc>
          <w:tcPr>
            <w:tcW w:type="dxa" w:w="2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Multi-layer architecture:</w:t>
            </w:r>
            <w:r>
              <w:br/>
            </w:r>
            <w:r>
              <w:rPr>
                <w:rFonts w:ascii="Times New Roman" w:cs="Times New Roman" w:eastAsia="Times New Roman" w:hAnsi="Times New Roman"/>
                <w:sz w:val="20"/>
                <w:szCs w:val="20"/>
              </w:rPr>
              <w:t xml:space="preserve">safety→regulation→</w:t>
            </w:r>
            <w:r>
              <w:br/>
            </w:r>
            <w:r>
              <w:rPr>
                <w:rFonts w:ascii="Times New Roman" w:cs="Times New Roman" w:eastAsia="Times New Roman" w:hAnsi="Times New Roman"/>
                <w:sz w:val="20"/>
                <w:szCs w:val="20"/>
              </w:rPr>
              <w:t xml:space="preserve">coordination</w:t>
            </w:r>
          </w:p>
        </w:tc>
        <w:tc>
          <w:tcPr>
            <w:tcW w:type="dxa" w:w="2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Hierarchical MPC,</w:t>
            </w:r>
            <w:r>
              <w:br/>
            </w:r>
            <w:r>
              <w:rPr>
                <w:rFonts w:ascii="Times New Roman" w:cs="Times New Roman" w:eastAsia="Times New Roman" w:hAnsi="Times New Roman"/>
                <w:sz w:val="20"/>
                <w:szCs w:val="20"/>
              </w:rPr>
              <w:t xml:space="preserve">multi-level</w:t>
            </w:r>
            <w:r>
              <w:br/>
            </w:r>
            <w:r>
              <w:rPr>
                <w:rFonts w:ascii="Times New Roman" w:cs="Times New Roman" w:eastAsia="Times New Roman" w:hAnsi="Times New Roman"/>
                <w:sz w:val="20"/>
                <w:szCs w:val="20"/>
              </w:rPr>
              <w:t xml:space="preserve">optimization</w:t>
            </w:r>
          </w:p>
        </w:tc>
        <w:tc>
          <w:tcPr>
            <w:tcW w:type="dxa" w:w="201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P4</w:t>
            </w:r>
            <w:r>
              <w:br/>
            </w:r>
            <w:r>
              <w:rPr>
                <w:rFonts w:ascii="Times New Roman" w:cs="Times New Roman" w:eastAsia="Times New Roman" w:hAnsi="Times New Roman"/>
                <w:sz w:val="20"/>
                <w:szCs w:val="20"/>
              </w:rPr>
              <w:t xml:space="preserve">(see above)</w:t>
            </w:r>
          </w:p>
        </w:tc>
      </w:tr>
    </w:tbl>
    <w:p>
      <w:pPr>
        <w:spacing w:line="480" w:after="0" w:before="0"/>
        <w:jc w:val="both"/>
      </w:pPr>
      <w:r>
        <w:rPr>
          <w:rFonts w:ascii="Times New Roman" w:cs="Times New Roman" w:eastAsia="Times New Roman" w:hAnsi="Times New Roman"/>
          <w:sz w:val="24"/>
          <w:szCs w:val="24"/>
        </w:rPr>
        <w:t xml:space="preserve"/>
      </w:r>
    </w:p>
    <w:p>
      <w:pPr>
        <w:spacing w:line="480" w:after="120" w:before="360"/>
        <w:jc w:val="both"/>
      </w:pPr>
      <w:r>
        <w:rPr>
          <w:rFonts w:ascii="Times New Roman" w:cs="Times New Roman" w:eastAsia="Times New Roman" w:hAnsi="Times New Roman"/>
          <w:b/>
          <w:bCs/>
          <w:sz w:val="28"/>
          <w:szCs w:val="28"/>
        </w:rPr>
        <w:t xml:space="preserve">6  Illustrative Applications</w:t>
      </w:r>
    </w:p>
    <w:p>
      <w:pPr>
        <w:spacing w:line="480" w:after="0" w:before="0"/>
        <w:ind w:firstLine="720"/>
        <w:jc w:val="both"/>
      </w:pPr>
      <w:r>
        <w:rPr>
          <w:rFonts w:ascii="Times New Roman" w:cs="Times New Roman" w:eastAsia="Times New Roman" w:hAnsi="Times New Roman"/>
          <w:sz w:val="24"/>
          <w:szCs w:val="24"/>
        </w:rPr>
        <w:t xml:space="preserve">To demonstrate that CHS is an operational framework and not merely a conceptual taxonomy, we present three applications of increasing complexity: single-pool LQR feedback design, multi-pool distributed MPC, and cross-sector transfer from canal to reservoir to urban pressure zone. The results presented are analytical predictions derived from the linear reduced-order models of Section 4; full nonlinear simulation validation against Saint-Venant benchmarks is deferred to a companion computational paper.</w:t>
      </w:r>
    </w:p>
    <w:p>
      <w:pPr>
        <w:spacing w:line="480" w:after="80" w:before="240"/>
        <w:jc w:val="both"/>
      </w:pPr>
      <w:r>
        <w:rPr>
          <w:rFonts w:ascii="Times New Roman" w:cs="Times New Roman" w:eastAsia="Times New Roman" w:hAnsi="Times New Roman"/>
          <w:b/>
          <w:bCs/>
          <w:sz w:val="26"/>
          <w:szCs w:val="26"/>
        </w:rPr>
        <w:t xml:space="preserve">6.1  Single Canal Pool: IDZ Model and LQR Feedback Design</w:t>
      </w:r>
    </w:p>
    <w:p>
      <w:pPr>
        <w:spacing w:line="480" w:after="0" w:before="0"/>
        <w:ind w:firstLine="720"/>
        <w:jc w:val="both"/>
      </w:pPr>
      <w:r>
        <w:rPr>
          <w:rFonts w:ascii="Times New Roman" w:cs="Times New Roman" w:eastAsia="Times New Roman" w:hAnsi="Times New Roman"/>
          <w:sz w:val="24"/>
          <w:szCs w:val="24"/>
        </w:rPr>
        <w:t xml:space="preserve">Consider a single trapezoidal canal pool of length L = 10 km, controlled by an upstream gate (inflow Qᵢₙ) and a downstream gate (outflow Qₒᵤₜ), with a target downstream water level yᵣᵉᶠ. Following the derivation chain of Section 4.2, the Saint-Venant dynamics are reduced to the IDZ transfer function (Level 4):</w:t>
      </w:r>
    </w:p>
    <w:p>
      <w:pPr>
        <w:spacing w:line="480" w:before="160" w:after="160"/>
        <w:jc w:val="center"/>
      </w:pPr>
      <w:r>
        <w:drawing>
          <wp:inline distT="0" distB="0" distL="0" distR="0">
            <wp:extent cx="21240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24075" cy="304800"/>
                    </a:xfrm>
                    <a:prstGeom prst="rect">
                      <a:avLst/>
                    </a:prstGeom>
                  </pic:spPr>
                </pic:pic>
              </a:graphicData>
            </a:graphic>
          </wp:inline>
        </w:drawing>
      </w:r>
      <w:r>
        <w:rPr>
          <w:rFonts w:ascii="Times New Roman" w:cs="Times New Roman" w:eastAsia="Times New Roman" w:hAnsi="Times New Roman"/>
          <w:sz w:val="24"/>
          <w:szCs w:val="24"/>
        </w:rPr>
        <w:t xml:space="preserve">	(7)</w:t>
      </w:r>
    </w:p>
    <w:p>
      <w:pPr>
        <w:spacing w:line="480" w:after="0" w:before="0"/>
        <w:ind w:firstLine="720"/>
        <w:jc w:val="both"/>
      </w:pPr>
      <w:r>
        <w:rPr>
          <w:rFonts w:ascii="Times New Roman" w:cs="Times New Roman" w:eastAsia="Times New Roman" w:hAnsi="Times New Roman"/>
          <w:sz w:val="24"/>
          <w:szCs w:val="24"/>
        </w:rPr>
        <w:t xml:space="preserve">For a typical pool (slope S₀ = 0.0001, Manning n = 0.016, base flow Q₀ = 30 m³/s, trapezoidal section with bottom width 10 m), the characteristic parameters are Aₛ ≈ 85,000 m², τᵈ ≈ 1,800 s, and τₘ ≈ 600 s. Using Padé approximation and discretizing at Tₛ = 300 s:</w:t>
      </w:r>
    </w:p>
    <w:p>
      <w:pPr>
        <w:spacing w:line="480" w:before="160" w:after="160"/>
        <w:jc w:val="center"/>
      </w:pPr>
      <w:r>
        <w:drawing>
          <wp:inline distT="0" distB="0" distL="0" distR="0">
            <wp:extent cx="29718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71800" cy="123825"/>
                    </a:xfrm>
                    <a:prstGeom prst="rect">
                      <a:avLst/>
                    </a:prstGeom>
                  </pic:spPr>
                </pic:pic>
              </a:graphicData>
            </a:graphic>
          </wp:inline>
        </w:drawing>
      </w:r>
      <w:r>
        <w:rPr>
          <w:rFonts w:ascii="Times New Roman" w:cs="Times New Roman" w:eastAsia="Times New Roman" w:hAnsi="Times New Roman"/>
          <w:sz w:val="24"/>
          <w:szCs w:val="24"/>
        </w:rPr>
        <w:t xml:space="preserve">	(8)</w:t>
      </w:r>
    </w:p>
    <w:p>
      <w:pPr>
        <w:spacing w:line="480" w:after="0" w:before="0"/>
        <w:ind w:firstLine="720"/>
        <w:jc w:val="both"/>
      </w:pPr>
      <w:r>
        <w:rPr>
          <w:rFonts w:ascii="Times New Roman" w:cs="Times New Roman" w:eastAsia="Times New Roman" w:hAnsi="Times New Roman"/>
          <w:sz w:val="24"/>
          <w:szCs w:val="24"/>
        </w:rPr>
        <w:t xml:space="preserve">with a 3×3 state vector x = [pool volume deviation; delayed input state; Padé auxiliary state]ᵀ. The resulting discrete A matrix has eigenvalues at approximately 1.0, 0.85, and 0.72—the unit eigenvalue reflects the integrator, confirming marginal stability without feedback.</w:t>
      </w:r>
    </w:p>
    <w:p>
      <w:pPr>
        <w:spacing w:line="480" w:after="0" w:before="0"/>
        <w:ind w:firstLine="720"/>
        <w:jc w:val="both"/>
      </w:pPr>
      <w:r>
        <w:rPr>
          <w:rFonts w:ascii="Times New Roman" w:cs="Times New Roman" w:eastAsia="Times New Roman" w:hAnsi="Times New Roman"/>
          <w:sz w:val="24"/>
          <w:szCs w:val="24"/>
        </w:rPr>
        <w:t xml:space="preserve">The feedback principle (P1) is operationalized through linear quadratic regulator (LQR) design, minimizing the cost:</w:t>
      </w:r>
    </w:p>
    <w:p>
      <w:pPr>
        <w:spacing w:line="480" w:before="160" w:after="160"/>
        <w:jc w:val="center"/>
      </w:pPr>
      <w:r>
        <w:drawing>
          <wp:inline distT="0" distB="0" distL="0" distR="0">
            <wp:extent cx="21336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33600" cy="400050"/>
                    </a:xfrm>
                    <a:prstGeom prst="rect">
                      <a:avLst/>
                    </a:prstGeom>
                  </pic:spPr>
                </pic:pic>
              </a:graphicData>
            </a:graphic>
          </wp:inline>
        </w:drawing>
      </w:r>
      <w:r>
        <w:rPr>
          <w:rFonts w:ascii="Times New Roman" w:cs="Times New Roman" w:eastAsia="Times New Roman" w:hAnsi="Times New Roman"/>
          <w:sz w:val="24"/>
          <w:szCs w:val="24"/>
        </w:rPr>
        <w:t xml:space="preserve">	(9)</w:t>
      </w:r>
    </w:p>
    <w:p>
      <w:pPr>
        <w:spacing w:line="480" w:after="0" w:before="0"/>
        <w:ind w:firstLine="720"/>
        <w:jc w:val="both"/>
      </w:pPr>
      <w:r>
        <w:rPr>
          <w:rFonts w:ascii="Times New Roman" w:cs="Times New Roman" w:eastAsia="Times New Roman" w:hAnsi="Times New Roman"/>
          <w:sz w:val="24"/>
          <w:szCs w:val="24"/>
        </w:rPr>
        <w:t xml:space="preserve">With Q = diag(1, 0, 0) and R = 0.01, the optimal gain K shifts closed-loop eigenvalues to approximately 0.92, 0.78, and 0.65—all inside the unit circle, confirming asymptotic stability. The settling time is approximately 4,000 s (70 minutes) with less than 5% overshoot and peak water level deviation of 0.08 m for a step disturbance of 2 m³/s, consistent with published canal control benchmarks (Clemmens &amp; Schuurmans, 2004).</w:t>
      </w:r>
    </w:p>
    <w:p>
      <w:pPr>
        <w:spacing w:line="480" w:after="80" w:before="240"/>
        <w:jc w:val="both"/>
      </w:pPr>
      <w:r>
        <w:rPr>
          <w:rFonts w:ascii="Times New Roman" w:cs="Times New Roman" w:eastAsia="Times New Roman" w:hAnsi="Times New Roman"/>
          <w:b/>
          <w:bCs/>
          <w:sz w:val="26"/>
          <w:szCs w:val="26"/>
        </w:rPr>
        <w:t xml:space="preserve">6.2  Multi-Pool Extension: Distributed MPC</w:t>
      </w:r>
    </w:p>
    <w:p>
      <w:pPr>
        <w:spacing w:line="480" w:after="0" w:before="0"/>
        <w:ind w:firstLine="720"/>
        <w:jc w:val="both"/>
      </w:pPr>
      <w:r>
        <w:rPr>
          <w:rFonts w:ascii="Times New Roman" w:cs="Times New Roman" w:eastAsia="Times New Roman" w:hAnsi="Times New Roman"/>
          <w:sz w:val="24"/>
          <w:szCs w:val="24"/>
        </w:rPr>
        <w:t xml:space="preserve">A single canal pool rarely operates in isolation. Consider a series of n pools with n+1 gates, where pool i has state xᵢ, upstream gate input uᵢ, and downstream disturbance dᵢ = uᵢ₊₁ (the next gate’s release becomes this pool’s outflow disturbance). The coupled system state is x = [x₁, ..., xₙ]ᵀ ∈ ℝ³ⁿ with control u = [u₁, ..., uₙ₊₁]ᵀ ∈ ℝⁿ⁺¹.</w:t>
      </w:r>
    </w:p>
    <w:p>
      <w:pPr>
        <w:spacing w:line="480" w:after="0" w:before="0"/>
        <w:ind w:firstLine="720"/>
        <w:jc w:val="both"/>
      </w:pPr>
      <w:r>
        <w:rPr>
          <w:rFonts w:ascii="Times New Roman" w:cs="Times New Roman" w:eastAsia="Times New Roman" w:hAnsi="Times New Roman"/>
          <w:sz w:val="24"/>
          <w:szCs w:val="24"/>
        </w:rPr>
        <w:t xml:space="preserve">A centralized MPC solving all n pools jointly requires a QP with O(3n) states and O(n) controls over prediction horizon N, yielding O(nN) decision variables and O(nN) constraints. The computational complexity of the QP solver scales as O((nN)³), which for the South-to-North Water Diversion Middle Route (n = 64, N = 12) involves approximately 2,300 decision variables and 13,800 constraints—solvable in principle but challenging for guaranteed real-time response at 300 s sampling.</w:t>
      </w:r>
    </w:p>
    <w:p>
      <w:pPr>
        <w:spacing w:line="480" w:after="0" w:before="0"/>
        <w:ind w:firstLine="720"/>
        <w:jc w:val="both"/>
      </w:pPr>
      <w:r>
        <w:rPr>
          <w:rFonts w:ascii="Times New Roman" w:cs="Times New Roman" w:eastAsia="Times New Roman" w:hAnsi="Times New Roman"/>
          <w:sz w:val="24"/>
          <w:szCs w:val="24"/>
        </w:rPr>
        <w:t xml:space="preserve">Distributed MPC (DMPC), implementing the coordination principle (P6), decomposes the problem. Each pool i solves a local MPC with O(3) states and O(1) control over horizon N, yielding O(N) decision variables. The pools exchange only boundary information—the planned upstream discharge trajectory uᵢ(k|k), ..., uᵢ(k+N|k)—with their downstream neighbor. The coordination protocol proceeds iteratively: (i) each pool solves its local MPC assuming the last received neighbor trajectories; (ii) boundary trajectories are exchanged; (iii) steps (i)–(ii) repeat until convergence or a maximum iteration count. The per-pool complexity is O(N³), and the total complexity is O(n · N³ · J) where J is the number of coordination iterations—typically 3–5 for practical convergence (Negenborn et al., 2009). For n = 64 and N = 12, this reduces computation by approximately two orders of magnitude versus centralized MPC while providing near-optimal performance.</w:t>
      </w:r>
    </w:p>
    <w:p>
      <w:pPr>
        <w:spacing w:line="480" w:after="0" w:before="0"/>
        <w:ind w:firstLine="720"/>
        <w:jc w:val="both"/>
      </w:pPr>
      <w:r>
        <w:rPr>
          <w:rFonts w:ascii="Times New Roman" w:cs="Times New Roman" w:eastAsia="Times New Roman" w:hAnsi="Times New Roman"/>
          <w:sz w:val="24"/>
          <w:szCs w:val="24"/>
        </w:rPr>
        <w:t xml:space="preserve">The Decoupling–Coordination tradeoff (P2–P6) manifests directly: allocating more pool storage to local disturbance buffering (decoupling) reduces the coupling terms that coordination must resolve, but decreases the volume available for system-wide redistribution. The optimal buffer fraction depends on the ratio τᵈ/Tᶜₒₘₘ, where τᵈ is the pool transport delay and Tᶜₒₘₘ is the coordination update interval (see Prediction 3 in Section 8). The X-in-the-Loop framework (Lei, 2025c) provides the verification methodology for validating DMPC controllers through progressive MiL, SiL, HiL, and PiL testing stages.</w:t>
      </w:r>
    </w:p>
    <w:p>
      <w:pPr>
        <w:spacing w:line="480" w:after="80" w:before="240"/>
        <w:jc w:val="both"/>
      </w:pPr>
      <w:r>
        <w:rPr>
          <w:rFonts w:ascii="Times New Roman" w:cs="Times New Roman" w:eastAsia="Times New Roman" w:hAnsi="Times New Roman"/>
          <w:b/>
          <w:bCs/>
          <w:sz w:val="26"/>
          <w:szCs w:val="26"/>
        </w:rPr>
        <w:t xml:space="preserve">6.3  Cross-Sector Transfer: Canal → Reservoir → Urban Pressure Zone</w:t>
      </w:r>
    </w:p>
    <w:p>
      <w:pPr>
        <w:spacing w:line="480" w:after="0" w:before="0"/>
        <w:ind w:firstLine="720"/>
        <w:jc w:val="both"/>
      </w:pPr>
      <w:r>
        <w:rPr>
          <w:rFonts w:ascii="Times New Roman" w:cs="Times New Roman" w:eastAsia="Times New Roman" w:hAnsi="Times New Roman"/>
          <w:sz w:val="24"/>
          <w:szCs w:val="24"/>
        </w:rPr>
        <w:t xml:space="preserve">Proposition 1 predicts that the same algorithmic structure applies across subsectors upon re-parameterization. We verify this for two transfers.</w:t>
      </w:r>
    </w:p>
    <w:p>
      <w:pPr>
        <w:spacing w:line="480" w:after="0" w:before="0"/>
        <w:ind w:firstLine="720"/>
        <w:jc w:val="both"/>
      </w:pPr>
      <w:r>
        <w:rPr>
          <w:rFonts w:ascii="Times New Roman" w:cs="Times New Roman" w:eastAsia="Times New Roman" w:hAnsi="Times New Roman"/>
          <w:b/>
          <w:bCs/>
          <w:i/>
          <w:iCs/>
          <w:sz w:val="24"/>
          <w:szCs w:val="24"/>
        </w:rPr>
        <w:t xml:space="preserve">Transfer 1: Canal pool → Reservoir. </w:t>
      </w:r>
      <w:r>
        <w:rPr>
          <w:rFonts w:ascii="Times New Roman" w:cs="Times New Roman" w:eastAsia="Times New Roman" w:hAnsi="Times New Roman"/>
          <w:sz w:val="24"/>
          <w:szCs w:val="24"/>
        </w:rPr>
        <w:t xml:space="preserve">The reservoir continuity equation dV/dt = Qᵢₙ(t) − Qₒᵤₜ(u, h) is precisely the Integrator (Level 2) model from the hierarchy—a first-order system with state x = V, control u (release), disturbance d = Qᵢₙ, and constraint g = [hₘᵢₙ − h(V); h(V) − hₘₐₓ] ≤ 0:</w:t>
      </w:r>
    </w:p>
    <w:p>
      <w:pPr>
        <w:spacing w:line="480" w:before="160" w:after="160"/>
        <w:jc w:val="center"/>
      </w:pPr>
      <w:r>
        <w:drawing>
          <wp:inline distT="0" distB="0" distL="0" distR="0">
            <wp:extent cx="1409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09700" cy="266700"/>
                    </a:xfrm>
                    <a:prstGeom prst="rect">
                      <a:avLst/>
                    </a:prstGeom>
                  </pic:spPr>
                </pic:pic>
              </a:graphicData>
            </a:graphic>
          </wp:inline>
        </w:drawing>
      </w:r>
      <w:r>
        <w:rPr>
          <w:rFonts w:ascii="Times New Roman" w:cs="Times New Roman" w:eastAsia="Times New Roman" w:hAnsi="Times New Roman"/>
          <w:sz w:val="24"/>
          <w:szCs w:val="24"/>
        </w:rPr>
        <w:t xml:space="preserve">	(10)</w:t>
      </w:r>
    </w:p>
    <w:p>
      <w:pPr>
        <w:spacing w:line="480" w:after="0" w:before="0"/>
        <w:ind w:firstLine="720"/>
        <w:jc w:val="both"/>
      </w:pPr>
      <w:r>
        <w:rPr>
          <w:rFonts w:ascii="Times New Roman" w:cs="Times New Roman" w:eastAsia="Times New Roman" w:hAnsi="Times New Roman"/>
          <w:sz w:val="24"/>
          <w:szCs w:val="24"/>
        </w:rPr>
        <w:t xml:space="preserve">The A, B, C matrices become scalars: A = 1, B = −Tₛ/Aₕ (where Aₕ is reservoir surface area at operating level), C = 1/Aₕ. The MPC formulation is identical to Section 6.1 with θ = {Aₕ, Qᵢₙ statistics, hₘᵢₙ, hₘₐₓ} replacing the canal parameters. No algorithmic modification is required.</w:t>
      </w:r>
    </w:p>
    <w:p>
      <w:pPr>
        <w:spacing w:line="480" w:after="0" w:before="0"/>
        <w:ind w:firstLine="720"/>
        <w:jc w:val="both"/>
      </w:pPr>
      <w:r>
        <w:rPr>
          <w:rFonts w:ascii="Times New Roman" w:cs="Times New Roman" w:eastAsia="Times New Roman" w:hAnsi="Times New Roman"/>
          <w:b/>
          <w:bCs/>
          <w:i/>
          <w:iCs/>
          <w:sz w:val="24"/>
          <w:szCs w:val="24"/>
        </w:rPr>
        <w:t xml:space="preserve">Transfer 2: Canal pool → Urban pressure zone. </w:t>
      </w:r>
      <w:r>
        <w:rPr>
          <w:rFonts w:ascii="Times New Roman" w:cs="Times New Roman" w:eastAsia="Times New Roman" w:hAnsi="Times New Roman"/>
          <w:sz w:val="24"/>
          <w:szCs w:val="24"/>
        </w:rPr>
        <w:t xml:space="preserve">A District Metered Area (DMA) in an urban distribution network admits a lumped-parameter model analogous to the canal pool. The state variable is pressure head H at the critical node (analogous to pool water level y). The actuator is a pressure-reducing valve (PRV) or variable-frequency drive (VFD) pump (analogous to a check gate). The storage capacity is the hydraulic compliance of the pipe network Cₕ = dV/dH (analogous to backwater area Aₛ). The transport delay is the pressure wave travel time τᵈ = L/a, where a is the water hammer wave speed (typically 800–1200 m/s, much faster than open-channel waves). The governing equation is Cₕ · dH/dt = Qᵢₙ − Qᵈₑₘₐₙᵈ(t), which is once again the Integrator model with state H, control Qᵢₙ (pump/valve flow), and disturbance Qᵈₑₘₐₙᵈ. The matrices are: A = 1, B = Tₛ/Cₕ, C = 1. The MPC formulation is algorithmically identical; only the physical parameters change. The key distinction is the time scale: the much faster wave speed (a ≈ 1000 m/s vs. c ≈ 1 m/s) compresses the transport delay from hours (canal) to seconds (pipe), requiring correspondingly faster sampling (Tₛ ≈ 1–10 s).</w:t>
      </w:r>
    </w:p>
    <w:p>
      <w:pPr>
        <w:spacing w:line="480" w:after="0" w:before="0"/>
        <w:ind w:firstLine="720"/>
        <w:jc w:val="both"/>
      </w:pPr>
      <w:r>
        <w:rPr>
          <w:rFonts w:ascii="Times New Roman" w:cs="Times New Roman" w:eastAsia="Times New Roman" w:hAnsi="Times New Roman"/>
          <w:sz w:val="24"/>
          <w:szCs w:val="24"/>
        </w:rPr>
        <w:t xml:space="preserve">These three applications—canal pool (IDZ, Level 4), reservoir (I, Level 2), and urban pressure zone (I, Level 2 with fast dynamics)—demonstrate that a single MPC software framework, with subsector-specific parameter files, can serve across water infrastructure. This is the concrete operational consequence of structural isomorphism (Proposition 1, S1–S5).</w:t>
      </w:r>
    </w:p>
    <w:p>
      <w:pPr>
        <w:spacing w:line="480" w:after="120" w:before="360"/>
        <w:jc w:val="both"/>
      </w:pPr>
      <w:r>
        <w:rPr>
          <w:rFonts w:ascii="Times New Roman" w:cs="Times New Roman" w:eastAsia="Times New Roman" w:hAnsi="Times New Roman"/>
          <w:b/>
          <w:bCs/>
          <w:sz w:val="28"/>
          <w:szCs w:val="28"/>
        </w:rPr>
        <w:t xml:space="preserve">7  From Theory to Architecture: The Autonomous Operation Framework</w:t>
      </w:r>
    </w:p>
    <w:p>
      <w:pPr>
        <w:spacing w:line="480" w:after="0" w:before="0"/>
        <w:ind w:firstLine="720"/>
        <w:jc w:val="both"/>
      </w:pPr>
      <w:r>
        <w:rPr>
          <w:rFonts w:ascii="Times New Roman" w:cs="Times New Roman" w:eastAsia="Times New Roman" w:hAnsi="Times New Roman"/>
          <w:sz w:val="24"/>
          <w:szCs w:val="24"/>
        </w:rPr>
        <w:t xml:space="preserve">Sections 2–6 established the theoretical foundations of CHS: operational singularity motivates a dedicated science, structural isomorphism enables cross-sector unification, the model–control hierarchy provides mathematical tools, principles guide design, and applications demonstrate feasibility. A natural question follows: how should these theoretical elements be assembled into an implementable system architecture that can progressively advance water infrastructure from manual operation toward autonomy? This section addresses that question by introducing three interlocking concepts—Hierarchical Distributed Control (HDC), the Operational Design Domain (ODD), and a Multi-Agent System (MAS) architecture—and by defining Water Systems Autonomy Levels (WSAL) as the roadmap for the transition.</w:t>
      </w:r>
    </w:p>
    <w:p>
      <w:pPr>
        <w:spacing w:line="480" w:after="80" w:before="240"/>
        <w:jc w:val="both"/>
      </w:pPr>
      <w:r>
        <w:rPr>
          <w:rFonts w:ascii="Times New Roman" w:cs="Times New Roman" w:eastAsia="Times New Roman" w:hAnsi="Times New Roman"/>
          <w:b/>
          <w:bCs/>
          <w:sz w:val="26"/>
          <w:szCs w:val="26"/>
        </w:rPr>
        <w:t xml:space="preserve">7.1  Hierarchical Distributed Control: The Physical AI Engine</w:t>
      </w:r>
    </w:p>
    <w:p>
      <w:pPr>
        <w:spacing w:line="480" w:after="0" w:before="0"/>
        <w:ind w:firstLine="720"/>
        <w:jc w:val="both"/>
      </w:pPr>
      <w:r>
        <w:rPr>
          <w:rFonts w:ascii="Times New Roman" w:cs="Times New Roman" w:eastAsia="Times New Roman" w:hAnsi="Times New Roman"/>
          <w:sz w:val="24"/>
          <w:szCs w:val="24"/>
        </w:rPr>
        <w:t xml:space="preserve">The model–layer correspondence (Theorem 3) implies a natural control architecture: each layer of the hierarchy—from Layer 0 safety through Layer 3 planning—employs the model of appropriate complexity, coupled with the control algorithm matched to its temporal scope. We term this Hierarchical Distributed Control (HDC)—hierarchical because control decisions are stratified by timescale, and distributed because within each layer, neighboring subsystems coordinate through decoupled yet communicating local controllers (Principles 2 and 6).</w:t>
      </w:r>
    </w:p>
    <w:p>
      <w:pPr>
        <w:spacing w:line="480" w:after="0" w:before="0"/>
        <w:ind w:firstLine="720"/>
        <w:jc w:val="both"/>
      </w:pPr>
      <w:r>
        <w:rPr>
          <w:rFonts w:ascii="Times New Roman" w:cs="Times New Roman" w:eastAsia="Times New Roman" w:hAnsi="Times New Roman"/>
          <w:sz w:val="24"/>
          <w:szCs w:val="24"/>
        </w:rPr>
        <w:t xml:space="preserve">Concretely, HDC consists of four stacked layers operating concurrently. Layer 0 (Safety Floor) implements hard constraint enforcement through programmable logic controllers (PLCs) operating at millisecond cycles—gate-closure interlocks, high-water-level alarms, emergency shutdowns—requiring no model beyond threshold logic and executing unconditionally regardless of commands from upper layers. Layer 1 (Real-time Regulation) deploys MPC with IDZ or Integrator-Delay internal models at sampling intervals of seconds to minutes, tracking reference trajectories while respecting state and actuator constraints. Layer 2 (Coordination) employs distributed MPC (Negenborn et al., 2009; Maestre &amp; Negenborn, 2014) at minutes-to-hours horizons, resolving inter-pool conflicts through iterative neighbor-to-neighbor negotiation using the coordination mechanisms formalized in Principle 6. Layer 3 (Planning) performs nested optimization over day-to-year horizons, translating high-level objectives—seasonal water allocation targets, environmental flow requirements, energy scheduling—into reference trajectories for lower layers using steady-state or Integrator models.</w:t>
      </w:r>
    </w:p>
    <w:p>
      <w:pPr>
        <w:spacing w:line="480" w:after="0" w:before="0"/>
        <w:ind w:firstLine="720"/>
        <w:jc w:val="both"/>
      </w:pPr>
      <w:r>
        <w:rPr>
          <w:rFonts w:ascii="Times New Roman" w:cs="Times New Roman" w:eastAsia="Times New Roman" w:hAnsi="Times New Roman"/>
          <w:sz w:val="24"/>
          <w:szCs w:val="24"/>
        </w:rPr>
        <w:t xml:space="preserve">The defining characteristic of HDC is that every control action, at every layer, is computed from first-principles physical models—the CHS model hierarchy of Section 4. This is why we characterize HDC as the Physical AI engine of the architecture: it is artificial intelligence in the sense of automated decision-making, but grounded entirely in mechanistic models with provable constraint guarantees rather than learned correlations. The critical design rule is the Layer 0 veto: no command from any upper layer may override Layer 0 safety interlocks, ensuring that the operational singularity property OS1 (failure irreversibility) is respected architecturally, not merely algorithmically.</w:t>
      </w:r>
    </w:p>
    <w:p>
      <w:pPr>
        <w:spacing w:line="480" w:after="80" w:before="240"/>
        <w:jc w:val="both"/>
      </w:pPr>
      <w:r>
        <w:rPr>
          <w:rFonts w:ascii="Times New Roman" w:cs="Times New Roman" w:eastAsia="Times New Roman" w:hAnsi="Times New Roman"/>
          <w:b/>
          <w:bCs/>
          <w:sz w:val="26"/>
          <w:szCs w:val="26"/>
        </w:rPr>
        <w:t xml:space="preserve">7.2  Operational Design Domain: Defining the Safety Envelope</w:t>
      </w:r>
    </w:p>
    <w:p>
      <w:pPr>
        <w:spacing w:line="480" w:after="0" w:before="0"/>
        <w:ind w:firstLine="720"/>
        <w:jc w:val="both"/>
      </w:pPr>
      <w:r>
        <w:rPr>
          <w:rFonts w:ascii="Times New Roman" w:cs="Times New Roman" w:eastAsia="Times New Roman" w:hAnsi="Times New Roman"/>
          <w:sz w:val="24"/>
          <w:szCs w:val="24"/>
        </w:rPr>
        <w:t xml:space="preserve">Automotive autonomous driving has formalized a concept of central importance to any safety-critical automation: the Operational Design Domain (ODD)—the specific set of operating conditions under which the automation system is designed to function (SAE International, 2021). We adapt this concept to water systems and argue that it resolves a fundamental barrier to water automation adoption: the ‘trust gap’ between what automated controllers can theoretically do and what operators are willing to let them do.</w:t>
      </w:r>
    </w:p>
    <w:p>
      <w:pPr>
        <w:spacing w:line="480" w:after="0" w:before="0"/>
        <w:ind w:firstLine="720"/>
        <w:jc w:val="both"/>
      </w:pPr>
      <w:r>
        <w:rPr>
          <w:rFonts w:ascii="Times New Roman" w:cs="Times New Roman" w:eastAsia="Times New Roman" w:hAnsi="Times New Roman"/>
          <w:sz w:val="24"/>
          <w:szCs w:val="24"/>
        </w:rPr>
        <w:t xml:space="preserve">An ODD for a water network segment is defined by a bounded region in a multi-dimensional operating space: flow range [Q_min, Q_max], water level range [h_min, h_max], demand-disturbance scenarios (e.g., normal delivery, diurnal peak, drought conditions, inter-basin emergency transfer), equipment status (all actuators functional, single actuator failure, communication degradation), and environmental conditions (normal weather, storm event, ice formation). Within the certified ODD, the HDC controller has been verified—through the X-in-the-Loop (xIL) testing framework (Lei, 2025c)—to maintain all constraints while achieving performance targets. Outside the ODD boundary, control authority reverts to human operators or to a degraded safe mode.</w:t>
      </w:r>
    </w:p>
    <w:p>
      <w:pPr>
        <w:spacing w:line="480" w:after="0" w:before="0"/>
        <w:ind w:firstLine="720"/>
        <w:jc w:val="both"/>
      </w:pPr>
      <w:r>
        <w:rPr>
          <w:rFonts w:ascii="Times New Roman" w:cs="Times New Roman" w:eastAsia="Times New Roman" w:hAnsi="Times New Roman"/>
          <w:sz w:val="24"/>
          <w:szCs w:val="24"/>
        </w:rPr>
        <w:t xml:space="preserve">The ODD concept transforms the question of water automation trust from a binary ‘automate or not’ into a graduated, verifiable framework: for which specific scenarios, under what specific conditions, has this controller been certified? This parallels the automotive progression from highway-only cruise control (narrow ODD) to all-weather urban driving (broad ODD). For water systems, a practical implementation starts with a narrow ODD—e.g., normal flow delivery with all actuators functional—and progressively expands through systematic xIL testing: Model-in-the-Loop (MiL) for algorithm validation, Software-in-the-Loop (SiL) for code verification, Hardware-in-the-Loop (HiL) for actuator-communication integration, and Plant-in-the-Loop (PiL) for field commissioning (Lei, 2025c). The analogy to DO-178C airborne software certification (RTCA, 2011) and ISO 26262 functional safety (ISO, 2018) is deliberate: the water sector requires comparable rigor for its safety-critical automation.</w:t>
      </w:r>
    </w:p>
    <w:p>
      <w:pPr>
        <w:spacing w:line="480" w:after="80" w:before="240"/>
        <w:jc w:val="both"/>
      </w:pPr>
      <w:r>
        <w:rPr>
          <w:rFonts w:ascii="Times New Roman" w:cs="Times New Roman" w:eastAsia="Times New Roman" w:hAnsi="Times New Roman"/>
          <w:b/>
          <w:bCs/>
          <w:sz w:val="26"/>
          <w:szCs w:val="26"/>
        </w:rPr>
        <w:t xml:space="preserve">7.3  The Multi-Agent System Architecture</w:t>
      </w:r>
    </w:p>
    <w:p>
      <w:pPr>
        <w:spacing w:line="480" w:after="0" w:before="0"/>
        <w:ind w:firstLine="720"/>
        <w:jc w:val="both"/>
      </w:pPr>
      <w:r>
        <w:rPr>
          <w:rFonts w:ascii="Times New Roman" w:cs="Times New Roman" w:eastAsia="Times New Roman" w:hAnsi="Times New Roman"/>
          <w:sz w:val="24"/>
          <w:szCs w:val="24"/>
        </w:rPr>
        <w:t xml:space="preserve">HDC provides accurate control grounded in physics, and ODD defines the safety envelope. However, real-world water networks face a challenge that pure HDC cannot address: scenario transitions that require cognitive judgment. When a drought escalates from moderate to severe, when a pump station fails unexpectedly, or when conflicting objectives from different stakeholders must be resolved, the system needs more than algorithmic optimization—it needs the ability to recognize the current situation, assemble appropriate objectives, and reason about response strategies. We introduce Cognitive Intelligence as the third component of the architecture, and the Multi-Agent System (MAS) as the integrating framework.</w:t>
      </w:r>
    </w:p>
    <w:p>
      <w:pPr>
        <w:spacing w:line="480" w:after="0" w:before="0"/>
        <w:ind w:firstLine="720"/>
        <w:jc w:val="both"/>
      </w:pPr>
      <w:r>
        <w:rPr>
          <w:rFonts w:ascii="Times New Roman" w:cs="Times New Roman" w:eastAsia="Times New Roman" w:hAnsi="Times New Roman"/>
          <w:sz w:val="24"/>
          <w:szCs w:val="24"/>
        </w:rPr>
        <w:t xml:space="preserve">Cognitive Intelligence serves as a complementary engine alongside HDC. While HDC computes accurately within a given scenario using physical models (the Physical AI engine), Cognitive Intelligence recognizes which scenario is occurring, assembles the appropriate objective function and constraint set, and reasons about whether the current operating state approaches ODD boundaries (the Cognitive AI engine). In implementation, Cognitive Intelligence draws on recent advances in large language models for structured reasoning (Brown et al., 2020) and retrieval-augmented generation for domain knowledge integration (Lewis et al., 2020), while maintaining that all its proposed actions must be validated by HDC before execution—a ‘propose-validate’ dual-engine interaction loop that ensures physics-based safety is never compromised by cognitive reasoning errors.</w:t>
      </w:r>
    </w:p>
    <w:p>
      <w:pPr>
        <w:spacing w:line="480" w:after="0" w:before="0"/>
        <w:ind w:firstLine="720"/>
        <w:jc w:val="both"/>
      </w:pPr>
      <w:r>
        <w:rPr>
          <w:rFonts w:ascii="Times New Roman" w:cs="Times New Roman" w:eastAsia="Times New Roman" w:hAnsi="Times New Roman"/>
          <w:sz w:val="24"/>
          <w:szCs w:val="24"/>
        </w:rPr>
        <w:t xml:space="preserve">The MAS architecture deploys these capabilities through a hierarchy of intelligent agents at three scales. Edge Agents reside at individual control nodes (a gate, a pump station, a pressure-reducing valve), executing Layer 0–Layer 1 HDC with local sensing and fast response. Area Agents coordinate groups of edge agents within a hydraulically coupled subsystem (a canal reach, a reservoir cascade, a district metered area), running Layer 2 DMPC and managing intra-area ODD. Cloud Agents provide system-wide optimization at Layer 3, integrating Cognitive Intelligence for scenario recognition, inter-area conflict resolution, and long-horizon planning. The critical architectural principle is that each agent is self-contained: if communication with upper-level agents is lost, the edge agent continues autonomous operation within its local ODD—an ‘island autonomy’ capability that reflects the slow-actuator reality (OS3) where communication interruptions cannot be allowed to freeze physical actuators mid-stroke.</w:t>
      </w:r>
    </w:p>
    <w:p>
      <w:pPr>
        <w:spacing w:line="480" w:after="0" w:before="0"/>
        <w:ind w:firstLine="720"/>
        <w:jc w:val="both"/>
      </w:pPr>
      <w:r>
        <w:rPr>
          <w:rFonts w:ascii="Times New Roman" w:cs="Times New Roman" w:eastAsia="Times New Roman" w:hAnsi="Times New Roman"/>
          <w:sz w:val="24"/>
          <w:szCs w:val="24"/>
        </w:rPr>
        <w:t xml:space="preserve">Formally, the MAS architecture can be expressed as: MAS = HDC + ODD + Cognitive Intelligence. HDC provides the Physical AI engine (‘compute accurately’), ODD defines the safety envelope (‘operate within certified boundaries’), and Cognitive Intelligence provides the Cognitive AI engine (‘reason about situations’). The interaction between these three components is not additive but synergistic: HDC constrains what Cognitive Intelligence may propose, ODD determines when autonomous operation is permitted, and Cognitive Intelligence expands the effective ODD over time by identifying and verifying new scenarios.</w:t>
      </w:r>
    </w:p>
    <w:p>
      <w:pPr>
        <w:spacing w:line="480" w:after="80" w:before="240"/>
        <w:jc w:val="both"/>
      </w:pPr>
      <w:r>
        <w:rPr>
          <w:rFonts w:ascii="Times New Roman" w:cs="Times New Roman" w:eastAsia="Times New Roman" w:hAnsi="Times New Roman"/>
          <w:b/>
          <w:bCs/>
          <w:sz w:val="26"/>
          <w:szCs w:val="26"/>
        </w:rPr>
        <w:t xml:space="preserve">7.4  Water Systems Autonomy Levels</w:t>
      </w:r>
    </w:p>
    <w:p>
      <w:pPr>
        <w:spacing w:line="480" w:after="0" w:before="0"/>
        <w:ind w:firstLine="720"/>
        <w:jc w:val="both"/>
      </w:pPr>
      <w:r>
        <w:rPr>
          <w:rFonts w:ascii="Times New Roman" w:cs="Times New Roman" w:eastAsia="Times New Roman" w:hAnsi="Times New Roman"/>
          <w:sz w:val="24"/>
          <w:szCs w:val="24"/>
        </w:rPr>
        <w:t xml:space="preserve">SAE J3016 (SAE International, 2021) transformed the automotive industry’s approach to automation by providing a shared taxonomy that clarified what ‘autonomous’ means at each level. The water sector lacks an equivalent classification. Building on the preliminary concept in Lei (2025b) and drawing on the CHS theory developed in this paper, we propose Water Systems Autonomy Levels (WSAL)—a five-level classification calibrated to the operational singularity constraints of water infrastructure.</w:t>
      </w:r>
    </w:p>
    <w:p>
      <w:pPr>
        <w:spacing w:line="480" w:after="0" w:before="0"/>
        <w:ind w:firstLine="720"/>
        <w:jc w:val="both"/>
      </w:pPr>
      <w:r>
        <w:rPr>
          <w:rFonts w:ascii="Times New Roman" w:cs="Times New Roman" w:eastAsia="Times New Roman" w:hAnsi="Times New Roman"/>
          <w:sz w:val="24"/>
          <w:szCs w:val="24"/>
        </w:rPr>
        <w:t xml:space="preserve">Table 6 defines the five WSAL levels.</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both"/>
      </w:pPr>
      <w:r>
        <w:rPr>
          <w:rFonts w:ascii="Times New Roman" w:cs="Times New Roman" w:eastAsia="Times New Roman" w:hAnsi="Times New Roman"/>
          <w:b/>
          <w:bCs/>
          <w:sz w:val="20"/>
          <w:szCs w:val="20"/>
        </w:rPr>
        <w:t xml:space="preserve">Table 6. Water Systems Autonomy Levels (WSAL)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8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Level</w:t>
            </w:r>
          </w:p>
        </w:tc>
        <w:tc>
          <w:tcPr>
            <w:tcW w:type="dxa" w:w="14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Name</w:t>
            </w:r>
          </w:p>
        </w:tc>
        <w:tc>
          <w:tcPr>
            <w:tcW w:type="dxa" w:w="22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Human Role</w:t>
            </w:r>
          </w:p>
        </w:tc>
        <w:tc>
          <w:tcPr>
            <w:tcW w:type="dxa" w:w="24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System Capability</w:t>
            </w:r>
          </w:p>
        </w:tc>
        <w:tc>
          <w:tcPr>
            <w:tcW w:type="dxa" w:w="16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Architecture</w:t>
            </w:r>
          </w:p>
        </w:tc>
      </w:tr>
      <w:tr>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WSAL-1</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Remote</w:t>
            </w:r>
            <w:r>
              <w:br/>
            </w:r>
            <w:r>
              <w:rPr>
                <w:rFonts w:ascii="Times New Roman" w:cs="Times New Roman" w:eastAsia="Times New Roman" w:hAnsi="Times New Roman"/>
                <w:sz w:val="20"/>
                <w:szCs w:val="20"/>
              </w:rPr>
              <w:t xml:space="preserve">Monitoring</w:t>
            </w:r>
          </w:p>
        </w:tc>
        <w:tc>
          <w:tcPr>
            <w:tcW w:type="dxa" w:w="2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All decisions manual; full-time operator presence</w:t>
            </w:r>
          </w:p>
        </w:tc>
        <w:tc>
          <w:tcPr>
            <w:tcW w:type="dxa" w:w="2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Data acquisition and display; alarm annunciation</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SCADA only</w:t>
            </w:r>
          </w:p>
        </w:tc>
      </w:tr>
      <w:tr>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WSAL-2</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Assisted</w:t>
            </w:r>
            <w:r>
              <w:br/>
            </w:r>
            <w:r>
              <w:rPr>
                <w:rFonts w:ascii="Times New Roman" w:cs="Times New Roman" w:eastAsia="Times New Roman" w:hAnsi="Times New Roman"/>
                <w:sz w:val="20"/>
                <w:szCs w:val="20"/>
              </w:rPr>
              <w:t xml:space="preserve">Control</w:t>
            </w:r>
          </w:p>
        </w:tc>
        <w:tc>
          <w:tcPr>
            <w:tcW w:type="dxa" w:w="2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Confirms all commands; handles all scenario transitions</w:t>
            </w:r>
          </w:p>
        </w:tc>
        <w:tc>
          <w:tcPr>
            <w:tcW w:type="dxa" w:w="2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HDC executes control for predefined typical scenarios; operator approves each action</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SCADA + HDC</w:t>
            </w:r>
            <w:r>
              <w:br/>
            </w:r>
            <w:r>
              <w:rPr>
                <w:rFonts w:ascii="Times New Roman" w:cs="Times New Roman" w:eastAsia="Times New Roman" w:hAnsi="Times New Roman"/>
                <w:sz w:val="20"/>
                <w:szCs w:val="20"/>
              </w:rPr>
              <w:t xml:space="preserve">(partial L1)</w:t>
            </w:r>
          </w:p>
        </w:tc>
      </w:tr>
      <w:tr>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WSAL-3</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Conditional</w:t>
            </w:r>
            <w:r>
              <w:br/>
            </w:r>
            <w:r>
              <w:rPr>
                <w:rFonts w:ascii="Times New Roman" w:cs="Times New Roman" w:eastAsia="Times New Roman" w:hAnsi="Times New Roman"/>
                <w:sz w:val="20"/>
                <w:szCs w:val="20"/>
              </w:rPr>
              <w:t xml:space="preserve">Autonomy</w:t>
            </w:r>
          </w:p>
        </w:tc>
        <w:tc>
          <w:tcPr>
            <w:tcW w:type="dxa" w:w="2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Monitors ODD boundaries; intervenes only at boundary approach</w:t>
            </w:r>
          </w:p>
        </w:tc>
        <w:tc>
          <w:tcPr>
            <w:tcW w:type="dxa" w:w="2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Autonomous operation within certified ODD; automatic fallback at boundaries</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SCADA + HDC</w:t>
            </w:r>
            <w:r>
              <w:br/>
            </w:r>
            <w:r>
              <w:rPr>
                <w:rFonts w:ascii="Times New Roman" w:cs="Times New Roman" w:eastAsia="Times New Roman" w:hAnsi="Times New Roman"/>
                <w:sz w:val="20"/>
                <w:szCs w:val="20"/>
              </w:rPr>
              <w:t xml:space="preserve">+ xIL</w:t>
            </w:r>
          </w:p>
        </w:tc>
      </w:tr>
      <w:tr>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WSAL-4</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High</w:t>
            </w:r>
            <w:r>
              <w:br/>
            </w:r>
            <w:r>
              <w:rPr>
                <w:rFonts w:ascii="Times New Roman" w:cs="Times New Roman" w:eastAsia="Times New Roman" w:hAnsi="Times New Roman"/>
                <w:sz w:val="20"/>
                <w:szCs w:val="20"/>
              </w:rPr>
              <w:t xml:space="preserve">Autonomy</w:t>
            </w:r>
          </w:p>
        </w:tc>
        <w:tc>
          <w:tcPr>
            <w:tcW w:type="dxa" w:w="2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Strategic oversight; rare intervention for novel scenarios</w:t>
            </w:r>
          </w:p>
        </w:tc>
        <w:tc>
          <w:tcPr>
            <w:tcW w:type="dxa" w:w="2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MAS handles most scenarios including many novel ones via cognitive reasoning</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SCADA + MAS</w:t>
            </w:r>
            <w:r>
              <w:br/>
            </w:r>
            <w:r>
              <w:rPr>
                <w:rFonts w:ascii="Times New Roman" w:cs="Times New Roman" w:eastAsia="Times New Roman" w:hAnsi="Times New Roman"/>
                <w:sz w:val="20"/>
                <w:szCs w:val="20"/>
              </w:rPr>
              <w:t xml:space="preserve">(HDC + Cog.)</w:t>
            </w:r>
          </w:p>
        </w:tc>
      </w:tr>
      <w:tr>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WSAL-5</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Full</w:t>
            </w:r>
            <w:r>
              <w:br/>
            </w:r>
            <w:r>
              <w:rPr>
                <w:rFonts w:ascii="Times New Roman" w:cs="Times New Roman" w:eastAsia="Times New Roman" w:hAnsi="Times New Roman"/>
                <w:sz w:val="20"/>
                <w:szCs w:val="20"/>
              </w:rPr>
              <w:t xml:space="preserve">Autonomy</w:t>
            </w:r>
          </w:p>
        </w:tc>
        <w:tc>
          <w:tcPr>
            <w:tcW w:type="dxa" w:w="2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Strategic governance only</w:t>
            </w:r>
          </w:p>
        </w:tc>
        <w:tc>
          <w:tcPr>
            <w:tcW w:type="dxa" w:w="2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Self-expanding ODD through continuous learning; handles all foreseeable conditions</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SCADA + MAS</w:t>
            </w:r>
            <w:r>
              <w:br/>
            </w:r>
            <w:r>
              <w:rPr>
                <w:rFonts w:ascii="Times New Roman" w:cs="Times New Roman" w:eastAsia="Times New Roman" w:hAnsi="Times New Roman"/>
                <w:sz w:val="20"/>
                <w:szCs w:val="20"/>
              </w:rPr>
              <w:t xml:space="preserve">(full ODD)</w:t>
            </w:r>
          </w:p>
        </w:tc>
      </w:tr>
    </w:tbl>
    <w:p>
      <w:pPr>
        <w:spacing w:line="480" w:after="0" w:before="0"/>
        <w:jc w:val="both"/>
      </w:pPr>
      <w:r>
        <w:rPr>
          <w:rFonts w:ascii="Times New Roman" w:cs="Times New Roman" w:eastAsia="Times New Roman" w:hAnsi="Times New Roman"/>
          <w:sz w:val="24"/>
          <w:szCs w:val="24"/>
        </w:rPr>
        <w:t xml:space="preserve"/>
      </w:r>
    </w:p>
    <w:p>
      <w:pPr>
        <w:spacing w:line="480" w:after="0" w:before="0"/>
        <w:ind w:firstLine="720"/>
        <w:jc w:val="both"/>
      </w:pPr>
      <w:r>
        <w:rPr>
          <w:rFonts w:ascii="Times New Roman" w:cs="Times New Roman" w:eastAsia="Times New Roman" w:hAnsi="Times New Roman"/>
          <w:sz w:val="24"/>
          <w:szCs w:val="24"/>
        </w:rPr>
        <w:t xml:space="preserve">Three features distinguish WSAL from SAE J3016 and reflect the operational singularity of water systems. First, the ‘bucket principle’: the overall WSAL rating of a water network equals the lowest rating among its constituent subsystems, because a single manually operated gate in an otherwise automated network creates a system-wide operational bottleneck. Second, the safety floor is non-negotiable: regardless of WSAL level, Layer 0 PLC interlocks remain active and no upper-layer decision—whether from HDC or Cognitive Intelligence—may override them, reflecting OS1 (failure irreversibility). Third, the WSAL-2 to WSAL-3 transition is identified as the critical near-term challenge: it requires systematic xIL verification to certify ODD boundaries, enabling operators to release manual control within certified conditions. This transition is the ‘letting go’ moment—analogous to SAE Level 2 to Level 3 in driving—and constitutes the most important practical milestone for the global water sector.</w:t>
      </w:r>
    </w:p>
    <w:p>
      <w:pPr>
        <w:spacing w:line="480" w:after="0" w:before="0"/>
        <w:ind w:firstLine="720"/>
        <w:jc w:val="both"/>
      </w:pPr>
      <w:r>
        <w:rPr>
          <w:rFonts w:ascii="Times New Roman" w:cs="Times New Roman" w:eastAsia="Times New Roman" w:hAnsi="Times New Roman"/>
          <w:sz w:val="24"/>
          <w:szCs w:val="24"/>
        </w:rPr>
        <w:t xml:space="preserve">A cross-sector assessment reveals that the vast majority of the world’s water infrastructure currently operates at WSAL-1. Leading implementations—such as the Shaoping cascade hydropower station’s MPC-based real-time optimization (Ye et al., 2023) and the Jiaodong inter-basin water transfer project’s multi-timescale planning-control integration (Lei et al., 2025b)—have achieved WSAL-2 for specific subsystems under typical operating scenarios. No operational water system has yet reached WSAL-3, making the WSAL-2→3 transition the frontier of both research and engineering practice.</w:t>
      </w:r>
    </w:p>
    <w:p>
      <w:pPr>
        <w:spacing w:line="480" w:after="60" w:before="120"/>
        <w:jc w:val="center"/>
      </w:pPr>
      <w:r>
        <w:rPr>
          <w:rFonts w:ascii="Times New Roman" w:cs="Times New Roman" w:eastAsia="Times New Roman" w:hAnsi="Times New Roman"/>
          <w:b/>
          <w:bCs/>
          <w:i/>
          <w:iCs/>
          <w:sz w:val="24"/>
          <w:szCs w:val="24"/>
        </w:rPr>
        <w:t xml:space="preserve">[Figure 5 about here]</w:t>
      </w:r>
    </w:p>
    <w:p>
      <w:pPr>
        <w:spacing w:line="480" w:after="120" w:before="360"/>
        <w:jc w:val="both"/>
      </w:pPr>
      <w:r>
        <w:rPr>
          <w:rFonts w:ascii="Times New Roman" w:cs="Times New Roman" w:eastAsia="Times New Roman" w:hAnsi="Times New Roman"/>
          <w:b/>
          <w:bCs/>
          <w:sz w:val="28"/>
          <w:szCs w:val="28"/>
        </w:rPr>
        <w:t xml:space="preserve">8  CHS in Context</w:t>
      </w:r>
    </w:p>
    <w:p>
      <w:pPr>
        <w:spacing w:line="480" w:after="80" w:before="240"/>
        <w:jc w:val="both"/>
      </w:pPr>
      <w:r>
        <w:rPr>
          <w:rFonts w:ascii="Times New Roman" w:cs="Times New Roman" w:eastAsia="Times New Roman" w:hAnsi="Times New Roman"/>
          <w:b/>
          <w:bCs/>
          <w:sz w:val="26"/>
          <w:szCs w:val="26"/>
        </w:rPr>
        <w:t xml:space="preserve">8.1  Historical Roots and What CHS Inherits</w:t>
      </w:r>
    </w:p>
    <w:p>
      <w:pPr>
        <w:spacing w:line="480" w:after="0" w:before="0"/>
        <w:ind w:firstLine="720"/>
        <w:jc w:val="both"/>
      </w:pPr>
      <w:r>
        <w:rPr>
          <w:rFonts w:ascii="Times New Roman" w:cs="Times New Roman" w:eastAsia="Times New Roman" w:hAnsi="Times New Roman"/>
          <w:sz w:val="24"/>
          <w:szCs w:val="24"/>
        </w:rPr>
        <w:t xml:space="preserve">CHS stands on decades of foundational work across three intellectual traditions. The hydraulic science tradition—from Saint-Venant’s (1871) equations through Preissmann’s (1961) numerical scheme and Streeter and Wylie’s (1967) transient analysis—provides plant dynamics. The water resource systems analysis tradition—from Maass et al. (1962) and Loucks et al. (1981) through Yeh (1985) and Labadie (2004)—provides optimization methods for objectives and constraints. The canal automation tradition—from Buyalski et al. (1991) and Schuurmans (1997) through Litrico and Fromion (2009), van Overloop (2006), and Cantoni et al. (2007)—provides real-time feedback control. CHS does not claim these contributions as its own; it provides the unifying structure within which they find their proper relationships.</w:t>
      </w:r>
    </w:p>
    <w:p>
      <w:pPr>
        <w:spacing w:line="480" w:after="0" w:before="0"/>
        <w:ind w:firstLine="720"/>
        <w:jc w:val="both"/>
      </w:pPr>
      <w:r>
        <w:rPr>
          <w:rFonts w:ascii="Times New Roman" w:cs="Times New Roman" w:eastAsia="Times New Roman" w:hAnsi="Times New Roman"/>
          <w:sz w:val="24"/>
          <w:szCs w:val="24"/>
        </w:rPr>
        <w:t xml:space="preserve">Two books merit special mention as partial precedents. Litrico and Fromion (2009) applied frequency-domain control design across canals, rivers, and sewers—the closest prior attempt at cross-sector unification, but limited to open-channel systems without extending to reservoirs, pressurized networks, or the formal architectural hierarchy that CHS provides. Maestre and Negenborn (2014) presented distributed MPC across infrastructure domains including water—demonstrating cross-domain applicability of control methods, but without the water-specific structural analysis (operational singularity, model–layer correspondence) that CHS contributes.</w:t>
      </w:r>
    </w:p>
    <w:p>
      <w:pPr>
        <w:spacing w:line="480" w:after="80" w:before="240"/>
        <w:jc w:val="both"/>
      </w:pPr>
      <w:r>
        <w:rPr>
          <w:rFonts w:ascii="Times New Roman" w:cs="Times New Roman" w:eastAsia="Times New Roman" w:hAnsi="Times New Roman"/>
          <w:b/>
          <w:bCs/>
          <w:sz w:val="26"/>
          <w:szCs w:val="26"/>
        </w:rPr>
        <w:t xml:space="preserve">8.2  What CHS Adds</w:t>
      </w:r>
    </w:p>
    <w:p>
      <w:pPr>
        <w:spacing w:line="480" w:after="0" w:before="0"/>
        <w:ind w:firstLine="720"/>
        <w:jc w:val="both"/>
      </w:pPr>
      <w:r>
        <w:rPr>
          <w:rFonts w:ascii="Times New Roman" w:cs="Times New Roman" w:eastAsia="Times New Roman" w:hAnsi="Times New Roman"/>
          <w:sz w:val="24"/>
          <w:szCs w:val="24"/>
        </w:rPr>
        <w:t xml:space="preserve">CHS makes contributions beyond the existing state of the art at two levels—theoretical and architectural—organized around a central reconciliation. The paper simultaneously claims structural isomorphism (enabling method transfer) and operational singularity (demanding a dedicated science). These claims are not contradictory; they operate at different levels. Structural isomorphism (Proposition 1) applies to the mathematical form: state-space representation, MPC formulation, and stability analysis transfer across sectors because the structure is shared. Operational singularity (Definition 1) applies to the verification and deployment context: water systems cannot be crash-tested, their failures are irreversible, and their disturbances are environmentally coupled. The resolution is that CHS advocates transferring algorithms but not certification paradigms.</w:t>
      </w:r>
    </w:p>
    <w:p>
      <w:pPr>
        <w:spacing w:line="480" w:after="0" w:before="0"/>
        <w:ind w:firstLine="720"/>
        <w:jc w:val="both"/>
      </w:pPr>
      <w:r>
        <w:rPr>
          <w:rFonts w:ascii="Times New Roman" w:cs="Times New Roman" w:eastAsia="Times New Roman" w:hAnsi="Times New Roman"/>
          <w:sz w:val="24"/>
          <w:szCs w:val="24"/>
        </w:rPr>
        <w:t xml:space="preserve">The seven specific contributions are: (1) the operational singularity thesis (Definition 1), providing the theoretical justification for a dedicated water control science; (2) the structural isomorphism proposition (Proposition 1) with five specific control-theoretic properties (S1–S5) and cross-sector instantiation (Table 2); (3) the unified transfer function family (Theorem 2) proving that all SISO LTI low-order hydrodynamic models—IDZ, Muskingum, Nash cascade, reservoir continuity, pipe compliance—are special parameter settings of a single three-parameter family, with the Muskingum–IDZ duality (Corollary 1) bridging the two branches, complemented by a unified actuator reduction (Lemma 3); (4) the model–layer correspondence theorem (Theorem 3) linking each model level to the appropriate control architecture layer; (5) eight principles organized into dual tetrads with formally identified tradeoffs (Table 3); (6) the MAS = HDC + ODD + Cognitive Intelligence architecture (Section 7) providing the implementation bridge from theory to practice; and (7) the WSAL five-level classification (Table 6) providing a shared vocabulary for discussing, measuring, and advancing water automation maturity.</w:t>
      </w:r>
    </w:p>
    <w:p>
      <w:pPr>
        <w:spacing w:line="480" w:after="80" w:before="240"/>
        <w:jc w:val="both"/>
      </w:pPr>
      <w:r>
        <w:rPr>
          <w:rFonts w:ascii="Times New Roman" w:cs="Times New Roman" w:eastAsia="Times New Roman" w:hAnsi="Times New Roman"/>
          <w:b/>
          <w:bCs/>
          <w:sz w:val="26"/>
          <w:szCs w:val="26"/>
        </w:rPr>
        <w:t xml:space="preserve">8.3  The Irreversibility Challenge for AI Integration</w:t>
      </w:r>
    </w:p>
    <w:p>
      <w:pPr>
        <w:spacing w:line="480" w:after="0" w:before="0"/>
        <w:ind w:firstLine="720"/>
        <w:jc w:val="both"/>
      </w:pPr>
      <w:r>
        <w:rPr>
          <w:rFonts w:ascii="Times New Roman" w:cs="Times New Roman" w:eastAsia="Times New Roman" w:hAnsi="Times New Roman"/>
          <w:sz w:val="24"/>
          <w:szCs w:val="24"/>
        </w:rPr>
        <w:t xml:space="preserve">The operational singularity has specific implications for AI integration. OS5 prohibits direct online reinforcement learning on physical water systems—one cannot deliberately flood a city to gather training data. However, simulation-based training in digital twins (Rasheed et al., 2020) permits failure exploration in silico. Physics-informed neural networks (Karniadakis et al., 2021) and differentiable hydrological models (Shen et al., 2023) offer promising integration pathways by embedding conservation laws as architectural constraints.</w:t>
      </w:r>
    </w:p>
    <w:p>
      <w:pPr>
        <w:spacing w:line="480" w:after="0" w:before="0"/>
        <w:ind w:firstLine="720"/>
        <w:jc w:val="both"/>
      </w:pPr>
      <w:r>
        <w:rPr>
          <w:rFonts w:ascii="Times New Roman" w:cs="Times New Roman" w:eastAsia="Times New Roman" w:hAnsi="Times New Roman"/>
          <w:sz w:val="24"/>
          <w:szCs w:val="24"/>
        </w:rPr>
        <w:t xml:space="preserve">CHS takes a specific architectural position through the MAS framework (Section 7.3). The dual-engine design—Physical AI (HDC) for safety-critical Layers 0–1, Cognitive AI for Layers 2–3—is not merely a preference but a necessary consequence of operational singularity. At Layers 0 and 1, where control actions directly move actuators and where constraint violations are irreversible, controllers must be grounded in first-principles dynamics with provable constraint guarantees—no learned model, however accurate on average, can provide the worst-case certificates that OS1 demands. At Layers 2 and 3, where timescales are longer, consequences of suboptimal decisions are reversible within operational horizons, and data requirements are compatible with operational history, AI methods add value through pattern recognition, scenario classification, and adaptive goal assembly. The X-in-the-Loop framework (Lei, 2025c) provides the bridge between domains: AI-enhanced controllers must pass progressively more realistic testing stages before deployment, and their effective ODD expands only as verification accumulates. This stratified integration—physics for safety, AI for intelligence—distinguishes CHS from both purely data-driven smart water approaches that ignore operational singularity and conservative positions that reject AI entirely.</w:t>
      </w:r>
    </w:p>
    <w:p>
      <w:pPr>
        <w:spacing w:line="480" w:after="120" w:before="360"/>
        <w:jc w:val="both"/>
      </w:pPr>
      <w:r>
        <w:rPr>
          <w:rFonts w:ascii="Times New Roman" w:cs="Times New Roman" w:eastAsia="Times New Roman" w:hAnsi="Times New Roman"/>
          <w:b/>
          <w:bCs/>
          <w:sz w:val="28"/>
          <w:szCs w:val="28"/>
        </w:rPr>
        <w:t xml:space="preserve">9  Research Agenda and Testable Predictions</w:t>
      </w:r>
    </w:p>
    <w:p>
      <w:pPr>
        <w:spacing w:line="480" w:after="0" w:before="0"/>
        <w:ind w:firstLine="720"/>
        <w:jc w:val="both"/>
      </w:pPr>
      <w:r>
        <w:rPr>
          <w:rFonts w:ascii="Times New Roman" w:cs="Times New Roman" w:eastAsia="Times New Roman" w:hAnsi="Times New Roman"/>
          <w:sz w:val="24"/>
          <w:szCs w:val="24"/>
        </w:rPr>
        <w:t xml:space="preserve">CHS, together with the MAS architecture and WSAL classification, provides the theoretical and architectural foundation for Water Systems Operation Science and Engineering—a discipline bridging hydraulic engineering, control science, and systems engineering. We outline five research priorities and three testable predictions.</w:t>
      </w:r>
    </w:p>
    <w:p>
      <w:pPr>
        <w:spacing w:line="480" w:after="80" w:before="240"/>
        <w:jc w:val="both"/>
      </w:pPr>
      <w:r>
        <w:rPr>
          <w:rFonts w:ascii="Times New Roman" w:cs="Times New Roman" w:eastAsia="Times New Roman" w:hAnsi="Times New Roman"/>
          <w:b/>
          <w:bCs/>
          <w:sz w:val="26"/>
          <w:szCs w:val="26"/>
        </w:rPr>
        <w:t xml:space="preserve">9.1  Priority Research Directions</w:t>
      </w:r>
    </w:p>
    <w:p>
      <w:pPr>
        <w:spacing w:line="480" w:after="0" w:before="0"/>
        <w:ind w:firstLine="720"/>
        <w:jc w:val="both"/>
      </w:pPr>
      <w:r>
        <w:rPr>
          <w:rFonts w:ascii="Times New Roman" w:cs="Times New Roman" w:eastAsia="Times New Roman" w:hAnsi="Times New Roman"/>
          <w:sz w:val="24"/>
          <w:szCs w:val="24"/>
        </w:rPr>
        <w:t xml:space="preserve">First, scalable distributed control architectures: developing DMPC algorithms that scale to hundreds of interconnected subsystems with stability and constraint satisfaction guarantees, using the South-to-North Water Diversion Middle Route (64 gates, 1,432 km) as a benchmark. Second, physics-AI integration under irreversibility constraints: how should physics constraints be enforced within machine learning architectures when training on failure states is impermissible? The dual-engine architecture (Section 7.3) provides the conceptual answer; rigorous mathematical formulations of the propose-validate interaction loop are needed. Third, WSAL standardization and ODD certification protocols: the water sector needs verification and validation standards comparable to ISO 26262 (ISO, 2018) and SOTIF (ISO, 2022) in automotive, with particular focus on the WSAL-2 to WSAL-3 transition—the near-term critical milestone. The X-in-the-Loop framework (Lei, 2025c) provides conceptual structure, but formal certification criteria for each xIL stage remain to be developed. Fourth, interoperability standards for the MAS architecture: Edge-Area-Cloud agent communication requires a common information model analogous to IEC 61970 in power systems (IEC, 2005), enabling multi-vendor integration and cross-system data exchange. Fifth, institutional and human factors: the Cyber-Physical-Social Systems perspective (Wang, 2010) integrates technical capabilities with institutional readiness and public trust—the social dimension that determines whether technically achievable WSAL levels are actually adopted in practice.</w:t>
      </w:r>
    </w:p>
    <w:p>
      <w:pPr>
        <w:spacing w:line="480" w:after="80" w:before="240"/>
        <w:jc w:val="both"/>
      </w:pPr>
      <w:r>
        <w:rPr>
          <w:rFonts w:ascii="Times New Roman" w:cs="Times New Roman" w:eastAsia="Times New Roman" w:hAnsi="Times New Roman"/>
          <w:b/>
          <w:bCs/>
          <w:sz w:val="26"/>
          <w:szCs w:val="26"/>
        </w:rPr>
        <w:t xml:space="preserve">9.2  Testable Predictions</w:t>
      </w:r>
    </w:p>
    <w:p>
      <w:pPr>
        <w:spacing w:line="480" w:after="0" w:before="0"/>
        <w:ind w:firstLine="720"/>
        <w:jc w:val="both"/>
      </w:pPr>
      <w:r>
        <w:rPr>
          <w:rFonts w:ascii="Times New Roman" w:cs="Times New Roman" w:eastAsia="Times New Roman" w:hAnsi="Times New Roman"/>
          <w:sz w:val="24"/>
          <w:szCs w:val="24"/>
        </w:rPr>
        <w:t xml:space="preserve">A theory is distinguished from a taxonomy by its ability to generate testable predictions. CHS makes four:</w:t>
      </w:r>
    </w:p>
    <w:p>
      <w:pPr>
        <w:spacing w:line="480" w:after="0" w:before="0"/>
        <w:ind w:firstLine="720"/>
        <w:jc w:val="both"/>
      </w:pPr>
      <w:r>
        <w:rPr>
          <w:rFonts w:ascii="Times New Roman" w:cs="Times New Roman" w:eastAsia="Times New Roman" w:hAnsi="Times New Roman"/>
          <w:b/>
          <w:bCs/>
          <w:i/>
          <w:iCs/>
          <w:sz w:val="24"/>
          <w:szCs w:val="24"/>
        </w:rPr>
        <w:t xml:space="preserve">Prediction 1 (Performance improvement). </w:t>
      </w:r>
      <w:r>
        <w:rPr>
          <w:rFonts w:ascii="Times New Roman" w:cs="Times New Roman" w:eastAsia="Times New Roman" w:hAnsi="Times New Roman"/>
          <w:sz w:val="24"/>
          <w:szCs w:val="24"/>
        </w:rPr>
        <w:t xml:space="preserve">A water network control system designed according to the CHS eight-principle architecture (IDZ-based MPC at Layer 1, DMPC coordination at Layer 2, PLC safety interlocks at Layer 0) will achieve at least 30% reduction in root-mean-square water level deviation compared to incumbent rule-based SCADA operation under identical historical disturbance scenarios, with zero constraint violations. Candidate benchmarks: South-to-North Water Diversion Middle Route and Central Arizona Project.</w:t>
      </w:r>
    </w:p>
    <w:p>
      <w:pPr>
        <w:spacing w:line="480" w:after="0" w:before="0"/>
        <w:ind w:firstLine="720"/>
        <w:jc w:val="both"/>
      </w:pPr>
      <w:r>
        <w:rPr>
          <w:rFonts w:ascii="Times New Roman" w:cs="Times New Roman" w:eastAsia="Times New Roman" w:hAnsi="Times New Roman"/>
          <w:b/>
          <w:bCs/>
          <w:i/>
          <w:iCs/>
          <w:sz w:val="24"/>
          <w:szCs w:val="24"/>
        </w:rPr>
        <w:t xml:space="preserve">Prediction 2 (Cross-sector transfer). </w:t>
      </w:r>
      <w:r>
        <w:rPr>
          <w:rFonts w:ascii="Times New Roman" w:cs="Times New Roman" w:eastAsia="Times New Roman" w:hAnsi="Times New Roman"/>
          <w:sz w:val="24"/>
          <w:szCs w:val="24"/>
        </w:rPr>
        <w:t xml:space="preserve">An MPC controller using the IDZ internal model, calibrated on an irrigation canal pool (θ_canal), will achieve settling time within 50% and steady-state error within 200% of canal-calibrated performance when applied to (a) a reservoir pool re-parameterized as an Integrator model (θ_reservoir) and (b) an urban pressure zone re-parameterized with hydraulic compliance (θ_urban)—without modification of the MPC algorithm, cost function weights, or constraint handling logic.</w:t>
      </w:r>
    </w:p>
    <w:p>
      <w:pPr>
        <w:spacing w:line="480" w:after="0" w:before="0"/>
        <w:ind w:firstLine="720"/>
        <w:jc w:val="both"/>
      </w:pPr>
      <w:r>
        <w:rPr>
          <w:rFonts w:ascii="Times New Roman" w:cs="Times New Roman" w:eastAsia="Times New Roman" w:hAnsi="Times New Roman"/>
          <w:b/>
          <w:bCs/>
          <w:i/>
          <w:iCs/>
          <w:sz w:val="24"/>
          <w:szCs w:val="24"/>
        </w:rPr>
        <w:t xml:space="preserve">Prediction 3 (Tradeoff optimality). </w:t>
      </w:r>
      <w:r>
        <w:rPr>
          <w:rFonts w:ascii="Times New Roman" w:cs="Times New Roman" w:eastAsia="Times New Roman" w:hAnsi="Times New Roman"/>
          <w:sz w:val="24"/>
          <w:szCs w:val="24"/>
        </w:rPr>
        <w:t xml:space="preserve">The Decoupling–Coordination tradeoff (P2–P6) predicts that the optimal fraction of available pool storage allocated to local disturbance buffering is a monotonically increasing function of τᵈ/T_comm, where τᵈ is pool transport delay and T_comm is coordination update interval. When τᵈ/T_comm &gt; 5, local buffering should exceed 80%; when τᵈ/T_comm &lt; 1, it should fall below 30%.</w:t>
      </w:r>
    </w:p>
    <w:p>
      <w:pPr>
        <w:spacing w:line="480" w:after="0" w:before="0"/>
        <w:ind w:firstLine="720"/>
        <w:jc w:val="both"/>
      </w:pPr>
      <w:r>
        <w:rPr>
          <w:rFonts w:ascii="Times New Roman" w:cs="Times New Roman" w:eastAsia="Times New Roman" w:hAnsi="Times New Roman"/>
          <w:b/>
          <w:bCs/>
          <w:i/>
          <w:iCs/>
          <w:sz w:val="24"/>
          <w:szCs w:val="24"/>
        </w:rPr>
        <w:t xml:space="preserve">Prediction 4 (WSAL advancement). </w:t>
      </w:r>
      <w:r>
        <w:rPr>
          <w:rFonts w:ascii="Times New Roman" w:cs="Times New Roman" w:eastAsia="Times New Roman" w:hAnsi="Times New Roman"/>
          <w:sz w:val="24"/>
          <w:szCs w:val="24"/>
        </w:rPr>
        <w:t xml:space="preserve">A water conveyance system implementing the full HDC stack (Layers 0–2) with xIL-certified ODD covering normal-flow and single-actuator-failure scenarios will achieve WSAL-3 certification within three years of initial deployment, as measured by the operator intervention rate dropping below 5% of control cycles within the certified ODD. Furthermore, the ODD expansion rate will accelerate monotonically as verified scenarios accumulate, following a learning-curve pattern characteristic of autonomous systems with expanding operational envelopes.</w:t>
      </w:r>
    </w:p>
    <w:p>
      <w:pPr>
        <w:spacing w:line="480" w:after="0" w:before="0"/>
        <w:ind w:firstLine="720"/>
        <w:jc w:val="both"/>
      </w:pPr>
      <w:r>
        <w:rPr>
          <w:rFonts w:ascii="Times New Roman" w:cs="Times New Roman" w:eastAsia="Times New Roman" w:hAnsi="Times New Roman"/>
          <w:sz w:val="24"/>
          <w:szCs w:val="24"/>
        </w:rPr>
        <w:t xml:space="preserve">Falsification of any of these predictions would require revision of the CHS framework, satisfying the Popperian criterion of scientific falsifiability.</w:t>
      </w:r>
    </w:p>
    <w:p>
      <w:pPr>
        <w:spacing w:line="480" w:after="120" w:before="360"/>
        <w:jc w:val="both"/>
      </w:pPr>
      <w:r>
        <w:rPr>
          <w:rFonts w:ascii="Times New Roman" w:cs="Times New Roman" w:eastAsia="Times New Roman" w:hAnsi="Times New Roman"/>
          <w:b/>
          <w:bCs/>
          <w:sz w:val="28"/>
          <w:szCs w:val="28"/>
        </w:rPr>
        <w:t xml:space="preserve">10  Conclusions</w:t>
      </w:r>
    </w:p>
    <w:p>
      <w:pPr>
        <w:spacing w:line="480" w:after="0" w:before="0"/>
        <w:ind w:firstLine="720"/>
        <w:jc w:val="both"/>
      </w:pPr>
      <w:r>
        <w:rPr>
          <w:rFonts w:ascii="Times New Roman" w:cs="Times New Roman" w:eastAsia="Times New Roman" w:hAnsi="Times New Roman"/>
          <w:sz w:val="24"/>
          <w:szCs w:val="24"/>
        </w:rPr>
        <w:t xml:space="preserve">This paper has proposed Cybernetics of Hydro Systems (CHS) as a unified control-theoretic framework for water network operations. The contribution rests on four pillars.</w:t>
      </w:r>
    </w:p>
    <w:p>
      <w:pPr>
        <w:spacing w:line="480" w:after="0" w:before="0"/>
        <w:ind w:firstLine="720"/>
        <w:jc w:val="both"/>
      </w:pPr>
      <w:r>
        <w:rPr>
          <w:rFonts w:ascii="Times New Roman" w:cs="Times New Roman" w:eastAsia="Times New Roman" w:hAnsi="Times New Roman"/>
          <w:sz w:val="24"/>
          <w:szCs w:val="24"/>
        </w:rPr>
        <w:t xml:space="preserve">First, the operational singularity thesis (Definition 1): water systems simultaneously exhibit failure irreversibility, extreme spatial distribution, slow distributed actuators, open-boundary environmental coupling, and the impossibility of controlled failure testing. This co-occurrence, absent from any other infrastructure domain, demands a dedicated control science with constraint inviolability at its theoretical center.</w:t>
      </w:r>
    </w:p>
    <w:p>
      <w:pPr>
        <w:spacing w:line="480" w:after="0" w:before="0"/>
        <w:ind w:firstLine="720"/>
        <w:jc w:val="both"/>
      </w:pPr>
      <w:r>
        <w:rPr>
          <w:rFonts w:ascii="Times New Roman" w:cs="Times New Roman" w:eastAsia="Times New Roman" w:hAnsi="Times New Roman"/>
          <w:sz w:val="24"/>
          <w:szCs w:val="24"/>
        </w:rPr>
        <w:t xml:space="preserve">Second, mathematical unification with theoretical depth: Proposition 1 identifies five invariant control-theoretic properties across all water subsectors; the unified transfer function family (Theorem 2) proves that all existing low-order hydrodynamic models—the IDZ from canal automation, Muskingum from watershed hydrology, Nash cascade, reservoir continuity, pipe compliance—are special cases of a single three-parameter family, with the Muskingum–IDZ duality (Corollary 1) revealing that seven decades of independent development in hydrology and canal control produced dual representations of identical physics distinguished solely by the downstream boundary condition; the five-level hierarchy (LSV→IDZ→ID→I→SS) with model–layer correspondence (Theorem 3) provides the mathematical backbone; and eight governing principles organized into dual tetrads with formally identified tradeoffs guide systematic control design.</w:t>
      </w:r>
    </w:p>
    <w:p>
      <w:pPr>
        <w:spacing w:line="480" w:after="0" w:before="0"/>
        <w:ind w:firstLine="720"/>
        <w:jc w:val="both"/>
      </w:pPr>
      <w:r>
        <w:rPr>
          <w:rFonts w:ascii="Times New Roman" w:cs="Times New Roman" w:eastAsia="Times New Roman" w:hAnsi="Times New Roman"/>
          <w:sz w:val="24"/>
          <w:szCs w:val="24"/>
        </w:rPr>
        <w:t xml:space="preserve">Third, an implementable architecture: the Multi-Agent System framework (MAS = HDC + ODD + Cognitive Intelligence) translates CHS theory into a three-component system design—Hierarchical Distributed Control as the physics-grounded Physical AI engine, Operational Design Domain as the safety certification framework, and Cognitive Intelligence as the scenario-aware Cognitive AI engine. The dual-engine interaction loop (propose-validate) ensures that AI reasoning never bypasses physics-based safety guarantees. The WSAL five-level classification provides a shared vocabulary for measuring automation maturity and charting the transition from manual supervision (WSAL-1) through conditional autonomy (WSAL-3) to full autonomous operation (WSAL-5), with the WSAL-2 to WSAL-3 transition identified as the critical near-term milestone requiring systematic xIL verification.</w:t>
      </w:r>
    </w:p>
    <w:p>
      <w:pPr>
        <w:spacing w:line="480" w:after="0" w:before="0"/>
        <w:ind w:firstLine="720"/>
        <w:jc w:val="both"/>
      </w:pPr>
      <w:r>
        <w:rPr>
          <w:rFonts w:ascii="Times New Roman" w:cs="Times New Roman" w:eastAsia="Times New Roman" w:hAnsi="Times New Roman"/>
          <w:sz w:val="24"/>
          <w:szCs w:val="24"/>
        </w:rPr>
        <w:t xml:space="preserve">Fourth, a scientific agenda: CHS generates four testable predictions that can be empirically validated or falsified, including the performance improvement prediction, the cross-sector transfer prediction, the tradeoff optimality prediction, and the WSAL advancement prediction.</w:t>
      </w:r>
    </w:p>
    <w:p>
      <w:pPr>
        <w:spacing w:line="480" w:after="0" w:before="0"/>
        <w:ind w:firstLine="720"/>
        <w:jc w:val="both"/>
      </w:pPr>
      <w:r>
        <w:rPr>
          <w:rFonts w:ascii="Times New Roman" w:cs="Times New Roman" w:eastAsia="Times New Roman" w:hAnsi="Times New Roman"/>
          <w:sz w:val="24"/>
          <w:szCs w:val="24"/>
        </w:rPr>
        <w:t xml:space="preserve">CHS extends the preliminary Chinese-language framework (Lei, 2025a–d) in six directions: formalizing the operational singularity, introducing six-element architecture with structural isomorphism, proving the unified transfer function family with Muskingum–IDZ duality, establishing the model–layer correspondence, expanding to eight principles with tradeoff analysis, providing cross-sector applications including multi-pool DMPC and three-domain transfer, and introducing the MAS architecture with WSAL classification. The framework is offered as a foundation for community engagement. Just as Kundur’s Power System Stability and Control (1994) provided a unified foundation for power system operations, CHS aims to provide a common theoretical language for the water community confronting the third revolution in water infrastructure science: from planning to real-time autonomous operating. In this framing, the first revolution was the development of hydraulic engineering science (Saint-Venant, 1871; Preissmann, 1961)—the ability to predict water system behavior; the second was water resources systems analysis (Maass et al., 1962; Loucks &amp; van Beek, 2017)—the ability to optimize allocation and planning; the third, which CHS aims to enable, is real-time autonomous operation—the ability to control water systems adaptively in closed loop.</w:t>
      </w:r>
    </w:p>
    <w:p>
      <w:pPr>
        <w:spacing w:line="480" w:after="120" w:before="360"/>
        <w:jc w:val="both"/>
      </w:pPr>
      <w:r>
        <w:rPr>
          <w:rFonts w:ascii="Times New Roman" w:cs="Times New Roman" w:eastAsia="Times New Roman" w:hAnsi="Times New Roman"/>
          <w:b/>
          <w:bCs/>
          <w:sz w:val="28"/>
          <w:szCs w:val="28"/>
        </w:rPr>
        <w:t xml:space="preserve">Open Research</w:t>
      </w:r>
    </w:p>
    <w:p>
      <w:pPr>
        <w:spacing w:line="480" w:after="0" w:before="0"/>
        <w:ind w:firstLine="720"/>
        <w:jc w:val="both"/>
      </w:pPr>
      <w:r>
        <w:rPr>
          <w:rFonts w:ascii="Times New Roman" w:cs="Times New Roman" w:eastAsia="Times New Roman" w:hAnsi="Times New Roman"/>
          <w:sz w:val="24"/>
          <w:szCs w:val="24"/>
        </w:rPr>
        <w:t xml:space="preserve">This paper is a theoretical and review contribution. No new experimental data were generated. The Chinese-language source publications (Lei, 2025a–d) are available through CNKI.</w:t>
      </w:r>
    </w:p>
    <w:p>
      <w:pPr>
        <w:spacing w:line="480" w:after="120" w:before="360"/>
        <w:jc w:val="both"/>
      </w:pPr>
      <w:r>
        <w:rPr>
          <w:rFonts w:ascii="Times New Roman" w:cs="Times New Roman" w:eastAsia="Times New Roman" w:hAnsi="Times New Roman"/>
          <w:b/>
          <w:bCs/>
          <w:sz w:val="28"/>
          <w:szCs w:val="28"/>
        </w:rPr>
        <w:t xml:space="preserve">Acknowledgments</w:t>
      </w:r>
    </w:p>
    <w:p>
      <w:pPr>
        <w:spacing w:line="480" w:after="0" w:before="0"/>
        <w:ind w:firstLine="720"/>
        <w:jc w:val="both"/>
      </w:pPr>
      <w:r>
        <w:rPr>
          <w:rFonts w:ascii="Times New Roman" w:cs="Times New Roman" w:eastAsia="Times New Roman" w:hAnsi="Times New Roman"/>
          <w:sz w:val="24"/>
          <w:szCs w:val="24"/>
        </w:rPr>
        <w:t xml:space="preserve">This work was supported by the National Key R&amp;D Program of China (Grant Nos. [to be inserted]) and the National Natural Science Foundation of China (Grant Nos. [to be inserted]). The author thanks Academician Hao Wang for long-term mentorship and the members of the IAHR Working Group on Water System Operations for stimulating discussions.</w:t>
      </w:r>
    </w:p>
    <w:p>
      <w:pPr>
        <w:spacing w:line="480" w:after="120" w:before="360"/>
        <w:jc w:val="both"/>
      </w:pPr>
      <w:r>
        <w:rPr>
          <w:rFonts w:ascii="Times New Roman" w:cs="Times New Roman" w:eastAsia="Times New Roman" w:hAnsi="Times New Roman"/>
          <w:b/>
          <w:bCs/>
          <w:sz w:val="28"/>
          <w:szCs w:val="28"/>
        </w:rPr>
        <w:t xml:space="preserve">References</w:t>
      </w:r>
    </w:p>
    <w:p>
      <w:pPr>
        <w:spacing w:line="280" w:after="60" w:before="0"/>
        <w:ind w:left="720" w:hanging="720"/>
        <w:jc w:val="both"/>
      </w:pPr>
      <w:r>
        <w:rPr>
          <w:rFonts w:ascii="Times New Roman" w:cs="Times New Roman" w:eastAsia="Times New Roman" w:hAnsi="Times New Roman"/>
          <w:sz w:val="20"/>
          <w:szCs w:val="20"/>
        </w:rPr>
        <w:t xml:space="preserve">Abbott, M. B. (1991). Hydroinformatics: Information technology and the aquatic environment. Avebury Technical.</w:t>
      </w:r>
    </w:p>
    <w:p>
      <w:pPr>
        <w:spacing w:line="280" w:after="60" w:before="0"/>
        <w:ind w:left="720" w:hanging="720"/>
        <w:jc w:val="both"/>
      </w:pPr>
      <w:r>
        <w:rPr>
          <w:rFonts w:ascii="Times New Roman" w:cs="Times New Roman" w:eastAsia="Times New Roman" w:hAnsi="Times New Roman"/>
          <w:sz w:val="20"/>
          <w:szCs w:val="20"/>
        </w:rPr>
        <w:t xml:space="preserve">Biswas, A. K. (2004). Integrated water resources management: A reassessment. Water International, 29(2), 248–256. https://doi.org/10.1080/02508060408691775</w:t>
      </w:r>
    </w:p>
    <w:p>
      <w:pPr>
        <w:spacing w:line="280" w:after="60" w:before="0"/>
        <w:ind w:left="720" w:hanging="720"/>
        <w:jc w:val="both"/>
      </w:pPr>
      <w:r>
        <w:rPr>
          <w:rFonts w:ascii="Times New Roman" w:cs="Times New Roman" w:eastAsia="Times New Roman" w:hAnsi="Times New Roman"/>
          <w:sz w:val="20"/>
          <w:szCs w:val="20"/>
        </w:rPr>
        <w:t xml:space="preserve">Bode, H. W. (1945). Network analysis and feedback amplifier design. D. Van Nostrand.</w:t>
      </w:r>
    </w:p>
    <w:p>
      <w:pPr>
        <w:spacing w:line="280" w:after="60" w:before="0"/>
        <w:ind w:left="720" w:hanging="720"/>
        <w:jc w:val="both"/>
      </w:pPr>
      <w:r>
        <w:rPr>
          <w:rFonts w:ascii="Times New Roman" w:cs="Times New Roman" w:eastAsia="Times New Roman" w:hAnsi="Times New Roman"/>
          <w:sz w:val="20"/>
          <w:szCs w:val="20"/>
        </w:rPr>
        <w:t xml:space="preserve">Brdys, M. A., &amp; Ulanicki, B. (1994). Operational control of water systems: Structures, algorithms and applications. Prentice Hall.</w:t>
      </w:r>
    </w:p>
    <w:p>
      <w:pPr>
        <w:spacing w:line="280" w:after="60" w:before="0"/>
        <w:ind w:left="720" w:hanging="720"/>
        <w:jc w:val="both"/>
      </w:pPr>
      <w:r>
        <w:rPr>
          <w:rFonts w:ascii="Times New Roman" w:cs="Times New Roman" w:eastAsia="Times New Roman" w:hAnsi="Times New Roman"/>
          <w:sz w:val="20"/>
          <w:szCs w:val="20"/>
        </w:rPr>
        <w:t xml:space="preserve">Buyalski, C. P., Ehler, D. G., Falvey, H. T., Rogers, D. C., &amp; Serfozo, E. A. (1991). Canal systems automation manual (Vol. 1). U.S. Bureau of Reclamation.</w:t>
      </w:r>
    </w:p>
    <w:p>
      <w:pPr>
        <w:spacing w:line="280" w:after="60" w:before="0"/>
        <w:ind w:left="720" w:hanging="720"/>
        <w:jc w:val="both"/>
      </w:pPr>
      <w:r>
        <w:rPr>
          <w:rFonts w:ascii="Times New Roman" w:cs="Times New Roman" w:eastAsia="Times New Roman" w:hAnsi="Times New Roman"/>
          <w:sz w:val="20"/>
          <w:szCs w:val="20"/>
        </w:rPr>
        <w:t xml:space="preserve">Bolea, Y., Puig, V., &amp; Grau, A. (2014). Discussion on Muskingum versus Integrator-Delay models for control objectives. Journal of Applied Mathematics, 2014, Article 197907. https://doi.org/10.1155/2014/197907</w:t>
      </w:r>
    </w:p>
    <w:p>
      <w:pPr>
        <w:spacing w:line="280" w:after="60" w:before="0"/>
        <w:ind w:left="720" w:hanging="720"/>
        <w:jc w:val="both"/>
      </w:pPr>
      <w:r>
        <w:rPr>
          <w:rFonts w:ascii="Times New Roman" w:cs="Times New Roman" w:eastAsia="Times New Roman" w:hAnsi="Times New Roman"/>
          <w:sz w:val="20"/>
          <w:szCs w:val="20"/>
        </w:rPr>
        <w:t xml:space="preserve">Cantoni, M., Weyer, E., Li, Y., Ooi, S. K., Mareels, I., &amp; Ryan, M. (2007). Control of large-scale irrigation networks. Proceedings of the IEEE, 95(1), 75–91. https://doi.org/10.1109/JPROC.2006.887289</w:t>
      </w:r>
    </w:p>
    <w:p>
      <w:pPr>
        <w:spacing w:line="280" w:after="60" w:before="0"/>
        <w:ind w:left="720" w:hanging="720"/>
        <w:jc w:val="both"/>
      </w:pPr>
      <w:r>
        <w:rPr>
          <w:rFonts w:ascii="Times New Roman" w:cs="Times New Roman" w:eastAsia="Times New Roman" w:hAnsi="Times New Roman"/>
          <w:sz w:val="20"/>
          <w:szCs w:val="20"/>
        </w:rPr>
        <w:t xml:space="preserve">Castelletti, A., Ficchì, A., Cominola, A., Segovia, P., Giuliani, M., Wu, W., Lucia, S., Ocampo-Martinez, C., De Schutter, B., &amp; Maestre, J. M. (2023). Model Predictive Control of water resources systems: A review and research agenda. Annual Reviews in Control, 55, 442–465. https://doi.org/10.1016/j.arcontrol.2023.03.013</w:t>
      </w:r>
    </w:p>
    <w:p>
      <w:pPr>
        <w:spacing w:line="280" w:after="60" w:before="0"/>
        <w:ind w:left="720" w:hanging="720"/>
        <w:jc w:val="both"/>
      </w:pPr>
      <w:r>
        <w:rPr>
          <w:rFonts w:ascii="Times New Roman" w:cs="Times New Roman" w:eastAsia="Times New Roman" w:hAnsi="Times New Roman"/>
          <w:sz w:val="20"/>
          <w:szCs w:val="20"/>
        </w:rPr>
        <w:t xml:space="preserve">Chaudhry, M. H. (2014). Applied hydraulic transients (3rd ed.). Springer. https://doi.org/10.1007/978-1-4614-8538-4</w:t>
      </w:r>
    </w:p>
    <w:p>
      <w:pPr>
        <w:spacing w:line="280" w:after="60" w:before="0"/>
        <w:ind w:left="720" w:hanging="720"/>
        <w:jc w:val="both"/>
      </w:pPr>
      <w:r>
        <w:rPr>
          <w:rFonts w:ascii="Times New Roman" w:cs="Times New Roman" w:eastAsia="Times New Roman" w:hAnsi="Times New Roman"/>
          <w:sz w:val="20"/>
          <w:szCs w:val="20"/>
        </w:rPr>
        <w:t xml:space="preserve">Chow, V. T., Maidment, D. R., &amp; Mays, L. W. (1988). Applied hydrology. McGraw-Hill.</w:t>
      </w:r>
    </w:p>
    <w:p>
      <w:pPr>
        <w:spacing w:line="280" w:after="60" w:before="0"/>
        <w:ind w:left="720" w:hanging="720"/>
        <w:jc w:val="both"/>
      </w:pPr>
      <w:r>
        <w:rPr>
          <w:rFonts w:ascii="Times New Roman" w:cs="Times New Roman" w:eastAsia="Times New Roman" w:hAnsi="Times New Roman"/>
          <w:sz w:val="20"/>
          <w:szCs w:val="20"/>
        </w:rPr>
        <w:t xml:space="preserve">Clemmens, A. J., &amp; Schuurmans, J. (2004). Simple optimal downstream feedback canal controllers: Theory. Journal of Irrigation and Drainage Engineering, 130(1), 26–34. https://doi.org/10.1061/(ASCE)0733-9437(2004)130:1(26)</w:t>
      </w:r>
    </w:p>
    <w:p>
      <w:pPr>
        <w:spacing w:line="280" w:after="60" w:before="0"/>
        <w:ind w:left="720" w:hanging="720"/>
        <w:jc w:val="both"/>
      </w:pPr>
      <w:r>
        <w:rPr>
          <w:rFonts w:ascii="Times New Roman" w:cs="Times New Roman" w:eastAsia="Times New Roman" w:hAnsi="Times New Roman"/>
          <w:sz w:val="20"/>
          <w:szCs w:val="20"/>
        </w:rPr>
        <w:t xml:space="preserve">Clemmens, A. J., Holly, F. M., Jr., &amp; Schuurmans, W. (2005). Description and evaluation of program: Canal. Journal of Irrigation and Drainage Engineering, 131(1), 82–91. https://doi.org/10.1061/(ASCE)0733-9437(2005)131:1(82)</w:t>
      </w:r>
    </w:p>
    <w:p>
      <w:pPr>
        <w:spacing w:line="280" w:after="60" w:before="0"/>
        <w:ind w:left="720" w:hanging="720"/>
        <w:jc w:val="both"/>
      </w:pPr>
      <w:r>
        <w:rPr>
          <w:rFonts w:ascii="Times New Roman" w:cs="Times New Roman" w:eastAsia="Times New Roman" w:hAnsi="Times New Roman"/>
          <w:sz w:val="20"/>
          <w:szCs w:val="20"/>
        </w:rPr>
        <w:t xml:space="preserve">Creaco, E., Campisano, A., Fontana, N., Marini, G., Page, P. R., &amp; Walski, T. (2019). Real time control of water distribution networks: A state-of-the-art review. Water Research, 161, 517–530. https://doi.org/10.1016/j.watres.2019.06.025</w:t>
      </w:r>
    </w:p>
    <w:p>
      <w:pPr>
        <w:spacing w:line="280" w:after="60" w:before="0"/>
        <w:ind w:left="720" w:hanging="720"/>
        <w:jc w:val="both"/>
      </w:pPr>
      <w:r>
        <w:rPr>
          <w:rFonts w:ascii="Times New Roman" w:cs="Times New Roman" w:eastAsia="Times New Roman" w:hAnsi="Times New Roman"/>
          <w:sz w:val="20"/>
          <w:szCs w:val="20"/>
        </w:rPr>
        <w:t xml:space="preserve">Cunge, J. A. (1969). On the subject of a flood propagation computation method (Muskingum method). Journal of Hydraulic Research, 7(2), 205–230. https://doi.org/10.1080/00221686909500264</w:t>
      </w:r>
    </w:p>
    <w:p>
      <w:pPr>
        <w:spacing w:line="280" w:after="60" w:before="0"/>
        <w:ind w:left="720" w:hanging="720"/>
        <w:jc w:val="both"/>
      </w:pPr>
      <w:r>
        <w:rPr>
          <w:rFonts w:ascii="Times New Roman" w:cs="Times New Roman" w:eastAsia="Times New Roman" w:hAnsi="Times New Roman"/>
          <w:sz w:val="20"/>
          <w:szCs w:val="20"/>
        </w:rPr>
        <w:t xml:space="preserve">Cunge, J. A., Holly, F. M., Jr., &amp; Verwey, A. (1980). Practical aspects of computational river hydraulics. Pitman.</w:t>
      </w:r>
    </w:p>
    <w:p>
      <w:pPr>
        <w:spacing w:line="280" w:after="60" w:before="0"/>
        <w:ind w:left="720" w:hanging="720"/>
        <w:jc w:val="both"/>
      </w:pPr>
      <w:r>
        <w:rPr>
          <w:rFonts w:ascii="Times New Roman" w:cs="Times New Roman" w:eastAsia="Times New Roman" w:hAnsi="Times New Roman"/>
          <w:sz w:val="20"/>
          <w:szCs w:val="20"/>
        </w:rPr>
        <w:t xml:space="preserve">Dooge, J. C. I. (1973). Linear theory of hydrologic systems (Technical Bulletin No. 1468). U.S. Department of Agriculture.</w:t>
      </w:r>
    </w:p>
    <w:p>
      <w:pPr>
        <w:spacing w:line="280" w:after="60" w:before="0"/>
        <w:ind w:left="720" w:hanging="720"/>
        <w:jc w:val="both"/>
      </w:pPr>
      <w:r>
        <w:rPr>
          <w:rFonts w:ascii="Times New Roman" w:cs="Times New Roman" w:eastAsia="Times New Roman" w:hAnsi="Times New Roman"/>
          <w:sz w:val="20"/>
          <w:szCs w:val="20"/>
        </w:rPr>
        <w:t xml:space="preserve">Ghidaoui, M. S., Zhao, M., McInnis, D. A., &amp; Axworthy, D. H. (2005). A review of water hammer theory and practice. Applied Mechanics Reviews, 58(1), 49–76. https://doi.org/10.1115/1.1828050</w:t>
      </w:r>
    </w:p>
    <w:p>
      <w:pPr>
        <w:spacing w:line="280" w:after="60" w:before="0"/>
        <w:ind w:left="720" w:hanging="720"/>
        <w:jc w:val="both"/>
      </w:pPr>
      <w:r>
        <w:rPr>
          <w:rFonts w:ascii="Times New Roman" w:cs="Times New Roman" w:eastAsia="Times New Roman" w:hAnsi="Times New Roman"/>
          <w:sz w:val="20"/>
          <w:szCs w:val="20"/>
        </w:rPr>
        <w:t xml:space="preserve">Giuliani, M., Castelletti, A., Pianosi, F., Mason, E., &amp; Reed, P. M. (2016). Curses, tradeoffs, and scalable management. Journal of Water Resources Planning and Management, 142(2), 04015050. https://doi.org/10.1061/(ASCE)WR.1943-5452.0000570</w:t>
      </w:r>
    </w:p>
    <w:p>
      <w:pPr>
        <w:spacing w:line="280" w:after="60" w:before="0"/>
        <w:ind w:left="720" w:hanging="720"/>
        <w:jc w:val="both"/>
      </w:pPr>
      <w:r>
        <w:rPr>
          <w:rFonts w:ascii="Times New Roman" w:cs="Times New Roman" w:eastAsia="Times New Roman" w:hAnsi="Times New Roman"/>
          <w:sz w:val="20"/>
          <w:szCs w:val="20"/>
        </w:rPr>
        <w:t xml:space="preserve">Giuliani, M., Lamontagne, J. R., Reed, P. M., &amp; Castelletti, A. (2021). A state-of-the-art review of optimal reservoir control for managing conflicting demands in a changing world. Water Resources Research, 57(12), e2021WR029927. https://doi.org/10.1029/2021WR029927</w:t>
      </w:r>
    </w:p>
    <w:p>
      <w:pPr>
        <w:spacing w:line="280" w:after="60" w:before="0"/>
        <w:ind w:left="720" w:hanging="720"/>
        <w:jc w:val="both"/>
      </w:pPr>
      <w:r>
        <w:rPr>
          <w:rFonts w:ascii="Times New Roman" w:cs="Times New Roman" w:eastAsia="Times New Roman" w:hAnsi="Times New Roman"/>
          <w:sz w:val="20"/>
          <w:szCs w:val="20"/>
        </w:rPr>
        <w:t xml:space="preserve">Hayami, S. (1951). On the propagation of flood waves. Bulletin, Disaster Prevention Research Institute, Kyoto University, 1, 1–16.</w:t>
      </w:r>
    </w:p>
    <w:p>
      <w:pPr>
        <w:spacing w:line="280" w:after="60" w:before="0"/>
        <w:ind w:left="720" w:hanging="720"/>
        <w:jc w:val="both"/>
      </w:pPr>
      <w:r>
        <w:rPr>
          <w:rFonts w:ascii="Times New Roman" w:cs="Times New Roman" w:eastAsia="Times New Roman" w:hAnsi="Times New Roman"/>
          <w:sz w:val="20"/>
          <w:szCs w:val="20"/>
        </w:rPr>
        <w:t xml:space="preserve">Horváth, K., Galvis, E., Mazure, M., Fromion, V., Litrico, X., &amp; Experiment Team. (2024). Automatic model structure and parameterization of canal gates without tuning. Water Resources Research, 60, e2023WR035687. https://doi.org/10.1029/2023WR035687</w:t>
      </w:r>
    </w:p>
    <w:p>
      <w:pPr>
        <w:spacing w:line="280" w:after="60" w:before="0"/>
        <w:ind w:left="720" w:hanging="720"/>
        <w:jc w:val="both"/>
      </w:pPr>
      <w:r>
        <w:rPr>
          <w:rFonts w:ascii="Times New Roman" w:cs="Times New Roman" w:eastAsia="Times New Roman" w:hAnsi="Times New Roman"/>
          <w:sz w:val="20"/>
          <w:szCs w:val="20"/>
        </w:rPr>
        <w:t xml:space="preserve">ISO. (2022). ISO 21448:2022 Road vehicles—Safety of the intended functionality (SOTIF).</w:t>
      </w:r>
    </w:p>
    <w:p>
      <w:pPr>
        <w:spacing w:line="280" w:after="60" w:before="0"/>
        <w:ind w:left="720" w:hanging="720"/>
        <w:jc w:val="both"/>
      </w:pPr>
      <w:r>
        <w:rPr>
          <w:rFonts w:ascii="Times New Roman" w:cs="Times New Roman" w:eastAsia="Times New Roman" w:hAnsi="Times New Roman"/>
          <w:sz w:val="20"/>
          <w:szCs w:val="20"/>
        </w:rPr>
        <w:t xml:space="preserve">Henderson, F. M. (1966). Open channel flow. Macmillan.</w:t>
      </w:r>
    </w:p>
    <w:p>
      <w:pPr>
        <w:spacing w:line="280" w:after="60" w:before="0"/>
        <w:ind w:left="720" w:hanging="720"/>
        <w:jc w:val="both"/>
      </w:pPr>
      <w:r>
        <w:rPr>
          <w:rFonts w:ascii="Times New Roman" w:cs="Times New Roman" w:eastAsia="Times New Roman" w:hAnsi="Times New Roman"/>
          <w:sz w:val="20"/>
          <w:szCs w:val="20"/>
        </w:rPr>
        <w:t xml:space="preserve">IEEE Working Group. (1992). Hydraulic turbine and turbine control models for system dynamic studies. IEEE Transactions on Power Systems, 7(1), 167–179. https://doi.org/10.1109/59.141700</w:t>
      </w:r>
    </w:p>
    <w:p>
      <w:pPr>
        <w:spacing w:line="280" w:after="60" w:before="0"/>
        <w:ind w:left="720" w:hanging="720"/>
        <w:jc w:val="both"/>
      </w:pPr>
      <w:r>
        <w:rPr>
          <w:rFonts w:ascii="Times New Roman" w:cs="Times New Roman" w:eastAsia="Times New Roman" w:hAnsi="Times New Roman"/>
          <w:sz w:val="20"/>
          <w:szCs w:val="20"/>
        </w:rPr>
        <w:t xml:space="preserve">Jamshidi, M. (1983). Large-scale systems: Modeling and control. North-Holland.</w:t>
      </w:r>
    </w:p>
    <w:p>
      <w:pPr>
        <w:spacing w:line="280" w:after="60" w:before="0"/>
        <w:ind w:left="720" w:hanging="720"/>
        <w:jc w:val="both"/>
      </w:pPr>
      <w:r>
        <w:rPr>
          <w:rFonts w:ascii="Times New Roman" w:cs="Times New Roman" w:eastAsia="Times New Roman" w:hAnsi="Times New Roman"/>
          <w:sz w:val="20"/>
          <w:szCs w:val="20"/>
        </w:rPr>
        <w:t xml:space="preserve">Kalman, R. E. (1960). A new approach to linear filtering and prediction problems. Journal of Basic Engineering, 82(1), 35–45. https://doi.org/10.1115/1.3662552</w:t>
      </w:r>
    </w:p>
    <w:p>
      <w:pPr>
        <w:spacing w:line="280" w:after="60" w:before="0"/>
        <w:ind w:left="720" w:hanging="720"/>
        <w:jc w:val="both"/>
      </w:pPr>
      <w:r>
        <w:rPr>
          <w:rFonts w:ascii="Times New Roman" w:cs="Times New Roman" w:eastAsia="Times New Roman" w:hAnsi="Times New Roman"/>
          <w:sz w:val="20"/>
          <w:szCs w:val="20"/>
        </w:rPr>
        <w:t xml:space="preserve">Karniadakis, G. E., Kevrekidis, I. G., Lu, L., Perdikaris, P., Wang, S., &amp; Yang, L. (2021). Physics-informed machine learning. Nature Reviews Physics, 3(6), 422–440. https://doi.org/10.1038/s42254-021-00314-5</w:t>
      </w:r>
    </w:p>
    <w:p>
      <w:pPr>
        <w:spacing w:line="280" w:after="60" w:before="0"/>
        <w:ind w:left="720" w:hanging="720"/>
        <w:jc w:val="both"/>
      </w:pPr>
      <w:r>
        <w:rPr>
          <w:rFonts w:ascii="Times New Roman" w:cs="Times New Roman" w:eastAsia="Times New Roman" w:hAnsi="Times New Roman"/>
          <w:sz w:val="20"/>
          <w:szCs w:val="20"/>
        </w:rPr>
        <w:t xml:space="preserve">Kundur, P. (1994). Power system stability and control. McGraw-Hill.</w:t>
      </w:r>
    </w:p>
    <w:p>
      <w:pPr>
        <w:spacing w:line="280" w:after="60" w:before="0"/>
        <w:ind w:left="720" w:hanging="720"/>
        <w:jc w:val="both"/>
      </w:pPr>
      <w:r>
        <w:rPr>
          <w:rFonts w:ascii="Times New Roman" w:cs="Times New Roman" w:eastAsia="Times New Roman" w:hAnsi="Times New Roman"/>
          <w:sz w:val="20"/>
          <w:szCs w:val="20"/>
        </w:rPr>
        <w:t xml:space="preserve">Labadie, J. W. (2004). Optimal operation of multireservoir systems: State-of-the-art review. Journal of Water Resources Planning and Management, 130(2), 93–111. https://doi.org/10.1061/(ASCE)0733-9496(2004)130:2(93)</w:t>
      </w:r>
    </w:p>
    <w:p>
      <w:pPr>
        <w:spacing w:line="280" w:after="60" w:before="0"/>
        <w:ind w:left="720" w:hanging="720"/>
        <w:jc w:val="both"/>
      </w:pPr>
      <w:r>
        <w:rPr>
          <w:rFonts w:ascii="Times New Roman" w:cs="Times New Roman" w:eastAsia="Times New Roman" w:hAnsi="Times New Roman"/>
          <w:sz w:val="20"/>
          <w:szCs w:val="20"/>
        </w:rPr>
        <w:t xml:space="preserve">Lei, X., Long, Y., Xu, H., et al. (2025a). Cybernetics of hydro systems: Background, technical framework and research paradigm [水系统控制论：提出背景、技术框架与研究范式]. South-to-North Water Transfers and Water Science &amp; Technology, 23(4), 761–769. https://doi.org/10.13476/j.cnki.nsbdqk.2025.0077</w:t>
      </w:r>
    </w:p>
    <w:p>
      <w:pPr>
        <w:spacing w:line="280" w:after="60" w:before="0"/>
        <w:ind w:left="720" w:hanging="720"/>
        <w:jc w:val="both"/>
      </w:pPr>
      <w:r>
        <w:rPr>
          <w:rFonts w:ascii="Times New Roman" w:cs="Times New Roman" w:eastAsia="Times New Roman" w:hAnsi="Times New Roman"/>
          <w:sz w:val="20"/>
          <w:szCs w:val="20"/>
        </w:rPr>
        <w:t xml:space="preserve">Lei, X., Su, C., Long, Y., et al. (2025b). Architecture and key technologies of next-generation autonomous intelligent water networks [基于无人驾驶理念的下一代自主运行智慧水网架构与关键技术]. South-to-North Water Transfers and Water Science &amp; Technology, 23(4), 778–786. https://doi.org/10.13476/j.cnki.nsbdqk.2025.0079</w:t>
      </w:r>
    </w:p>
    <w:p>
      <w:pPr>
        <w:spacing w:line="280" w:after="60" w:before="0"/>
        <w:ind w:left="720" w:hanging="720"/>
        <w:jc w:val="both"/>
      </w:pPr>
      <w:r>
        <w:rPr>
          <w:rFonts w:ascii="Times New Roman" w:cs="Times New Roman" w:eastAsia="Times New Roman" w:hAnsi="Times New Roman"/>
          <w:sz w:val="20"/>
          <w:szCs w:val="20"/>
        </w:rPr>
        <w:t xml:space="preserve">Lei, X., Zhang, Z., Su, C., et al. (2025c). In-the-loop testing system for autonomous intelligent water networks [自主运行智能水网的在环测试体系]. South-to-North Water Transfers and Water Science &amp; Technology, 23(4), 787–793. https://doi.org/10.13476/j.cnki.nsbdqk.2025.0080</w:t>
      </w:r>
    </w:p>
    <w:p>
      <w:pPr>
        <w:spacing w:line="280" w:after="60" w:before="0"/>
        <w:ind w:left="720" w:hanging="720"/>
        <w:jc w:val="both"/>
      </w:pPr>
      <w:r>
        <w:rPr>
          <w:rFonts w:ascii="Times New Roman" w:cs="Times New Roman" w:eastAsia="Times New Roman" w:hAnsi="Times New Roman"/>
          <w:sz w:val="20"/>
          <w:szCs w:val="20"/>
        </w:rPr>
        <w:t xml:space="preserve">Lei, X., Xu, H., He, Z., et al. (2025d). Disciplinary perspectives on water resources systems analysis: From static water balance to dynamic control [水资源系统分析学科展望：从静态平衡到动态控制]. South-to-North Water Transfers and Water Science &amp; Technology, 23(4), 770–777. https://doi.org/10.13476/j.cnki.nsbdqk.2025.0078</w:t>
      </w:r>
    </w:p>
    <w:p>
      <w:pPr>
        <w:spacing w:line="280" w:after="60" w:before="0"/>
        <w:ind w:left="720" w:hanging="720"/>
        <w:jc w:val="both"/>
      </w:pPr>
      <w:r>
        <w:rPr>
          <w:rFonts w:ascii="Times New Roman" w:cs="Times New Roman" w:eastAsia="Times New Roman" w:hAnsi="Times New Roman"/>
          <w:sz w:val="20"/>
          <w:szCs w:val="20"/>
        </w:rPr>
        <w:t xml:space="preserve">Litrico, X., &amp; Fromion, V. (2004). Simplified modeling of irrigation canals for controller design. Journal of Irrigation and Drainage Engineering, 130(5), 373–383. https://doi.org/10.1061/(ASCE)0733-9437(2004)130:5(373)</w:t>
      </w:r>
    </w:p>
    <w:p>
      <w:pPr>
        <w:spacing w:line="280" w:after="60" w:before="0"/>
        <w:ind w:left="720" w:hanging="720"/>
        <w:jc w:val="both"/>
      </w:pPr>
      <w:r>
        <w:rPr>
          <w:rFonts w:ascii="Times New Roman" w:cs="Times New Roman" w:eastAsia="Times New Roman" w:hAnsi="Times New Roman"/>
          <w:sz w:val="20"/>
          <w:szCs w:val="20"/>
        </w:rPr>
        <w:t xml:space="preserve">Litrico, X., &amp; Fromion, V. (2009). Modeling and control of hydrosystems. Springer. https://doi.org/10.1007/978-1-84882-624-3</w:t>
      </w:r>
    </w:p>
    <w:p>
      <w:pPr>
        <w:spacing w:line="280" w:after="60" w:before="0"/>
        <w:ind w:left="720" w:hanging="720"/>
        <w:jc w:val="both"/>
      </w:pPr>
      <w:r>
        <w:rPr>
          <w:rFonts w:ascii="Times New Roman" w:cs="Times New Roman" w:eastAsia="Times New Roman" w:hAnsi="Times New Roman"/>
          <w:sz w:val="20"/>
          <w:szCs w:val="20"/>
        </w:rPr>
        <w:t xml:space="preserve">Loucks, D. P., Stedinger, J. R., &amp; Haith, D. A. (1981). Water resource systems planning and analysis. Prentice-Hall.</w:t>
      </w:r>
    </w:p>
    <w:p>
      <w:pPr>
        <w:spacing w:line="280" w:after="60" w:before="0"/>
        <w:ind w:left="720" w:hanging="720"/>
        <w:jc w:val="both"/>
      </w:pPr>
      <w:r>
        <w:rPr>
          <w:rFonts w:ascii="Times New Roman" w:cs="Times New Roman" w:eastAsia="Times New Roman" w:hAnsi="Times New Roman"/>
          <w:sz w:val="20"/>
          <w:szCs w:val="20"/>
        </w:rPr>
        <w:t xml:space="preserve">Loucks, D. P., &amp; van Beek, E. (2017). Water resource systems planning and management: An introduction to methods, models, and applications. Springer. https://doi.org/10.1007/978-3-319-44234-1</w:t>
      </w:r>
    </w:p>
    <w:p>
      <w:pPr>
        <w:spacing w:line="280" w:after="60" w:before="0"/>
        <w:ind w:left="720" w:hanging="720"/>
        <w:jc w:val="both"/>
      </w:pPr>
      <w:r>
        <w:rPr>
          <w:rFonts w:ascii="Times New Roman" w:cs="Times New Roman" w:eastAsia="Times New Roman" w:hAnsi="Times New Roman"/>
          <w:sz w:val="20"/>
          <w:szCs w:val="20"/>
        </w:rPr>
        <w:t xml:space="preserve">Maass, A., Hufschmidt, M. M., Dorfman, R., Thomas, H. A., Jr., Marglin, S. A., &amp; Fair, G. M. (1962). Design of water-resource systems. Harvard University Press.</w:t>
      </w:r>
    </w:p>
    <w:p>
      <w:pPr>
        <w:spacing w:line="280" w:after="60" w:before="0"/>
        <w:ind w:left="720" w:hanging="720"/>
        <w:jc w:val="both"/>
      </w:pPr>
      <w:r>
        <w:rPr>
          <w:rFonts w:ascii="Times New Roman" w:cs="Times New Roman" w:eastAsia="Times New Roman" w:hAnsi="Times New Roman"/>
          <w:sz w:val="20"/>
          <w:szCs w:val="20"/>
        </w:rPr>
        <w:t xml:space="preserve">Maestre, J. M., &amp; Negenborn, R. R. (Eds.). (2014). Distributed model predictive control made easy. Springer. https://doi.org/10.1007/978-94-007-7006-5</w:t>
      </w:r>
    </w:p>
    <w:p>
      <w:pPr>
        <w:spacing w:line="280" w:after="60" w:before="0"/>
        <w:ind w:left="720" w:hanging="720"/>
        <w:jc w:val="both"/>
      </w:pPr>
      <w:r>
        <w:rPr>
          <w:rFonts w:ascii="Times New Roman" w:cs="Times New Roman" w:eastAsia="Times New Roman" w:hAnsi="Times New Roman"/>
          <w:sz w:val="20"/>
          <w:szCs w:val="20"/>
        </w:rPr>
        <w:t xml:space="preserve">Malaterre, P.-O., Rogers, D. C., &amp; Schuurmans, J. (1998). Classification of canal control algorithms. Journal of Irrigation and Drainage Engineering, 124(1), 3–10. https://doi.org/10.1061/(ASCE)0733-9437(1998)124:1(3)</w:t>
      </w:r>
    </w:p>
    <w:p>
      <w:pPr>
        <w:spacing w:line="280" w:after="60" w:before="0"/>
        <w:ind w:left="720" w:hanging="720"/>
        <w:jc w:val="both"/>
      </w:pPr>
      <w:r>
        <w:rPr>
          <w:rFonts w:ascii="Times New Roman" w:cs="Times New Roman" w:eastAsia="Times New Roman" w:hAnsi="Times New Roman"/>
          <w:sz w:val="20"/>
          <w:szCs w:val="20"/>
        </w:rPr>
        <w:t xml:space="preserve">Mareels, I. M. Y., Weyer, E., Ooi, S. K., Cantoni, M., Li, Y., &amp; Nair, G. (2005). Systems engineering for irrigation systems. Annual Reviews in Control, 29(2), 191–204. https://doi.org/10.1016/j.arcontrol.2005.08.001</w:t>
      </w:r>
    </w:p>
    <w:p>
      <w:pPr>
        <w:spacing w:line="280" w:after="60" w:before="0"/>
        <w:ind w:left="720" w:hanging="720"/>
        <w:jc w:val="both"/>
      </w:pPr>
      <w:r>
        <w:rPr>
          <w:rFonts w:ascii="Times New Roman" w:cs="Times New Roman" w:eastAsia="Times New Roman" w:hAnsi="Times New Roman"/>
          <w:sz w:val="20"/>
          <w:szCs w:val="20"/>
        </w:rPr>
        <w:t xml:space="preserve">Maxwell, J. C. (1868). On governors. Proceedings of the Royal Society of London, 16, 270–283. https://doi.org/10.1098/rspl.1867.0055</w:t>
      </w:r>
    </w:p>
    <w:p>
      <w:pPr>
        <w:spacing w:line="280" w:after="60" w:before="0"/>
        <w:ind w:left="720" w:hanging="720"/>
        <w:jc w:val="both"/>
      </w:pPr>
      <w:r>
        <w:rPr>
          <w:rFonts w:ascii="Times New Roman" w:cs="Times New Roman" w:eastAsia="Times New Roman" w:hAnsi="Times New Roman"/>
          <w:sz w:val="20"/>
          <w:szCs w:val="20"/>
        </w:rPr>
        <w:t xml:space="preserve">Nash, J. E. (1957). The form of the instantaneous unit hydrograph. International Association of Scientific Hydrology, 45(3), 114–121.</w:t>
      </w:r>
    </w:p>
    <w:p>
      <w:pPr>
        <w:spacing w:line="280" w:after="60" w:before="0"/>
        <w:ind w:left="720" w:hanging="720"/>
        <w:jc w:val="both"/>
      </w:pPr>
      <w:r>
        <w:rPr>
          <w:rFonts w:ascii="Times New Roman" w:cs="Times New Roman" w:eastAsia="Times New Roman" w:hAnsi="Times New Roman"/>
          <w:sz w:val="20"/>
          <w:szCs w:val="20"/>
        </w:rPr>
        <w:t xml:space="preserve">Nearing, G. S., et al. (2021). What role does hydrological science play in the age of machine learning? Water Resources Research, 57(3), e2020WR028091. https://doi.org/10.1029/2020WR028091</w:t>
      </w:r>
    </w:p>
    <w:p>
      <w:pPr>
        <w:spacing w:line="280" w:after="60" w:before="0"/>
        <w:ind w:left="720" w:hanging="720"/>
        <w:jc w:val="both"/>
      </w:pPr>
      <w:r>
        <w:rPr>
          <w:rFonts w:ascii="Times New Roman" w:cs="Times New Roman" w:eastAsia="Times New Roman" w:hAnsi="Times New Roman"/>
          <w:sz w:val="20"/>
          <w:szCs w:val="20"/>
        </w:rPr>
        <w:t xml:space="preserve">Nedić, A., &amp; Ozdaglar, A. (2009). Distributed subgradient methods for multi-agent optimization. IEEE Transactions on Automatic Control, 54(1), 48–61. https://doi.org/10.1109/TAC.2008.2009515</w:t>
      </w:r>
    </w:p>
    <w:p>
      <w:pPr>
        <w:spacing w:line="280" w:after="60" w:before="0"/>
        <w:ind w:left="720" w:hanging="720"/>
        <w:jc w:val="both"/>
      </w:pPr>
      <w:r>
        <w:rPr>
          <w:rFonts w:ascii="Times New Roman" w:cs="Times New Roman" w:eastAsia="Times New Roman" w:hAnsi="Times New Roman"/>
          <w:sz w:val="20"/>
          <w:szCs w:val="20"/>
        </w:rPr>
        <w:t xml:space="preserve">Negenborn, R. R., van Overloop, P. J., Keviczky, T., &amp; De Schutter, B. (2009). Distributed model predictive control of irrigation canals. Networks and Heterogeneous Media, 4(2), 359–380. https://doi.org/10.3934/nhm.2009.4.359</w:t>
      </w:r>
    </w:p>
    <w:p>
      <w:pPr>
        <w:spacing w:line="280" w:after="60" w:before="0"/>
        <w:ind w:left="720" w:hanging="720"/>
        <w:jc w:val="both"/>
      </w:pPr>
      <w:r>
        <w:rPr>
          <w:rFonts w:ascii="Times New Roman" w:cs="Times New Roman" w:eastAsia="Times New Roman" w:hAnsi="Times New Roman"/>
          <w:sz w:val="20"/>
          <w:szCs w:val="20"/>
        </w:rPr>
        <w:t xml:space="preserve">Nyquist, H. (1932). Regeneration theory. Bell System Technical Journal, 11(1), 126–147. https://doi.org/10.1002/j.1538-7305.1932.tb02344.x</w:t>
      </w:r>
    </w:p>
    <w:p>
      <w:pPr>
        <w:spacing w:line="280" w:after="60" w:before="0"/>
        <w:ind w:left="720" w:hanging="720"/>
        <w:jc w:val="both"/>
      </w:pPr>
      <w:r>
        <w:rPr>
          <w:rFonts w:ascii="Times New Roman" w:cs="Times New Roman" w:eastAsia="Times New Roman" w:hAnsi="Times New Roman"/>
          <w:sz w:val="20"/>
          <w:szCs w:val="20"/>
        </w:rPr>
        <w:t xml:space="preserve">Poff, N. L., et al. (1997). The natural flow regime. BioScience, 47(11), 769–784. https://doi.org/10.2307/1313099</w:t>
      </w:r>
    </w:p>
    <w:p>
      <w:pPr>
        <w:spacing w:line="280" w:after="60" w:before="0"/>
        <w:ind w:left="720" w:hanging="720"/>
        <w:jc w:val="both"/>
      </w:pPr>
      <w:r>
        <w:rPr>
          <w:rFonts w:ascii="Times New Roman" w:cs="Times New Roman" w:eastAsia="Times New Roman" w:hAnsi="Times New Roman"/>
          <w:sz w:val="20"/>
          <w:szCs w:val="20"/>
        </w:rPr>
        <w:t xml:space="preserve">Preissmann, A. (1961). Propagation des intumescences dans les canaux et rivières. In Proc. 1st Congress AFCAL, Grenoble, 433–442.</w:t>
      </w:r>
    </w:p>
    <w:p>
      <w:pPr>
        <w:spacing w:line="280" w:after="60" w:before="0"/>
        <w:ind w:left="720" w:hanging="720"/>
        <w:jc w:val="both"/>
      </w:pPr>
      <w:r>
        <w:rPr>
          <w:rFonts w:ascii="Times New Roman" w:cs="Times New Roman" w:eastAsia="Times New Roman" w:hAnsi="Times New Roman"/>
          <w:sz w:val="20"/>
          <w:szCs w:val="20"/>
        </w:rPr>
        <w:t xml:space="preserve">Rawlings, J. B., Mayne, D. Q., &amp; Diehl, M. (2017). Model predictive control: Theory, computation, and design (2nd ed.). Nob Hill Publishing.</w:t>
      </w:r>
    </w:p>
    <w:p>
      <w:pPr>
        <w:spacing w:line="280" w:after="60" w:before="0"/>
        <w:ind w:left="720" w:hanging="720"/>
        <w:jc w:val="both"/>
      </w:pPr>
      <w:r>
        <w:rPr>
          <w:rFonts w:ascii="Times New Roman" w:cs="Times New Roman" w:eastAsia="Times New Roman" w:hAnsi="Times New Roman"/>
          <w:sz w:val="20"/>
          <w:szCs w:val="20"/>
        </w:rPr>
        <w:t xml:space="preserve">RTCA. (2011). DO-178C: Software considerations in airborne systems and equipment certification.</w:t>
      </w:r>
    </w:p>
    <w:p>
      <w:pPr>
        <w:spacing w:line="280" w:after="60" w:before="0"/>
        <w:ind w:left="720" w:hanging="720"/>
        <w:jc w:val="both"/>
      </w:pPr>
      <w:r>
        <w:rPr>
          <w:rFonts w:ascii="Times New Roman" w:cs="Times New Roman" w:eastAsia="Times New Roman" w:hAnsi="Times New Roman"/>
          <w:sz w:val="20"/>
          <w:szCs w:val="20"/>
        </w:rPr>
        <w:t xml:space="preserve">SAE International. (2021). J3016: Taxonomy and definitions for terms related to driving automation systems.</w:t>
      </w:r>
    </w:p>
    <w:p>
      <w:pPr>
        <w:spacing w:line="280" w:after="60" w:before="0"/>
        <w:ind w:left="720" w:hanging="720"/>
        <w:jc w:val="both"/>
      </w:pPr>
      <w:r>
        <w:rPr>
          <w:rFonts w:ascii="Times New Roman" w:cs="Times New Roman" w:eastAsia="Times New Roman" w:hAnsi="Times New Roman"/>
          <w:sz w:val="20"/>
          <w:szCs w:val="20"/>
        </w:rPr>
        <w:t xml:space="preserve">Saint-Venant, A. J. C. B. de. (1871). Théorie du mouvement non-permanent des eaux. Comptes Rendus de l’Académie des Sciences, 73, 147–154, 237–240.</w:t>
      </w:r>
    </w:p>
    <w:p>
      <w:pPr>
        <w:spacing w:line="280" w:after="60" w:before="0"/>
        <w:ind w:left="720" w:hanging="720"/>
        <w:jc w:val="both"/>
      </w:pPr>
      <w:r>
        <w:rPr>
          <w:rFonts w:ascii="Times New Roman" w:cs="Times New Roman" w:eastAsia="Times New Roman" w:hAnsi="Times New Roman"/>
          <w:sz w:val="20"/>
          <w:szCs w:val="20"/>
        </w:rPr>
        <w:t xml:space="preserve">Savic, D. (2022). Digital water developments and lessons learned from automation in the car and aircraft industries. Engineering, 9(2), 35–41. https://doi.org/10.1016/j.eng.2021.05.013</w:t>
      </w:r>
    </w:p>
    <w:p>
      <w:pPr>
        <w:spacing w:line="280" w:after="60" w:before="0"/>
        <w:ind w:left="720" w:hanging="720"/>
        <w:jc w:val="both"/>
      </w:pPr>
      <w:r>
        <w:rPr>
          <w:rFonts w:ascii="Times New Roman" w:cs="Times New Roman" w:eastAsia="Times New Roman" w:hAnsi="Times New Roman"/>
          <w:sz w:val="20"/>
          <w:szCs w:val="20"/>
        </w:rPr>
        <w:t xml:space="preserve">Schuurmans, J. (1997). Control of water levels in open channels (Doctoral dissertation). Delft University of Technology.</w:t>
      </w:r>
    </w:p>
    <w:p>
      <w:pPr>
        <w:spacing w:line="280" w:after="60" w:before="0"/>
        <w:ind w:left="720" w:hanging="720"/>
        <w:jc w:val="both"/>
      </w:pPr>
      <w:r>
        <w:rPr>
          <w:rFonts w:ascii="Times New Roman" w:cs="Times New Roman" w:eastAsia="Times New Roman" w:hAnsi="Times New Roman"/>
          <w:sz w:val="20"/>
          <w:szCs w:val="20"/>
        </w:rPr>
        <w:t xml:space="preserve">Schuurmans, J., Bosgra, O. H., &amp; Brouwer, R. (1995). Open-channel flow model approximation for controller design. Applied Mathematical Modelling, 19(9), 525–530. https://doi.org/10.1016/0307-904X(95)00053-M</w:t>
      </w:r>
    </w:p>
    <w:p>
      <w:pPr>
        <w:spacing w:line="280" w:after="60" w:before="0"/>
        <w:ind w:left="720" w:hanging="720"/>
        <w:jc w:val="both"/>
      </w:pPr>
      <w:r>
        <w:rPr>
          <w:rFonts w:ascii="Times New Roman" w:cs="Times New Roman" w:eastAsia="Times New Roman" w:hAnsi="Times New Roman"/>
          <w:sz w:val="20"/>
          <w:szCs w:val="20"/>
        </w:rPr>
        <w:t xml:space="preserve">Seborg, D. E., Edgar, T. F., Mellichamp, D. A., &amp; Doyle, F. J. (2011). Process dynamics and control (3rd ed.). Wiley.</w:t>
      </w:r>
    </w:p>
    <w:p>
      <w:pPr>
        <w:spacing w:line="280" w:after="60" w:before="0"/>
        <w:ind w:left="720" w:hanging="720"/>
        <w:jc w:val="both"/>
      </w:pPr>
      <w:r>
        <w:rPr>
          <w:rFonts w:ascii="Times New Roman" w:cs="Times New Roman" w:eastAsia="Times New Roman" w:hAnsi="Times New Roman"/>
          <w:sz w:val="20"/>
          <w:szCs w:val="20"/>
        </w:rPr>
        <w:t xml:space="preserve">Shen, C., et al. (2023). Differentiable modelling to unify machine learning and physical models for geosciences. Nature Reviews Earth &amp; Environment, 4(8), 552–567. https://doi.org/10.1038/s43017-023-00450-9</w:t>
      </w:r>
    </w:p>
    <w:p>
      <w:pPr>
        <w:spacing w:line="280" w:after="60" w:before="0"/>
        <w:ind w:left="720" w:hanging="720"/>
        <w:jc w:val="both"/>
      </w:pPr>
      <w:r>
        <w:rPr>
          <w:rFonts w:ascii="Times New Roman" w:cs="Times New Roman" w:eastAsia="Times New Roman" w:hAnsi="Times New Roman"/>
          <w:sz w:val="20"/>
          <w:szCs w:val="20"/>
        </w:rPr>
        <w:t xml:space="preserve">Siljak, D. D. (1991). Decentralized control of complex systems. Academic Press.</w:t>
      </w:r>
    </w:p>
    <w:p>
      <w:pPr>
        <w:spacing w:line="280" w:after="60" w:before="0"/>
        <w:ind w:left="720" w:hanging="720"/>
        <w:jc w:val="both"/>
      </w:pPr>
      <w:r>
        <w:rPr>
          <w:rFonts w:ascii="Times New Roman" w:cs="Times New Roman" w:eastAsia="Times New Roman" w:hAnsi="Times New Roman"/>
          <w:sz w:val="20"/>
          <w:szCs w:val="20"/>
        </w:rPr>
        <w:t xml:space="preserve">Stedinger, J. R., Sule, B. F., &amp; Loucks, D. P. (1984). Stochastic dynamic programming models for reservoir operation optimization. Water Resources Research, 20(11), 1499–1505. https://doi.org/10.1029/WR020i011p01499</w:t>
      </w:r>
    </w:p>
    <w:p>
      <w:pPr>
        <w:spacing w:line="280" w:after="60" w:before="0"/>
        <w:ind w:left="720" w:hanging="720"/>
        <w:jc w:val="both"/>
      </w:pPr>
      <w:r>
        <w:rPr>
          <w:rFonts w:ascii="Times New Roman" w:cs="Times New Roman" w:eastAsia="Times New Roman" w:hAnsi="Times New Roman"/>
          <w:sz w:val="20"/>
          <w:szCs w:val="20"/>
        </w:rPr>
        <w:t xml:space="preserve">Streeter, V. L., &amp; Wylie, E. B. (1967). Hydraulic transients. McGraw-Hill.</w:t>
      </w:r>
    </w:p>
    <w:p>
      <w:pPr>
        <w:spacing w:line="280" w:after="60" w:before="0"/>
        <w:ind w:left="720" w:hanging="720"/>
        <w:jc w:val="both"/>
      </w:pPr>
      <w:r>
        <w:rPr>
          <w:rFonts w:ascii="Times New Roman" w:cs="Times New Roman" w:eastAsia="Times New Roman" w:hAnsi="Times New Roman"/>
          <w:sz w:val="20"/>
          <w:szCs w:val="20"/>
        </w:rPr>
        <w:t xml:space="preserve">Todini, E., &amp; Pilati, S. (1988). A gradient algorithm for the analysis of pipe networks. In B. Coulbeck &amp; C.-H. Orr (Eds.), Computer applications in water supply (Vol. 1, pp. 1–20). Research Studies Press.</w:t>
      </w:r>
    </w:p>
    <w:p>
      <w:pPr>
        <w:spacing w:line="280" w:after="60" w:before="0"/>
        <w:ind w:left="720" w:hanging="720"/>
        <w:jc w:val="both"/>
      </w:pPr>
      <w:r>
        <w:rPr>
          <w:rFonts w:ascii="Times New Roman" w:cs="Times New Roman" w:eastAsia="Times New Roman" w:hAnsi="Times New Roman"/>
          <w:sz w:val="20"/>
          <w:szCs w:val="20"/>
        </w:rPr>
        <w:t xml:space="preserve">UNESCO. (2024). The United Nations World Water Development Report 2024. UNESCO.</w:t>
      </w:r>
    </w:p>
    <w:p>
      <w:pPr>
        <w:spacing w:line="280" w:after="60" w:before="0"/>
        <w:ind w:left="720" w:hanging="720"/>
        <w:jc w:val="both"/>
      </w:pPr>
      <w:r>
        <w:rPr>
          <w:rFonts w:ascii="Times New Roman" w:cs="Times New Roman" w:eastAsia="Times New Roman" w:hAnsi="Times New Roman"/>
          <w:sz w:val="20"/>
          <w:szCs w:val="20"/>
        </w:rPr>
        <w:t xml:space="preserve">van Overloop, P. J. (2006). Model predictive control on open water systems (Doctoral dissertation). Delft University of Technology.</w:t>
      </w:r>
    </w:p>
    <w:p>
      <w:pPr>
        <w:spacing w:line="280" w:after="60" w:before="0"/>
        <w:ind w:left="720" w:hanging="720"/>
        <w:jc w:val="both"/>
      </w:pPr>
      <w:r>
        <w:rPr>
          <w:rFonts w:ascii="Times New Roman" w:cs="Times New Roman" w:eastAsia="Times New Roman" w:hAnsi="Times New Roman"/>
          <w:sz w:val="20"/>
          <w:szCs w:val="20"/>
        </w:rPr>
        <w:t xml:space="preserve">Wang, F.-Y. (2010). The emergence of intelligent enterprises: From CPS to CPSS. IEEE Intelligent Systems, 25(4), 85–88. https://doi.org/10.1109/MIS.2010.104</w:t>
      </w:r>
    </w:p>
    <w:p>
      <w:pPr>
        <w:spacing w:line="280" w:after="60" w:before="0"/>
        <w:ind w:left="720" w:hanging="720"/>
        <w:jc w:val="both"/>
      </w:pPr>
      <w:r>
        <w:rPr>
          <w:rFonts w:ascii="Times New Roman" w:cs="Times New Roman" w:eastAsia="Times New Roman" w:hAnsi="Times New Roman"/>
          <w:sz w:val="20"/>
          <w:szCs w:val="20"/>
        </w:rPr>
        <w:t xml:space="preserve">Wiener, N. (1948). Cybernetics: Or control and communication in the animal and the machine. Hermann &amp; Cie / John Wiley &amp; Sons.</w:t>
      </w:r>
    </w:p>
    <w:p>
      <w:pPr>
        <w:spacing w:line="280" w:after="60" w:before="0"/>
        <w:ind w:left="720" w:hanging="720"/>
        <w:jc w:val="both"/>
      </w:pPr>
      <w:r>
        <w:rPr>
          <w:rFonts w:ascii="Times New Roman" w:cs="Times New Roman" w:eastAsia="Times New Roman" w:hAnsi="Times New Roman"/>
          <w:sz w:val="20"/>
          <w:szCs w:val="20"/>
        </w:rPr>
        <w:t xml:space="preserve">Wooldridge, M. (2009). An introduction to multiagent systems (2nd ed.). Wiley.</w:t>
      </w:r>
    </w:p>
    <w:p>
      <w:pPr>
        <w:spacing w:line="280" w:after="60" w:before="0"/>
        <w:ind w:left="720" w:hanging="720"/>
        <w:jc w:val="both"/>
      </w:pPr>
      <w:r>
        <w:rPr>
          <w:rFonts w:ascii="Times New Roman" w:cs="Times New Roman" w:eastAsia="Times New Roman" w:hAnsi="Times New Roman"/>
          <w:sz w:val="20"/>
          <w:szCs w:val="20"/>
        </w:rPr>
        <w:t xml:space="preserve">Wylie, E. B., &amp; Streeter, V. L. (1993). Fluid transients in systems. Prentice Hall.</w:t>
      </w:r>
    </w:p>
    <w:p>
      <w:pPr>
        <w:spacing w:line="280" w:after="60" w:before="0"/>
        <w:ind w:left="720" w:hanging="720"/>
        <w:jc w:val="both"/>
      </w:pPr>
      <w:r>
        <w:rPr>
          <w:rFonts w:ascii="Times New Roman" w:cs="Times New Roman" w:eastAsia="Times New Roman" w:hAnsi="Times New Roman"/>
          <w:sz w:val="20"/>
          <w:szCs w:val="20"/>
        </w:rPr>
        <w:t xml:space="preserve">Ye, L., Wei, J., Lei, X., et al. (2023). Model predictive control for real-time optimal operation of cascade hydropower stations. Journal of Water Resources Planning and Management, 149(6), 04023020. https://doi.org/10.1061/JWRMD5.WRENG-5869</w:t>
      </w:r>
    </w:p>
    <w:p>
      <w:pPr>
        <w:spacing w:line="280" w:after="60" w:before="0"/>
        <w:ind w:left="720" w:hanging="720"/>
        <w:jc w:val="both"/>
      </w:pPr>
      <w:r>
        <w:rPr>
          <w:rFonts w:ascii="Times New Roman" w:cs="Times New Roman" w:eastAsia="Times New Roman" w:hAnsi="Times New Roman"/>
          <w:sz w:val="20"/>
          <w:szCs w:val="20"/>
        </w:rPr>
        <w:t xml:space="preserve">Yeh, W. W.-G. (1985). Reservoir management and operations models: A state-of-the-art review. Water Resources Research, 21(12), 1797–1818. https://doi.org/10.1029/WR021i012p01797</w:t>
      </w:r>
    </w:p>
    <w:p>
      <w:pPr>
        <w:spacing w:line="280" w:after="60" w:before="0"/>
        <w:ind w:left="720" w:hanging="720"/>
        <w:jc w:val="both"/>
      </w:pPr>
      <w:r>
        <w:rPr>
          <w:rFonts w:ascii="Times New Roman" w:cs="Times New Roman" w:eastAsia="Times New Roman" w:hAnsi="Times New Roman"/>
          <w:sz w:val="20"/>
          <w:szCs w:val="20"/>
        </w:rPr>
        <w:t xml:space="preserve">Yurtsever, E., Lambert, J., Carballo, A., &amp; Takeda, K. (2020). A survey of autonomous driving: Common practices and emerging technologies. IEEE Access, 8, 58443–58469. https://doi.org/10.1109/ACCESS.2020.2983149</w:t>
      </w:r>
    </w:p>
    <w:p>
      <w:pPr>
        <w:spacing w:line="280" w:after="60" w:before="0"/>
        <w:ind w:left="720" w:hanging="720"/>
        <w:jc w:val="both"/>
      </w:pPr>
      <w:r>
        <w:rPr>
          <w:rFonts w:ascii="Times New Roman" w:cs="Times New Roman" w:eastAsia="Times New Roman" w:hAnsi="Times New Roman"/>
          <w:sz w:val="20"/>
          <w:szCs w:val="20"/>
        </w:rPr>
        <w:t xml:space="preserve">Zhou, K., Doyle, J. C., &amp; Glover, K. (1996). Robust and optimal control. Prentice Hall.</w:t>
      </w:r>
    </w:p>
    <w:p>
      <w:pPr>
        <w:spacing w:line="280" w:after="60" w:before="0"/>
        <w:ind w:left="720" w:hanging="720"/>
        <w:jc w:val="both"/>
      </w:pPr>
      <w:r>
        <w:rPr>
          <w:rFonts w:ascii="Times New Roman" w:cs="Times New Roman" w:eastAsia="Times New Roman" w:hAnsi="Times New Roman"/>
          <w:sz w:val="20"/>
          <w:szCs w:val="20"/>
        </w:rPr>
        <w:t xml:space="preserve">Brown, T. B., Mann, B., Ryder, N., Subbiah, M., Kaplan, J., Dhariwal, P., et al. (2020). Language models are few-shot learners. Advances in Neural Information Processing Systems, 33, 1877–1901.</w:t>
      </w:r>
    </w:p>
    <w:p>
      <w:pPr>
        <w:spacing w:line="280" w:after="60" w:before="0"/>
        <w:ind w:left="720" w:hanging="720"/>
        <w:jc w:val="both"/>
      </w:pPr>
      <w:r>
        <w:rPr>
          <w:rFonts w:ascii="Times New Roman" w:cs="Times New Roman" w:eastAsia="Times New Roman" w:hAnsi="Times New Roman"/>
          <w:sz w:val="20"/>
          <w:szCs w:val="20"/>
        </w:rPr>
        <w:t xml:space="preserve">IEC. (2005). IEC 61970: Energy management system application program interface (EMS-API). International Electrotechnical Commission.</w:t>
      </w:r>
    </w:p>
    <w:p>
      <w:pPr>
        <w:spacing w:line="280" w:after="60" w:before="0"/>
        <w:ind w:left="720" w:hanging="720"/>
        <w:jc w:val="both"/>
      </w:pPr>
      <w:r>
        <w:rPr>
          <w:rFonts w:ascii="Times New Roman" w:cs="Times New Roman" w:eastAsia="Times New Roman" w:hAnsi="Times New Roman"/>
          <w:sz w:val="20"/>
          <w:szCs w:val="20"/>
        </w:rPr>
        <w:t xml:space="preserve">ISO. (2018). ISO 26262: Road vehicles—Functional safety. International Organization for Standardization.</w:t>
      </w:r>
    </w:p>
    <w:p>
      <w:pPr>
        <w:spacing w:line="280" w:after="60" w:before="0"/>
        <w:ind w:left="720" w:hanging="720"/>
        <w:jc w:val="both"/>
      </w:pPr>
      <w:r>
        <w:rPr>
          <w:rFonts w:ascii="Times New Roman" w:cs="Times New Roman" w:eastAsia="Times New Roman" w:hAnsi="Times New Roman"/>
          <w:sz w:val="20"/>
          <w:szCs w:val="20"/>
        </w:rPr>
        <w:t xml:space="preserve">Lewis, P., Perez, E., Piktus, A., Petroni, F., Karpukhin, V., Goyal, N., et al. (2020). Retrieval-augmented generation for knowledge-intensive NLP tasks. Advances in Neural Information Processing Systems, 33, 9459–9474.</w:t>
      </w:r>
    </w:p>
    <w:p>
      <w:pPr>
        <w:spacing w:line="280" w:after="60" w:before="0"/>
        <w:ind w:left="720" w:hanging="720"/>
        <w:jc w:val="both"/>
      </w:pPr>
      <w:r>
        <w:rPr>
          <w:rFonts w:ascii="Times New Roman" w:cs="Times New Roman" w:eastAsia="Times New Roman" w:hAnsi="Times New Roman"/>
          <w:sz w:val="20"/>
          <w:szCs w:val="20"/>
        </w:rPr>
        <w:t xml:space="preserve">Rasheed, A., San, O., &amp; Kvamsdal, T. (2020). Digital twin: Values, challenges and enablers from a modeling perspective. IEEE Access, 8, 21980–22012. https://doi.org/10.1109/ACCESS.2020.2970143</w:t>
      </w:r>
    </w:p>
    <w:p>
      <w:pPr>
        <w:spacing w:line="280" w:after="60" w:before="0"/>
        <w:ind w:left="720" w:hanging="720"/>
        <w:jc w:val="both"/>
      </w:pPr>
      <w:r>
        <w:rPr>
          <w:rFonts w:ascii="Times New Roman" w:cs="Times New Roman" w:eastAsia="Times New Roman" w:hAnsi="Times New Roman"/>
          <w:sz w:val="20"/>
          <w:szCs w:val="20"/>
        </w:rPr>
        <w:t xml:space="preserve">Vörösmarty, C. J., McIntyre, P. B., Gessner, M. O., Dudgeon, D., Prusevich, A., Green, P., et al. (2010). Global threats to human water security and river biodiversity. Nature, 467(7315), 555–561. https://doi.org/10.1038/nature09440</w:t>
      </w:r>
    </w:p>
    <w:p>
      <w:r>
        <w:t xml:space="preserve"/>
      </w:r>
      <w:r>
        <w:br w:type="page"/>
      </w:r>
    </w:p>
    <w:p>
      <w:pPr>
        <w:spacing w:line="480" w:after="120" w:before="360"/>
        <w:jc w:val="both"/>
      </w:pPr>
      <w:r>
        <w:rPr>
          <w:rFonts w:ascii="Times New Roman" w:cs="Times New Roman" w:eastAsia="Times New Roman" w:hAnsi="Times New Roman"/>
          <w:b/>
          <w:bCs/>
          <w:sz w:val="28"/>
          <w:szCs w:val="28"/>
        </w:rPr>
        <w:t xml:space="preserve">Figure Captions</w:t>
      </w:r>
    </w:p>
    <w:p>
      <w:pPr>
        <w:spacing w:line="480" w:after="0" w:before="0"/>
        <w:jc w:val="both"/>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The CHS six-element controlled dynamical system architecture. All water systems share this feedback loop structure: Objective (O) provides reference signals; the Controller computes actions; the Actuator (A) implements them on the Plant (P); the Sensor (S) measures the response; Disturbance (D) enters externally; Constraint (C) imposes absolute operational boundaries reflecting operational singularity (Definition 1).</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both"/>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The unified model hierarchy: five-level plant dynamics (Family α integrating and Family β self-regulating branches) with the actuator reduction (Lemma 3) providing algebraic boundary conditions. Each level is obtained from the one above by a mathematically principled reduction. The Muskingum–IDZ duality (Corollary 1) bridges the two branches at Level 4. The model–layer correspondence (Theorem 3) assigns each level to the control layer where its approximation errors are acceptable.</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both"/>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Model–layer correspondence: each control layer (safety, regulation, coordination, planning) uses the model level whose approximation errors are acceptable at that temporal scope (Theorem 3). The unified transfer function family (Theorem 2) ensures this correspondence applies identically across all water subsectors.</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both"/>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The eight CHS principles organized into dual tetrads with inter-principle tradeoffs. The Operational Tetrad (blue) addresses control effectiveness; the Resilience Tetrad (orange) addresses robustness under uncertainty. Dashed lines indicate the four fundamental tradeoffs (Section 5.3).</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both"/>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sz w:val="24"/>
          <w:szCs w:val="24"/>
        </w:rPr>
        <w:t xml:space="preserve">Water Systems Autonomy Levels (WSAL): a five-level classification for water network automation maturity, adapted from SAE J3016 but reflecting water-specific operational singularity constraints. The staircase progresses from WSAL-1 (Remote Monitoring, SCADA only) through WSAL-3 (Conditional Autonomy within certified ODD) to WSAL-5 (Full Autonomy with self-expanding ODD). The WSAL-2 to WSAL-3 transition is identified as the critical near-term milestone requiring systematic xIL verification. The MAS architecture (HDC + ODD + Cognitive Intelligence) enables progression from WSAL-3 onward. The bottom axis represents expanding ODD coverage; the right axis represents increasing verification and trust requirements.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after="0" w:before="0"/>
      <w:jc w:val="center"/>
    </w:pPr>
    <w:r>
      <w:rPr>
        <w:rFonts w:ascii="Times New Roman" w:cs="Times New Roman" w:eastAsia="Times New Roman" w:hAnsi="Times New Roman"/>
        <w:sz w:val="24"/>
        <w:szCs w:val="24"/>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after="0" w:before="0"/>
      <w:jc w:val="right"/>
    </w:pPr>
    <w:r>
      <w:rPr>
        <w:rFonts w:ascii="Times New Roman" w:cs="Times New Roman" w:eastAsia="Times New Roman" w:hAnsi="Times New Roman"/>
        <w:i/>
        <w:iCs/>
        <w:sz w:val="20"/>
        <w:szCs w:val="20"/>
      </w:rPr>
      <w:t xml:space="preserve">Manuscript: Cybernetics of Hydro Systems — Water Resources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40c497e6a7b35e9dd37e4dac0101c21162bbc4e.png"/><Relationship Id="rId9" Type="http://schemas.openxmlformats.org/officeDocument/2006/relationships/image" Target="media/5d1727b0ba727ec41887c2a701392c53282db5cd.png"/><Relationship Id="rId10" Type="http://schemas.openxmlformats.org/officeDocument/2006/relationships/image" Target="media/b51167506a93a6ca7ee2885c753cb453eb6363fa.png"/><Relationship Id="rId11" Type="http://schemas.openxmlformats.org/officeDocument/2006/relationships/image" Target="media/0dc6d95a08157ba2708b26b10980d7b3591668bc.png"/><Relationship Id="rId12" Type="http://schemas.openxmlformats.org/officeDocument/2006/relationships/image" Target="media/d3e6d58b5fd0d2b337ea0ad0170026ff86963c86.png"/><Relationship Id="rId13" Type="http://schemas.openxmlformats.org/officeDocument/2006/relationships/image" Target="media/a7124ef654c093fe1e6b2d6963728ac0c06962af.png"/><Relationship Id="rId14" Type="http://schemas.openxmlformats.org/officeDocument/2006/relationships/image" Target="media/35108e6d660286807a751ceaf40130983a54291d.png"/><Relationship Id="rId15" Type="http://schemas.openxmlformats.org/officeDocument/2006/relationships/image" Target="media/6fa331a9b7b2b482852ef3fa3ba3b83dd8c7fa8e.png"/><Relationship Id="rId16" Type="http://schemas.openxmlformats.org/officeDocument/2006/relationships/image" Target="media/cc069bdc5e0b2c17e4150cff368152a72367089d.png"/><Relationship Id="rId17" Type="http://schemas.openxmlformats.org/officeDocument/2006/relationships/image" Target="media/26049f6a33352e1047e037712552519df58b4400.png"/><Relationship Id="rId18" Type="http://schemas.openxmlformats.org/officeDocument/2006/relationships/image" Target="media/8717c9c7e742d848f2a568763083e643be6163ee.png"/><Relationship Id="rId19" Type="http://schemas.openxmlformats.org/officeDocument/2006/relationships/image" Target="media/9034b5d3b3e30fb50b649da612951e97767b1fe9.png"/><Relationship Id="rId20" Type="http://schemas.openxmlformats.org/officeDocument/2006/relationships/image" Target="media/9e21a067474875c05126614c2125c8cdb606dbcb.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2026-02-12T04:54:34.323Z</dcterms:created>
  <dcterms:modified xsi:type="dcterms:W3CDTF">2026-02-12T04:54:34.323Z</dcterms:modified>
</cp:coreProperties>
</file>

<file path=docProps/custom.xml><?xml version="1.0" encoding="utf-8"?>
<Properties xmlns="http://schemas.openxmlformats.org/officeDocument/2006/custom-properties" xmlns:vt="http://schemas.openxmlformats.org/officeDocument/2006/docPropsVTypes"/>
</file>