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after="120"/>
        <w:jc w:val="center"/>
      </w:pPr>
      <w:r>
        <w:rPr>
          <w:rFonts w:ascii="Times New Roman" w:cs="Times New Roman" w:eastAsia="Times New Roman" w:hAnsi="Times New Roman"/>
          <w:b/>
          <w:bCs/>
          <w:sz w:val="32"/>
          <w:szCs w:val="32"/>
        </w:rPr>
        <w:t xml:space="preserve">Toward autonomous water networks: A discipline</w:t>
      </w:r>
    </w:p>
    <w:p>
      <w:pPr>
        <w:spacing w:line="480" w:after="120"/>
        <w:jc w:val="center"/>
      </w:pPr>
      <w:r>
        <w:rPr>
          <w:rFonts w:ascii="Times New Roman" w:cs="Times New Roman" w:eastAsia="Times New Roman" w:hAnsi="Times New Roman"/>
          <w:b/>
          <w:bCs/>
          <w:sz w:val="32"/>
          <w:szCs w:val="32"/>
        </w:rPr>
        <w:t xml:space="preserve">construction framework grounded in cybernetics</w:t>
      </w:r>
    </w:p>
    <w:p>
      <w:pPr>
        <w:spacing w:line="480" w:after="120"/>
        <w:jc w:val="center"/>
      </w:pPr>
      <w:r>
        <w:rPr>
          <w:rFonts w:ascii="Times New Roman" w:cs="Times New Roman" w:eastAsia="Times New Roman" w:hAnsi="Times New Roman"/>
          <w:b/>
          <w:bCs/>
          <w:sz w:val="32"/>
          <w:szCs w:val="32"/>
        </w:rPr>
        <w:t xml:space="preserve">of hydro systems</w:t>
      </w:r>
    </w:p>
    <w:p>
      <w:pPr>
        <w:spacing w:line="480"/>
      </w:pPr>
      <w:r>
        <w:rPr>
          <w:rFonts w:ascii="Times New Roman" w:cs="Times New Roman" w:eastAsia="Times New Roman" w:hAnsi="Times New Roman"/>
          <w:sz w:val="24"/>
          <w:szCs w:val="24"/>
        </w:rPr>
        <w:t xml:space="preserve"/>
      </w:r>
    </w:p>
    <w:p>
      <w:pPr>
        <w:spacing w:line="480"/>
        <w:jc w:val="center"/>
      </w:pPr>
      <w:r>
        <w:rPr>
          <w:rFonts w:ascii="Times New Roman" w:cs="Times New Roman" w:eastAsia="Times New Roman" w:hAnsi="Times New Roman"/>
          <w:sz w:val="24"/>
          <w:szCs w:val="24"/>
        </w:rPr>
        <w:t xml:space="preserve">Xiaohui Lei a,b,*, Hao Wang c, Yan Long a,b, Xiaowei Liu 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i/>
          <w:iCs/>
          <w:sz w:val="20"/>
          <w:szCs w:val="20"/>
        </w:rPr>
        <w:t xml:space="preserve">a School of Water Conservancy and Hydropower, Hebei University of Engineering, Handan 056038, China</w:t>
      </w:r>
    </w:p>
    <w:p>
      <w:pPr>
        <w:spacing w:line="480"/>
      </w:pPr>
      <w:r>
        <w:rPr>
          <w:rFonts w:ascii="Times New Roman" w:cs="Times New Roman" w:eastAsia="Times New Roman" w:hAnsi="Times New Roman"/>
          <w:i/>
          <w:iCs/>
          <w:sz w:val="20"/>
          <w:szCs w:val="20"/>
        </w:rPr>
        <w:t xml:space="preserve">b Xiong’an Institute of Green Water Network and Life Health, Xiong’an New Area 071700, China</w:t>
      </w:r>
    </w:p>
    <w:p>
      <w:pPr>
        <w:spacing w:line="480"/>
      </w:pPr>
      <w:r>
        <w:rPr>
          <w:rFonts w:ascii="Times New Roman" w:cs="Times New Roman" w:eastAsia="Times New Roman" w:hAnsi="Times New Roman"/>
          <w:i/>
          <w:iCs/>
          <w:sz w:val="20"/>
          <w:szCs w:val="20"/>
        </w:rPr>
        <w:t xml:space="preserve">c China Institute of Water Resources and Hydropower Research (IWHR), Beijing 100038, China</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0"/>
          <w:szCs w:val="20"/>
        </w:rPr>
        <w:t xml:space="preserve">* Corresponding author. E-mail: lxh@iwhr.com (X. Lei)</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r>
        <w:br w:type="page"/>
      </w:r>
    </w:p>
    <w:p>
      <w:pPr>
        <w:spacing w:line="480" w:before="240" w:after="120"/>
      </w:pPr>
      <w:r>
        <w:rPr>
          <w:rFonts w:ascii="Times New Roman" w:cs="Times New Roman" w:eastAsia="Times New Roman" w:hAnsi="Times New Roman"/>
          <w:b/>
          <w:bCs/>
          <w:sz w:val="28"/>
          <w:szCs w:val="28"/>
        </w:rPr>
        <w:t xml:space="preserve">Highlights</w:t>
      </w:r>
    </w:p>
    <w:p>
      <w:pPr>
        <w:spacing w:line="480" w:after="0" w:before="0"/>
        <w:ind/>
        <w:jc w:val="both"/>
      </w:pPr>
      <w:r>
        <w:rPr>
          <w:rFonts w:ascii="Times New Roman" w:cs="Times New Roman" w:eastAsia="Times New Roman" w:hAnsi="Times New Roman"/>
          <w:sz w:val="24"/>
          <w:szCs w:val="24"/>
        </w:rPr>
        <w:t xml:space="preserve">• Identifies three structural biases (goal, method, education) in current smart water practice and proposes Cybernetics of Hydro Systems as a platform-independent theoretical core.</w:t>
      </w:r>
    </w:p>
    <w:p>
      <w:pPr>
        <w:spacing w:line="480" w:after="0" w:before="0"/>
        <w:ind/>
        <w:jc w:val="both"/>
      </w:pPr>
      <w:r>
        <w:rPr>
          <w:rFonts w:ascii="Times New Roman" w:cs="Times New Roman" w:eastAsia="Times New Roman" w:hAnsi="Times New Roman"/>
          <w:sz w:val="24"/>
          <w:szCs w:val="24"/>
        </w:rPr>
        <w:t xml:space="preserve">• Introduces a five-level Water System Autonomy Level (WSAL) framework and maps existing international deployments to L0–L2, revealing a systematic capability gap.</w:t>
      </w:r>
    </w:p>
    <w:p>
      <w:pPr>
        <w:spacing w:line="480" w:after="0" w:before="0"/>
        <w:ind/>
        <w:jc w:val="both"/>
      </w:pPr>
      <w:r>
        <w:rPr>
          <w:rFonts w:ascii="Times New Roman" w:cs="Times New Roman" w:eastAsia="Times New Roman" w:hAnsi="Times New Roman"/>
          <w:sz w:val="24"/>
          <w:szCs w:val="24"/>
        </w:rPr>
        <w:t xml:space="preserve">• Synthesises cross-disciplinary parallels from process automation, power systems, autonomous vehicles, and environmental modelling into a unified discipline framework.</w:t>
      </w:r>
    </w:p>
    <w:p>
      <w:pPr>
        <w:spacing w:line="480" w:after="0" w:before="0"/>
        <w:ind/>
        <w:jc w:val="both"/>
      </w:pPr>
      <w:r>
        <w:rPr>
          <w:rFonts w:ascii="Times New Roman" w:cs="Times New Roman" w:eastAsia="Times New Roman" w:hAnsi="Times New Roman"/>
          <w:sz w:val="24"/>
          <w:szCs w:val="24"/>
        </w:rPr>
        <w:t xml:space="preserve">• Introduces Design for Operation (DfO) to embed SIL/HIL-verifiable operational models at the infrastructure planning stage.</w:t>
      </w:r>
    </w:p>
    <w:p>
      <w:pPr>
        <w:spacing w:line="480" w:after="0" w:before="0"/>
        <w:ind/>
        <w:jc w:val="both"/>
      </w:pPr>
      <w:r>
        <w:rPr>
          <w:rFonts w:ascii="Times New Roman" w:cs="Times New Roman" w:eastAsia="Times New Roman" w:hAnsi="Times New Roman"/>
          <w:sz w:val="24"/>
          <w:szCs w:val="24"/>
        </w:rPr>
        <w:t xml:space="preserve">• Proposes an object-centred curriculum in which mathematics and control theory are taught through water-system examples from the outset.</w:t>
      </w:r>
    </w:p>
    <w:p>
      <w:pPr>
        <w:spacing w:line="480"/>
      </w:pPr>
      <w:r>
        <w:rPr>
          <w:rFonts w:ascii="Times New Roman" w:cs="Times New Roman" w:eastAsia="Times New Roman" w:hAnsi="Times New Roman"/>
          <w:sz w:val="24"/>
          <w:szCs w:val="24"/>
        </w:rPr>
        <w:t xml:space="preserve"/>
      </w:r>
    </w:p>
    <w:p>
      <w:pPr>
        <w:spacing w:line="480" w:before="240" w:after="120"/>
      </w:pPr>
      <w:r>
        <w:rPr>
          <w:rFonts w:ascii="Times New Roman" w:cs="Times New Roman" w:eastAsia="Times New Roman" w:hAnsi="Times New Roman"/>
          <w:b/>
          <w:bCs/>
          <w:sz w:val="28"/>
          <w:szCs w:val="28"/>
        </w:rPr>
        <w:t xml:space="preserve">Abstract</w:t>
      </w:r>
    </w:p>
    <w:p>
      <w:pPr>
        <w:spacing w:line="480" w:after="0" w:before="0"/>
        <w:ind/>
        <w:jc w:val="both"/>
      </w:pPr>
      <w:r>
        <w:rPr>
          <w:rFonts w:ascii="Times New Roman" w:cs="Times New Roman" w:eastAsia="Times New Roman" w:hAnsi="Times New Roman"/>
          <w:sz w:val="24"/>
          <w:szCs w:val="24"/>
        </w:rPr>
        <w:t xml:space="preserve">Current smart water practice privileges data aggregation and visualisation over verifiable autonomy, producing three structural biases: a goal bias (stopping at “visible and manageable”), a method bias (lacking a unifying control-theoretic language), and an education bias (prematurely codifying platform experience into curricula). We propose Cybernetics of Hydro Systems as a platform-independent theoretical core for characterising the state, constraints, objectives, and closed-loop causality of water networks spanning five sectors: water conservancy, hydropower, urban water services, inland navigation, and inter-basin transfer. Building on dual water cycle theory, we introduce the Autonomous HydroSystem (AHS) concept and a five-level Water System Autonomy Level (WSAL) framework—paralleling SAE J3016 for autonomous vehicles—to provide a shared benchmark for research, deployment, and talent development. An illustrative mapping of existing systems to WSAL levels demonstrates that most current deployments remain at L0–L1, confirming the gap this framework addresses. Cross-disciplinary methodologies including CPSS, Model-Based Definition (MBD), Operational Design Domain (ODD), SIL/HIL verification, Hierarchical Distributed Control (HDC), and Multi-Agent Systems (MAS) are integrated into a coherent discipline framework, and an object-centred curriculum architecture is outlined. The framework is intended as a long-term disciplinary scaffold rather than a description of current capabilities.</w:t>
      </w:r>
    </w:p>
    <w:p>
      <w:pPr>
        <w:spacing w:line="480"/>
      </w:pPr>
      <w:r>
        <w:rPr>
          <w:rFonts w:ascii="Times New Roman" w:cs="Times New Roman" w:eastAsia="Times New Roman" w:hAnsi="Times New Roman"/>
          <w:sz w:val="24"/>
          <w:szCs w:val="24"/>
        </w:rPr>
        <w:t xml:space="preserve"/>
      </w:r>
    </w:p>
    <w:p>
      <w:pPr>
        <w:spacing w:line="480" w:after="0" w:before="0"/>
        <w:ind/>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Smart water systems; Cybernetics of Hydro Systems; Autonomous HydroSystem; Digital twin; Dual water cycle; CPSS; Model-Based Definition; Operational Design Domain; SIL/HIL verification; Hierarchical Distributed Control; Multi-Agent Systems; Water System Autonomy Level; Discipline construction</w:t>
      </w:r>
    </w:p>
    <w:p>
      <w:r>
        <w:rPr>
          <w:rFonts w:ascii="Times New Roman" w:cs="Times New Roman" w:eastAsia="Times New Roman" w:hAnsi="Times New Roman"/>
          <w:sz w:val="24"/>
          <w:szCs w:val="24"/>
        </w:rPr>
        <w:t xml:space="preserve"/>
      </w:r>
      <w:r>
        <w:br w:type="page"/>
      </w:r>
    </w:p>
    <w:p>
      <w:pPr>
        <w:spacing w:line="480" w:before="240" w:after="120"/>
      </w:pPr>
      <w:r>
        <w:rPr>
          <w:rFonts w:ascii="Times New Roman" w:cs="Times New Roman" w:eastAsia="Times New Roman" w:hAnsi="Times New Roman"/>
          <w:b/>
          <w:bCs/>
          <w:sz w:val="28"/>
          <w:szCs w:val="28"/>
        </w:rPr>
        <w:t xml:space="preserve">1. Introduction</w:t>
      </w:r>
    </w:p>
    <w:p>
      <w:pPr>
        <w:spacing w:line="480" w:after="0" w:before="0"/>
        <w:ind w:firstLine="720"/>
        <w:jc w:val="both"/>
      </w:pPr>
      <w:r>
        <w:rPr>
          <w:rFonts w:ascii="Times New Roman" w:cs="Times New Roman" w:eastAsia="Times New Roman" w:hAnsi="Times New Roman"/>
          <w:sz w:val="24"/>
          <w:szCs w:val="24"/>
        </w:rPr>
        <w:t xml:space="preserve">The past decade has witnessed rapid conceptual evolution in water informatics—from “smart water” and “intelligent water conservancy” to “digital-twin water resources” (Grieves and Vickers, 2017; Liu et al., 2023). At the implementation level, the prevailing paradigm can be summarised as </w:t>
      </w:r>
      <w:r>
        <w:rPr>
          <w:rFonts w:ascii="Times New Roman" w:cs="Times New Roman" w:eastAsia="Times New Roman" w:hAnsi="Times New Roman"/>
          <w:i/>
          <w:iCs/>
          <w:sz w:val="24"/>
          <w:szCs w:val="24"/>
        </w:rPr>
        <w:t xml:space="preserve">data platform + model library + business applications + 3D visualisation</w:t>
      </w:r>
      <w:r>
        <w:rPr>
          <w:rFonts w:ascii="Times New Roman" w:cs="Times New Roman" w:eastAsia="Times New Roman" w:hAnsi="Times New Roman"/>
          <w:sz w:val="24"/>
          <w:szCs w:val="24"/>
        </w:rPr>
        <w:t xml:space="preserve"> (Li et al., 2022). This architecture is necessary and effective for initial digitalisation, yet treating it as the final destination introduces three structural biases that impede long-term disciplinary maturity.</w:t>
      </w:r>
    </w:p>
    <w:p>
      <w:pPr>
        <w:spacing w:line="480" w:after="0" w:before="0"/>
        <w:ind w:firstLine="720"/>
        <w:jc w:val="both"/>
      </w:pPr>
      <w:r>
        <w:rPr>
          <w:rFonts w:ascii="Times New Roman" w:cs="Times New Roman" w:eastAsia="Times New Roman" w:hAnsi="Times New Roman"/>
          <w:sz w:val="24"/>
          <w:szCs w:val="24"/>
        </w:rPr>
        <w:t xml:space="preserve">First, a </w:t>
      </w:r>
      <w:r>
        <w:rPr>
          <w:rFonts w:ascii="Times New Roman" w:cs="Times New Roman" w:eastAsia="Times New Roman" w:hAnsi="Times New Roman"/>
          <w:b/>
          <w:bCs/>
          <w:sz w:val="24"/>
          <w:szCs w:val="24"/>
        </w:rPr>
        <w:t xml:space="preserve">goal bias</w:t>
      </w:r>
      <w:r>
        <w:rPr>
          <w:rFonts w:ascii="Times New Roman" w:cs="Times New Roman" w:eastAsia="Times New Roman" w:hAnsi="Times New Roman"/>
          <w:sz w:val="24"/>
          <w:szCs w:val="24"/>
        </w:rPr>
        <w:t xml:space="preserve">: the stopping point becomes “visible and manageable” rather than “autonomous, verifiable, and evolvable.” Second, a </w:t>
      </w:r>
      <w:r>
        <w:rPr>
          <w:rFonts w:ascii="Times New Roman" w:cs="Times New Roman" w:eastAsia="Times New Roman" w:hAnsi="Times New Roman"/>
          <w:b/>
          <w:bCs/>
          <w:sz w:val="24"/>
          <w:szCs w:val="24"/>
        </w:rPr>
        <w:t xml:space="preserve">method bias</w:t>
      </w:r>
      <w:r>
        <w:rPr>
          <w:rFonts w:ascii="Times New Roman" w:cs="Times New Roman" w:eastAsia="Times New Roman" w:hAnsi="Times New Roman"/>
          <w:sz w:val="24"/>
          <w:szCs w:val="24"/>
        </w:rPr>
        <w:t xml:space="preserve">: system integration replaces a unified control-theoretic and systems-engineering language, leaving each project to reinvent interfaces, safety boundaries, and verification protocols. Third, an </w:t>
      </w:r>
      <w:r>
        <w:rPr>
          <w:rFonts w:ascii="Times New Roman" w:cs="Times New Roman" w:eastAsia="Times New Roman" w:hAnsi="Times New Roman"/>
          <w:b/>
          <w:bCs/>
          <w:sz w:val="24"/>
          <w:szCs w:val="24"/>
        </w:rPr>
        <w:t xml:space="preserve">education bias</w:t>
      </w:r>
      <w:r>
        <w:rPr>
          <w:rFonts w:ascii="Times New Roman" w:cs="Times New Roman" w:eastAsia="Times New Roman" w:hAnsi="Times New Roman"/>
          <w:sz w:val="24"/>
          <w:szCs w:val="24"/>
        </w:rPr>
        <w:t xml:space="preserve">: transient platform experience is prematurely codified into curricula, causing programmes to shift with market fashions rather than accumulating stable knowledge (Loucks and van Beek, 2017; Razavi et al., 2022).</w:t>
      </w:r>
    </w:p>
    <w:p>
      <w:pPr>
        <w:spacing w:line="480" w:after="0" w:before="0"/>
        <w:ind w:firstLine="720"/>
        <w:jc w:val="both"/>
      </w:pPr>
      <w:r>
        <w:rPr>
          <w:rFonts w:ascii="Times New Roman" w:cs="Times New Roman" w:eastAsia="Times New Roman" w:hAnsi="Times New Roman"/>
          <w:sz w:val="24"/>
          <w:szCs w:val="24"/>
        </w:rPr>
        <w:t xml:space="preserve">These biases are not unique to the water sector. Autonomous vehicles, aerospace, and process-industry automation have all traversed a similar arc—from ad-hoc automation to formally grounded, verifiable autonomy—and their disciplinary frameworks offer instructive parallels (SAE International, 2021; Chai et al., 2014; Xue, 2020). What distinguishes water systems is the breadth of the operational envelope: a single country’s water infrastructure spans flood control, irrigation, hydropower generation, urban water supply and drainage, inland waterway navigation, and inter-basin transfer—each governed by distinct authorities, operating regimes, and safety standards. No existing discipline integrates these domains from an operational perspective.</w:t>
      </w:r>
    </w:p>
    <w:p>
      <w:pPr>
        <w:spacing w:line="480" w:after="0" w:before="0"/>
        <w:ind w:firstLine="720"/>
        <w:jc w:val="both"/>
      </w:pPr>
      <w:r>
        <w:rPr>
          <w:rFonts w:ascii="Times New Roman" w:cs="Times New Roman" w:eastAsia="Times New Roman" w:hAnsi="Times New Roman"/>
          <w:sz w:val="24"/>
          <w:szCs w:val="24"/>
        </w:rPr>
        <w:t xml:space="preserve">We therefore propose that </w:t>
      </w:r>
      <w:r>
        <w:rPr>
          <w:rFonts w:ascii="Times New Roman" w:cs="Times New Roman" w:eastAsia="Times New Roman" w:hAnsi="Times New Roman"/>
          <w:b/>
          <w:bCs/>
          <w:sz w:val="24"/>
          <w:szCs w:val="24"/>
        </w:rPr>
        <w:t xml:space="preserve">water network autonomous operation</w:t>
      </w:r>
      <w:r>
        <w:rPr>
          <w:rFonts w:ascii="Times New Roman" w:cs="Times New Roman" w:eastAsia="Times New Roman" w:hAnsi="Times New Roman"/>
          <w:sz w:val="24"/>
          <w:szCs w:val="24"/>
        </w:rPr>
        <w:t xml:space="preserve"> be understood as the water-domain counterpart of domain-specific general capability—the ability to handle the full operational envelope of a bounded but complex physical system—and designate it Autonomous HydroSystem (AHS). The analogy with Artificial General Intelligence (AGI) is instructive but deliberately circumscribed: unlike open-domain AGI, AHS operates within physics-constrained, safety-critical boundaries. Digital-twin water resources then becomes a critical transitional stage whose value lies not in replicating a three-dimensional world but in providing the computational model structure, online state estimation, and reproducible experimental environment that underpin control-theoretic verification.</w:t>
      </w:r>
    </w:p>
    <w:p>
      <w:pPr>
        <w:spacing w:line="480" w:after="0" w:before="0"/>
        <w:ind w:firstLine="720"/>
        <w:jc w:val="both"/>
      </w:pPr>
      <w:r>
        <w:rPr>
          <w:rFonts w:ascii="Times New Roman" w:cs="Times New Roman" w:eastAsia="Times New Roman" w:hAnsi="Times New Roman"/>
          <w:sz w:val="24"/>
          <w:szCs w:val="24"/>
        </w:rPr>
        <w:t xml:space="preserve">The purpose of this position paper is threefold: (i) to articulate a </w:t>
      </w:r>
      <w:r>
        <w:rPr>
          <w:rFonts w:ascii="Times New Roman" w:cs="Times New Roman" w:eastAsia="Times New Roman" w:hAnsi="Times New Roman"/>
          <w:b/>
          <w:bCs/>
          <w:sz w:val="24"/>
          <w:szCs w:val="24"/>
        </w:rPr>
        <w:t xml:space="preserve">theoretical core</w:t>
      </w:r>
      <w:r>
        <w:rPr>
          <w:rFonts w:ascii="Times New Roman" w:cs="Times New Roman" w:eastAsia="Times New Roman" w:hAnsi="Times New Roman"/>
          <w:sz w:val="24"/>
          <w:szCs w:val="24"/>
        </w:rPr>
        <w:t xml:space="preserve">—Cybernetics of Hydro Systems (Lei et al., 2025a)—that is independent of specific platforms, data forms, and algorithmic paradigms; (ii) to integrate cross-disciplinary methodologies—including CPSS (Zhang et al., 2018), MBD (Walden et al., 2023), ODD (BSI, 2020), SIL/HIL (Isermann et al., 1999), HDC (Litrico and Fromion, 2009; Scattolini, 2009), and MAS (Wooldridge, 2009)—into a coherent discipline framework; and (iii) to propose a three-tier curriculum architecture that prioritises object-centred mathematical and control foundations over platform-specific skills.</w:t>
      </w:r>
    </w:p>
    <w:p>
      <w:pPr>
        <w:spacing w:line="480" w:before="240" w:after="120"/>
      </w:pPr>
      <w:r>
        <w:rPr>
          <w:rFonts w:ascii="Times New Roman" w:cs="Times New Roman" w:eastAsia="Times New Roman" w:hAnsi="Times New Roman"/>
          <w:b/>
          <w:bCs/>
          <w:sz w:val="28"/>
          <w:szCs w:val="28"/>
        </w:rPr>
        <w:t xml:space="preserve">2. Research object and disciplinary scope</w:t>
      </w:r>
    </w:p>
    <w:p>
      <w:pPr>
        <w:spacing w:line="480" w:after="0" w:before="0"/>
        <w:ind w:firstLine="720"/>
        <w:jc w:val="both"/>
      </w:pPr>
      <w:r>
        <w:rPr>
          <w:rFonts w:ascii="Times New Roman" w:cs="Times New Roman" w:eastAsia="Times New Roman" w:hAnsi="Times New Roman"/>
          <w:sz w:val="24"/>
          <w:szCs w:val="24"/>
        </w:rPr>
        <w:t xml:space="preserve">Discipline construction must answer two questions: </w:t>
      </w:r>
      <w:r>
        <w:rPr>
          <w:rFonts w:ascii="Times New Roman" w:cs="Times New Roman" w:eastAsia="Times New Roman" w:hAnsi="Times New Roman"/>
          <w:i/>
          <w:iCs/>
          <w:sz w:val="24"/>
          <w:szCs w:val="24"/>
        </w:rPr>
        <w:t xml:space="preserve">what is the research object?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what is the research methodology?</w:t>
      </w:r>
      <w:r>
        <w:rPr>
          <w:rFonts w:ascii="Times New Roman" w:cs="Times New Roman" w:eastAsia="Times New Roman" w:hAnsi="Times New Roman"/>
          <w:sz w:val="24"/>
          <w:szCs w:val="24"/>
        </w:rPr>
        <w:t xml:space="preserve"> We argue that the research object should be elevated from “individual engineering works and application systems” to “cross-scale, multi-stakeholder water network operational systems,” and the methodology from “building databases, models, and platforms” to “cybernetics + systems engineering + verifiable autonomy” as a unified paradigm.</w:t>
      </w:r>
    </w:p>
    <w:p>
      <w:pPr>
        <w:spacing w:line="480" w:before="200" w:after="100"/>
      </w:pPr>
      <w:r>
        <w:rPr>
          <w:rFonts w:ascii="Times New Roman" w:cs="Times New Roman" w:eastAsia="Times New Roman" w:hAnsi="Times New Roman"/>
          <w:b/>
          <w:bCs/>
          <w:i/>
          <w:iCs/>
          <w:sz w:val="24"/>
          <w:szCs w:val="24"/>
        </w:rPr>
        <w:t xml:space="preserve">2.1 Five water sectors as a unified operational domain</w:t>
      </w:r>
    </w:p>
    <w:p>
      <w:pPr>
        <w:spacing w:line="480" w:after="0" w:before="0"/>
        <w:ind w:firstLine="720"/>
        <w:jc w:val="both"/>
      </w:pPr>
      <w:r>
        <w:rPr>
          <w:rFonts w:ascii="Times New Roman" w:cs="Times New Roman" w:eastAsia="Times New Roman" w:hAnsi="Times New Roman"/>
          <w:sz w:val="24"/>
          <w:szCs w:val="24"/>
        </w:rPr>
        <w:t xml:space="preserve">Traditional water-related disciplines—hydraulic engineering, hydropower engineering, port and waterway engineering, and municipal water engineering—share a structural characteristic: </w:t>
      </w:r>
      <w:r>
        <w:rPr>
          <w:rFonts w:ascii="Times New Roman" w:cs="Times New Roman" w:eastAsia="Times New Roman" w:hAnsi="Times New Roman"/>
          <w:i/>
          <w:iCs/>
          <w:sz w:val="24"/>
          <w:szCs w:val="24"/>
        </w:rPr>
        <w:t xml:space="preserve">emphasis on construction, neglect of operation</w:t>
      </w:r>
      <w:r>
        <w:rPr>
          <w:rFonts w:ascii="Times New Roman" w:cs="Times New Roman" w:eastAsia="Times New Roman" w:hAnsi="Times New Roman"/>
          <w:sz w:val="24"/>
          <w:szCs w:val="24"/>
        </w:rPr>
        <w:t xml:space="preserve"> (Aven, 2016). Construction creates asset stock; yet the closed-loop control, verification, and sustainable optimisation of those assets during decades of service remain inadequately addressed. We identify five sectors whose operational challenges are fundamentally isomorphic (Table 1): water conservancy (flood control, irrigation, river and lake management), hydropower (hydro-energy systems and water–power coupling), urban water services (supply, drainage, reclaimed water), inland navigation (waterway regulation and lock scheduling), and inter-basin water transfer (long-distance conveyance and multi-node coordination).</w:t>
      </w:r>
    </w:p>
    <w:p>
      <w:pPr>
        <w:spacing w:line="480"/>
      </w:pPr>
      <w:r>
        <w:rPr>
          <w:rFonts w:ascii="Times New Roman" w:cs="Times New Roman" w:eastAsia="Times New Roman" w:hAnsi="Times New Roman"/>
          <w:sz w:val="24"/>
          <w:szCs w:val="24"/>
        </w:rPr>
        <w:t xml:space="preserve"/>
      </w:r>
    </w:p>
    <w:p>
      <w:pPr>
        <w:spacing w:line="480" w:after="0" w:before="0"/>
        <w:ind/>
        <w:jc w:val="both"/>
      </w:pP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Five water sectors and representative operational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000000" w:sz="1"/>
              <w:left w:val="none" w:color="FFFFFF" w:sz="0"/>
              <w:bottom w:val="single" w:color="000000" w:sz="1"/>
              <w:right w:val="none" w:color="FFFFFF" w:sz="0"/>
            </w:tcBorders>
            <w:tcMar>
              <w:top w:type="dxa" w:w="40"/>
              <w:left w:type="dxa" w:w="80"/>
              <w:bottom w:type="dxa" w:w="40"/>
              <w:right w:type="dxa" w:w="80"/>
            </w:tcMar>
          </w:tcPr>
          <w:p>
            <w:pPr>
              <w:spacing w:line="360"/>
              <w:jc w:val="center"/>
            </w:pPr>
            <w:r>
              <w:rPr>
                <w:rFonts w:ascii="Times New Roman" w:cs="Times New Roman" w:eastAsia="Times New Roman" w:hAnsi="Times New Roman"/>
                <w:b/>
                <w:bCs/>
                <w:sz w:val="20"/>
                <w:szCs w:val="20"/>
              </w:rPr>
              <w:t xml:space="preserve">Sector</w:t>
            </w:r>
          </w:p>
        </w:tc>
        <w:tc>
          <w:tcPr>
            <w:tcW w:type="dxa" w:w="2600"/>
            <w:tcBorders>
              <w:top w:val="single" w:color="000000" w:sz="1"/>
              <w:left w:val="none" w:color="FFFFFF" w:sz="0"/>
              <w:bottom w:val="single" w:color="000000" w:sz="1"/>
              <w:right w:val="none" w:color="FFFFFF" w:sz="0"/>
            </w:tcBorders>
            <w:tcMar>
              <w:top w:type="dxa" w:w="40"/>
              <w:left w:type="dxa" w:w="80"/>
              <w:bottom w:type="dxa" w:w="40"/>
              <w:right w:type="dxa" w:w="80"/>
            </w:tcMar>
          </w:tcPr>
          <w:p>
            <w:pPr>
              <w:spacing w:line="360"/>
              <w:jc w:val="center"/>
            </w:pPr>
            <w:r>
              <w:rPr>
                <w:rFonts w:ascii="Times New Roman" w:cs="Times New Roman" w:eastAsia="Times New Roman" w:hAnsi="Times New Roman"/>
                <w:b/>
                <w:bCs/>
                <w:sz w:val="20"/>
                <w:szCs w:val="20"/>
              </w:rPr>
              <w:t xml:space="preserve">Representative systems</w:t>
            </w:r>
          </w:p>
        </w:tc>
        <w:tc>
          <w:tcPr>
            <w:tcW w:type="dxa" w:w="4960"/>
            <w:tcBorders>
              <w:top w:val="single" w:color="000000" w:sz="1"/>
              <w:left w:val="none" w:color="FFFFFF" w:sz="0"/>
              <w:bottom w:val="single" w:color="000000" w:sz="1"/>
              <w:right w:val="none" w:color="FFFFFF" w:sz="0"/>
            </w:tcBorders>
            <w:tcMar>
              <w:top w:type="dxa" w:w="40"/>
              <w:left w:type="dxa" w:w="80"/>
              <w:bottom w:type="dxa" w:w="40"/>
              <w:right w:type="dxa" w:w="80"/>
            </w:tcMar>
          </w:tcPr>
          <w:p>
            <w:pPr>
              <w:spacing w:line="360"/>
              <w:jc w:val="center"/>
            </w:pPr>
            <w:r>
              <w:rPr>
                <w:rFonts w:ascii="Times New Roman" w:cs="Times New Roman" w:eastAsia="Times New Roman" w:hAnsi="Times New Roman"/>
                <w:b/>
                <w:bCs/>
                <w:sz w:val="20"/>
                <w:szCs w:val="20"/>
              </w:rPr>
              <w:t xml:space="preserve">Core operational challenge</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Water conservancy</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Reservoirs, floodgates, irrigation networks</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Multi-objective real-time dispatch under hydrological uncertainty</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Hydropower</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Cascade hydro plants, pumped storage</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Water–energy coupling, grid frequency support, AGC</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Urban water services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WDN, sewer networks, WRRFs</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Pressure management, CSO control, energy optimisation</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Inland navigation</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Ship locks, waterway regulation</w:t>
            </w:r>
          </w:p>
        </w:tc>
        <w:tc>
          <w:tcPr>
            <w:tcW w:type="dxa" w:w="49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Through-put maximisation under hydraulic and traffic constraints</w:t>
            </w:r>
          </w:p>
        </w:tc>
      </w:tr>
      <w:tr>
        <w:tc>
          <w:tcPr>
            <w:tcW w:type="dxa" w:w="1800"/>
            <w:tcBorders>
              <w:top w:val="none" w:color="FFFFFF" w:sz="0"/>
              <w:left w:val="none" w:color="FFFFFF" w:sz="0"/>
              <w:bottom w:val="single" w:color="000000" w:sz="1"/>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Inter-basin transfer</w:t>
            </w:r>
          </w:p>
        </w:tc>
        <w:tc>
          <w:tcPr>
            <w:tcW w:type="dxa" w:w="2600"/>
            <w:tcBorders>
              <w:top w:val="none" w:color="FFFFFF" w:sz="0"/>
              <w:left w:val="none" w:color="FFFFFF" w:sz="0"/>
              <w:bottom w:val="single" w:color="000000" w:sz="1"/>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Long-distance canals, pump cascades</w:t>
            </w:r>
          </w:p>
        </w:tc>
        <w:tc>
          <w:tcPr>
            <w:tcW w:type="dxa" w:w="4960"/>
            <w:tcBorders>
              <w:top w:val="none" w:color="FFFFFF" w:sz="0"/>
              <w:left w:val="none" w:color="FFFFFF" w:sz="0"/>
              <w:bottom w:val="single" w:color="000000" w:sz="1"/>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Ice-period transition, multi-node coordination, time delay</w:t>
            </w:r>
          </w:p>
        </w:tc>
      </w:tr>
    </w:tbl>
    <w:p>
      <w:pPr>
        <w:spacing w:line="480"/>
      </w:pPr>
      <w:r>
        <w:rPr>
          <w:rFonts w:ascii="Times New Roman" w:cs="Times New Roman" w:eastAsia="Times New Roman" w:hAnsi="Times New Roman"/>
          <w:sz w:val="24"/>
          <w:szCs w:val="24"/>
        </w:rPr>
        <w:t xml:space="preserve"/>
      </w:r>
    </w:p>
    <w:p>
      <w:pPr>
        <w:spacing w:line="480" w:after="0" w:before="0"/>
        <w:ind w:firstLine="720"/>
        <w:jc w:val="both"/>
      </w:pPr>
      <w:r>
        <w:rPr>
          <w:rFonts w:ascii="Times New Roman" w:cs="Times New Roman" w:eastAsia="Times New Roman" w:hAnsi="Times New Roman"/>
          <w:sz w:val="24"/>
          <w:szCs w:val="24"/>
        </w:rPr>
        <w:t xml:space="preserve">Despite operating under separate regulatory authorities—flood and irrigation agencies, energy regulators, urban utilities, transport administrations, and inter-basin transfer commissions (in China, for instance, these correspond to five distinct ministries)—these five sectors share a common scientific core: the real-time, closed-loop control of spatially distributed hydraulic systems under uncertainty, multi-objective trade-offs, and institutional constraints. This commonality justifies a unified disciplinary treatment.</w:t>
      </w:r>
    </w:p>
    <w:p>
      <w:pPr>
        <w:spacing w:line="480" w:after="0" w:before="0"/>
        <w:ind w:firstLine="720"/>
        <w:jc w:val="both"/>
      </w:pPr>
      <w:r>
        <w:rPr>
          <w:rFonts w:ascii="Times New Roman" w:cs="Times New Roman" w:eastAsia="Times New Roman" w:hAnsi="Times New Roman"/>
          <w:sz w:val="24"/>
          <w:szCs w:val="24"/>
        </w:rPr>
        <w:t xml:space="preserve">The reason these superficially diverse sectors can be treated as a single discipline becomes transparent when viewed through a control-theoretic lens. Every water system, regardless of sector, can be decomposed into the same canonical elements: (i) a plant (the physical hydraulic process—open channels governed by the Saint-Venant equations, pressurised pipe networks governed by junction continuity and pipe head-loss relations, or reservoir storage governed by mass balance); (ii) actuators (gates, pumps, valves, turbines—the devices through which control actions are imposed on the plant); (iii) sensors (water-level gauges, flow meters, pressure transducers, water-quality probes—providing the observations that close the feedback loop); (iv) disturbances (rainfall, upstream inflow, demand fluctuations, equipment failures, ice formation—exogenous inputs that the controller must reject or accommodate); (v) constraints (safety water levels, minimum ecological flows, maximum gate speeds, energy budgets, navigation clearance depths—hard boundaries that any feasible control action must respect); and (vi) objective functions (water-level set-point tracking, flow regulation, energy minimisation, pollution load reduction, navigation throughput maximisation—the performance criteria that the controller optimises). Once a water system is expressed in this canonical form—plant, actuator, sensor, disturbance, constraint, objective—the mathematical structure of the control problem is identical across sectors: state estimation under partial observability, constrained optimisation over a receding horizon, stability and robustness under model uncertainty and time delay, and hierarchical coordination when multiple subsystems are coupled. It is this structural isomorphism, not surface similarity, that justifies a unified discipline and explains why methodologies proven in one sector (e.g., canal MPC from irrigation) can be transferred to another (e.g., urban drainage real-time control) with adaptation of parameters but not of theoretical framework (Åström and Murray, 2021; Rawlings et al., 2020).</w:t>
      </w:r>
    </w:p>
    <w:p>
      <w:pPr>
        <w:spacing w:line="480" w:before="200" w:after="100"/>
      </w:pPr>
      <w:r>
        <w:rPr>
          <w:rFonts w:ascii="Times New Roman" w:cs="Times New Roman" w:eastAsia="Times New Roman" w:hAnsi="Times New Roman"/>
          <w:b/>
          <w:bCs/>
          <w:i/>
          <w:iCs/>
          <w:sz w:val="24"/>
          <w:szCs w:val="24"/>
        </w:rPr>
        <w:t xml:space="preserve">2.2 From centennial perspective: the enduring core contradiction</w:t>
      </w:r>
    </w:p>
    <w:p>
      <w:pPr>
        <w:spacing w:line="480" w:after="0" w:before="0"/>
        <w:ind w:firstLine="720"/>
        <w:jc w:val="both"/>
      </w:pPr>
      <w:r>
        <w:rPr>
          <w:rFonts w:ascii="Times New Roman" w:cs="Times New Roman" w:eastAsia="Times New Roman" w:hAnsi="Times New Roman"/>
          <w:sz w:val="24"/>
          <w:szCs w:val="24"/>
        </w:rPr>
        <w:t xml:space="preserve">From a centennial vantage, the central contradiction of water systems has remained constant: spatiotemporal mismatch between supply and demand, increasing frequency of extreme events, escalating system complexity, and multiplying governance stakeholders (Wang et al., 2023; Milly et al., 2008; Montanari et al., 2013). The smart water system of the future is not an IT overlay on existing workflows; rather, it is the formation of a sustainably evolving </w:t>
      </w:r>
      <w:r>
        <w:rPr>
          <w:rFonts w:ascii="Times New Roman" w:cs="Times New Roman" w:eastAsia="Times New Roman" w:hAnsi="Times New Roman"/>
          <w:i/>
          <w:iCs/>
          <w:sz w:val="24"/>
          <w:szCs w:val="24"/>
        </w:rPr>
        <w:t xml:space="preserve">water network autonomy capability</w:t>
      </w:r>
      <w:r>
        <w:rPr>
          <w:rFonts w:ascii="Times New Roman" w:cs="Times New Roman" w:eastAsia="Times New Roman" w:hAnsi="Times New Roman"/>
          <w:sz w:val="24"/>
          <w:szCs w:val="24"/>
        </w:rPr>
        <w:t xml:space="preserve"> that closes the sense–estimate–predict–decide–execute–evaluate loop within well-defined operational boundaries.</w:t>
      </w:r>
    </w:p>
    <w:p>
      <w:pPr>
        <w:spacing w:line="480" w:before="240" w:after="120"/>
      </w:pPr>
      <w:r>
        <w:rPr>
          <w:rFonts w:ascii="Times New Roman" w:cs="Times New Roman" w:eastAsia="Times New Roman" w:hAnsi="Times New Roman"/>
          <w:b/>
          <w:bCs/>
          <w:sz w:val="28"/>
          <w:szCs w:val="28"/>
        </w:rPr>
        <w:t xml:space="preserve">3. Theoretical foundations</w:t>
      </w:r>
    </w:p>
    <w:p>
      <w:pPr>
        <w:spacing w:line="480" w:before="200" w:after="100"/>
      </w:pPr>
      <w:r>
        <w:rPr>
          <w:rFonts w:ascii="Times New Roman" w:cs="Times New Roman" w:eastAsia="Times New Roman" w:hAnsi="Times New Roman"/>
          <w:b/>
          <w:bCs/>
          <w:i/>
          <w:iCs/>
          <w:sz w:val="24"/>
          <w:szCs w:val="24"/>
        </w:rPr>
        <w:t xml:space="preserve">3.1 Wang’s dual water cycle theory as cognitive foundation</w:t>
      </w:r>
    </w:p>
    <w:p>
      <w:pPr>
        <w:spacing w:line="480" w:after="0" w:before="0"/>
        <w:ind w:firstLine="720"/>
        <w:jc w:val="both"/>
      </w:pPr>
      <w:r>
        <w:rPr>
          <w:rFonts w:ascii="Times New Roman" w:cs="Times New Roman" w:eastAsia="Times New Roman" w:hAnsi="Times New Roman"/>
          <w:sz w:val="24"/>
          <w:szCs w:val="24"/>
        </w:rPr>
        <w:t xml:space="preserve">Wang’s natural–social dual water cycle theory reveals that water systems simultaneously possess pronounced physical-system characteristics (natural hydrological processes and their ecological, chemical, and sediment co-processes) and social-system characteristics (human activity, engineering regulation, institutional arrangements, and behavioural influences on the water cycle) (Wang et al., 2023; Wang et al., 2014). This duality provides the foundational cognitive framework for understanding </w:t>
      </w:r>
      <w:r>
        <w:rPr>
          <w:rFonts w:ascii="Times New Roman" w:cs="Times New Roman" w:eastAsia="Times New Roman" w:hAnsi="Times New Roman"/>
          <w:i/>
          <w:iCs/>
          <w:sz w:val="24"/>
          <w:szCs w:val="24"/>
        </w:rPr>
        <w:t xml:space="preserve">why water problems are complex</w:t>
      </w:r>
      <w:r>
        <w:rPr>
          <w:rFonts w:ascii="Times New Roman" w:cs="Times New Roman" w:eastAsia="Times New Roman" w:hAnsi="Times New Roman"/>
          <w:sz w:val="24"/>
          <w:szCs w:val="24"/>
        </w:rPr>
        <w:t xml:space="preserve">. We build on this framework by asking the follow-up question: </w:t>
      </w:r>
      <w:r>
        <w:rPr>
          <w:rFonts w:ascii="Times New Roman" w:cs="Times New Roman" w:eastAsia="Times New Roman" w:hAnsi="Times New Roman"/>
          <w:i/>
          <w:iCs/>
          <w:sz w:val="24"/>
          <w:szCs w:val="24"/>
        </w:rPr>
        <w:t xml:space="preserve">how do we regulate this coupled system?</w:t>
      </w:r>
    </w:p>
    <w:p>
      <w:pPr>
        <w:spacing w:line="480" w:before="200" w:after="100"/>
      </w:pPr>
      <w:r>
        <w:rPr>
          <w:rFonts w:ascii="Times New Roman" w:cs="Times New Roman" w:eastAsia="Times New Roman" w:hAnsi="Times New Roman"/>
          <w:b/>
          <w:bCs/>
          <w:i/>
          <w:iCs/>
          <w:sz w:val="24"/>
          <w:szCs w:val="24"/>
        </w:rPr>
        <w:t xml:space="preserve">3.2 Cybernetics of Hydro Systems: a unified language</w:t>
      </w:r>
    </w:p>
    <w:p>
      <w:pPr>
        <w:spacing w:line="480" w:after="0" w:before="0"/>
        <w:ind w:firstLine="720"/>
        <w:jc w:val="both"/>
      </w:pPr>
      <w:r>
        <w:rPr>
          <w:rFonts w:ascii="Times New Roman" w:cs="Times New Roman" w:eastAsia="Times New Roman" w:hAnsi="Times New Roman"/>
          <w:sz w:val="24"/>
          <w:szCs w:val="24"/>
        </w:rPr>
        <w:t xml:space="preserve">Cybernetics of Hydro Systems is proposed as the theoretical core of the smart water systems discipline (Lei et al., 2025a). It provides a language independent of specific platforms, data modalities, and algorithmic paradigms for characterising the state, constraints, objectives, and closed-loop causality of water networks as complex engineered systems. Because the problem structure—</w:t>
      </w:r>
      <w:r>
        <w:rPr>
          <w:rFonts w:ascii="Times New Roman" w:cs="Times New Roman" w:eastAsia="Times New Roman" w:hAnsi="Times New Roman"/>
          <w:i/>
          <w:iCs/>
          <w:sz w:val="24"/>
          <w:szCs w:val="24"/>
        </w:rPr>
        <w:t xml:space="preserve">dynamical object + observability/controllability + uncertainty propagation + constrained closed-loop stability and safety</w:t>
      </w:r>
      <w:r>
        <w:rPr>
          <w:rFonts w:ascii="Times New Roman" w:cs="Times New Roman" w:eastAsia="Times New Roman" w:hAnsi="Times New Roman"/>
          <w:sz w:val="24"/>
          <w:szCs w:val="24"/>
        </w:rPr>
        <w:t xml:space="preserve">—exhibits long-term stability, grounding the discipline in cybernetics facilitates knowledge accumulation, transfer, and verification (Åström and Murray, 2021).</w:t>
      </w:r>
    </w:p>
    <w:p>
      <w:pPr>
        <w:spacing w:line="480" w:after="0" w:before="0"/>
        <w:ind w:firstLine="720"/>
        <w:jc w:val="both"/>
      </w:pPr>
      <w:r>
        <w:rPr>
          <w:rFonts w:ascii="Times New Roman" w:cs="Times New Roman" w:eastAsia="Times New Roman" w:hAnsi="Times New Roman"/>
          <w:sz w:val="24"/>
          <w:szCs w:val="24"/>
        </w:rPr>
        <w:t xml:space="preserve">The foundational principles are organised into four categories (the first three belong to classical control and systems theory; the fourth to complex systems and network science):</w:t>
      </w:r>
    </w:p>
    <w:p>
      <w:pPr>
        <w:spacing w:line="480" w:after="0" w:before="0"/>
        <w:ind w:firstLine="72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Feedback and closed-loop stability.</w:t>
      </w:r>
      <w:r>
        <w:rPr>
          <w:rFonts w:ascii="Times New Roman" w:cs="Times New Roman" w:eastAsia="Times New Roman" w:hAnsi="Times New Roman"/>
          <w:sz w:val="24"/>
          <w:szCs w:val="24"/>
        </w:rPr>
        <w:t xml:space="preserve"> The core objective of feedback control is to maintain system stability and constraint satisfaction under disturbance, modelling error, and time delay. Stability criteria and robustness metrics enable autonomous decisions to be embedded within provably safe boundaries (Åström and Murray, 2021; Skogestad and Postlethwaite, 2005).</w:t>
      </w:r>
    </w:p>
    <w:p>
      <w:pPr>
        <w:spacing w:line="480" w:after="0" w:before="0"/>
        <w:ind w:firstLine="72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Coupled modelling and (relative) decoupling.</w:t>
      </w:r>
      <w:r>
        <w:rPr>
          <w:rFonts w:ascii="Times New Roman" w:cs="Times New Roman" w:eastAsia="Times New Roman" w:hAnsi="Times New Roman"/>
          <w:sz w:val="24"/>
          <w:szCs w:val="24"/>
        </w:rPr>
        <w:t xml:space="preserve"> Water network operation exhibits spatial coupling (upstream–downstream, trunk–branch interconnection), multi-physics coupling (water quantity–energy–water quality/ecology), and multi-timescale coupling (minute-level gate control, hourly dispatch, seasonal allocation). Decoupling is not the elimination of coupling but its structured decomposition under acceptable error bounds—through variable grouping, hierarchical coordination, distributed optimisation, and interface contracts—to reduce complexity and enhance controllability (Scattolini, 2009; Negenborn et al., 2009; Maestre and Negenborn, 2014).</w:t>
      </w:r>
    </w:p>
    <w:p>
      <w:pPr>
        <w:spacing w:line="480" w:after="0" w:before="0"/>
        <w:ind w:firstLine="72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Model reduction, aggregation, and computability.</w:t>
      </w:r>
      <w:r>
        <w:rPr>
          <w:rFonts w:ascii="Times New Roman" w:cs="Times New Roman" w:eastAsia="Times New Roman" w:hAnsi="Times New Roman"/>
          <w:sz w:val="24"/>
          <w:szCs w:val="24"/>
        </w:rPr>
        <w:t xml:space="preserve"> Real-time optimisation and control of large-scale water networks are constrained by computational resources and data quality. Model reduction preserves key input–output relationships and constraint features while lowering dimensionality, enabling online estimation and optimisation; its effectiveness must be validated through error bounds, frequency/time-domain consistency checks, or scenario-based comparison (Antoulas, 2005; Litrico and Fromion, 2009).</w:t>
      </w:r>
    </w:p>
    <w:p>
      <w:pPr>
        <w:spacing w:line="480" w:after="0" w:before="0"/>
        <w:ind w:firstLine="72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Emergent behaviour and systemic risk.</w:t>
      </w:r>
      <w:r>
        <w:rPr>
          <w:rFonts w:ascii="Times New Roman" w:cs="Times New Roman" w:eastAsia="Times New Roman" w:hAnsi="Times New Roman"/>
          <w:sz w:val="24"/>
          <w:szCs w:val="24"/>
        </w:rPr>
        <w:t xml:space="preserve"> When many subsystems and agents couple through networks, macroscopic behaviours that are not deducible from individual components may arise—cascading failure, synchronous oscillation, strategy-coupling amplification. These phenomena are not control principles per se but significantly affect closed-loop safety and resilience; modelling and verification must therefore incorporate network structure analysis, fault injection, scenario coverage, and resilience metrics, translating them into auditable operational constraints and degradation/take-over strategies (Barabási, 2016; Zio, 2018; Diao et al., 2016).</w:t>
      </w:r>
    </w:p>
    <w:p>
      <w:pPr>
        <w:spacing w:line="480" w:before="200" w:after="100"/>
      </w:pPr>
      <w:r>
        <w:rPr>
          <w:rFonts w:ascii="Times New Roman" w:cs="Times New Roman" w:eastAsia="Times New Roman" w:hAnsi="Times New Roman"/>
          <w:b/>
          <w:bCs/>
          <w:i/>
          <w:iCs/>
          <w:sz w:val="24"/>
          <w:szCs w:val="24"/>
        </w:rPr>
        <w:t xml:space="preserve">3.3 Cognitive intelligence and physical intelligence</w:t>
      </w:r>
    </w:p>
    <w:p>
      <w:pPr>
        <w:spacing w:line="480" w:after="0" w:before="0"/>
        <w:ind w:firstLine="720"/>
        <w:jc w:val="both"/>
      </w:pPr>
      <w:r>
        <w:rPr>
          <w:rFonts w:ascii="Times New Roman" w:cs="Times New Roman" w:eastAsia="Times New Roman" w:hAnsi="Times New Roman"/>
          <w:sz w:val="24"/>
          <w:szCs w:val="24"/>
        </w:rPr>
        <w:t xml:space="preserve">If we decompose the intelligent capability of smart water systems into two categories—</w:t>
      </w:r>
      <w:r>
        <w:rPr>
          <w:rFonts w:ascii="Times New Roman" w:cs="Times New Roman" w:eastAsia="Times New Roman" w:hAnsi="Times New Roman"/>
          <w:i/>
          <w:iCs/>
          <w:sz w:val="24"/>
          <w:szCs w:val="24"/>
        </w:rPr>
        <w:t xml:space="preserve">cognitive intelligence</w:t>
      </w:r>
      <w:r>
        <w:rPr>
          <w:rFonts w:ascii="Times New Roman" w:cs="Times New Roman" w:eastAsia="Times New Roman" w:hAnsi="Times New Roman"/>
          <w:sz w:val="24"/>
          <w:szCs w:val="24"/>
        </w:rPr>
        <w:t xml:space="preserve"> (understanding context, generating objectives, reasoning, and planning: the what/why/how layer) and </w:t>
      </w:r>
      <w:r>
        <w:rPr>
          <w:rFonts w:ascii="Times New Roman" w:cs="Times New Roman" w:eastAsia="Times New Roman" w:hAnsi="Times New Roman"/>
          <w:i/>
          <w:iCs/>
          <w:sz w:val="24"/>
          <w:szCs w:val="24"/>
        </w:rPr>
        <w:t xml:space="preserve">physical intelligence</w:t>
      </w:r>
      <w:r>
        <w:rPr>
          <w:rFonts w:ascii="Times New Roman" w:cs="Times New Roman" w:eastAsia="Times New Roman" w:hAnsi="Times New Roman"/>
          <w:sz w:val="24"/>
          <w:szCs w:val="24"/>
        </w:rPr>
        <w:t xml:space="preserve"> (translating strategies into safe, robust, accountable closed-loop execution in the real world: the how-to-act layer)—then “water-network AGI” is not open-domain general intelligence but bounded-domain general capability—the synergy of cognitive and physical intelligence across the full operational envelope of water networks (Silver et al., 2021; Brunton and Kutz, 2022). Cognitive intelligence proposes interpretable dispatch intentions and candidate strategies; physical intelligence ensures that, under uncertainty, time delay, strong constraints, and multiple timescales, strategies can be executed and do not violate boundaries.</w:t>
      </w:r>
    </w:p>
    <w:p>
      <w:pPr>
        <w:spacing w:line="480" w:after="0" w:before="0"/>
        <w:ind w:firstLine="720"/>
        <w:jc w:val="both"/>
      </w:pPr>
      <w:r>
        <w:rPr>
          <w:rFonts w:ascii="Times New Roman" w:cs="Times New Roman" w:eastAsia="Times New Roman" w:hAnsi="Times New Roman"/>
          <w:sz w:val="24"/>
          <w:szCs w:val="24"/>
        </w:rPr>
        <w:t xml:space="preserve">Within this framing, Cybernetics of Hydro Systems is the </w:t>
      </w:r>
      <w:r>
        <w:rPr>
          <w:rFonts w:ascii="Times New Roman" w:cs="Times New Roman" w:eastAsia="Times New Roman" w:hAnsi="Times New Roman"/>
          <w:i/>
          <w:iCs/>
          <w:sz w:val="24"/>
          <w:szCs w:val="24"/>
        </w:rPr>
        <w:t xml:space="preserve">first-principles foundation of water-network physical intelligence</w:t>
      </w:r>
      <w:r>
        <w:rPr>
          <w:rFonts w:ascii="Times New Roman" w:cs="Times New Roman" w:eastAsia="Times New Roman" w:hAnsi="Times New Roman"/>
          <w:sz w:val="24"/>
          <w:szCs w:val="24"/>
        </w:rPr>
        <w:t xml:space="preserve">: it determines how “intelligence” couples with dynamical objects, how closed-loop operation proceeds under constraints, how risk and stability are quantified, and how degradation and take-over are triggered upon failure (Rawlings et al., 2020; Borrelli et al., 2017).</w:t>
      </w:r>
    </w:p>
    <w:p>
      <w:pPr>
        <w:spacing w:line="480" w:before="200" w:after="100"/>
      </w:pPr>
      <w:r>
        <w:rPr>
          <w:rFonts w:ascii="Times New Roman" w:cs="Times New Roman" w:eastAsia="Times New Roman" w:hAnsi="Times New Roman"/>
          <w:b/>
          <w:bCs/>
          <w:i/>
          <w:iCs/>
          <w:sz w:val="24"/>
          <w:szCs w:val="24"/>
        </w:rPr>
        <w:t xml:space="preserve">3.4 CPSS perspective: organising the system boundary</w:t>
      </w:r>
    </w:p>
    <w:p>
      <w:pPr>
        <w:spacing w:line="480" w:after="0" w:before="0"/>
        <w:ind w:firstLine="720"/>
        <w:jc w:val="both"/>
      </w:pPr>
      <w:r>
        <w:rPr>
          <w:rFonts w:ascii="Times New Roman" w:cs="Times New Roman" w:eastAsia="Times New Roman" w:hAnsi="Times New Roman"/>
          <w:sz w:val="24"/>
          <w:szCs w:val="24"/>
        </w:rPr>
        <w:t xml:space="preserve">We adopt the Cyber–Physical–Social Systems (CPSS) perspective (Zhang et al., 2018; Wang, 2010) to organise the “water-network AGI” system boundary. A water network is not merely a physical hydraulic system (rivers, lakes, reservoirs, channels, gates, pumps, and ecological processes) but also an information system (sensing, communication, computation, models, software) and a social system (regulations, governance structures, stakeholder interests, and behavioural rules). Cognitive intelligence interfaces primarily with the social system: it formalises policy objectives, dispatch protocols, authority boundaries, and experiential knowledge into computable, auditable “governance intent/constraints” and generates interpretable plans under multi-stakeholder bargaining and uncertainty. Physical intelligence interfaces primarily with the information and physical systems: it translates strategies into verifiable control sequences under incomplete observation, model bias, time delay, and strong constraints, executing them in closed loop with well-defined operational boundaries and take-over conditions.</w:t>
      </w:r>
    </w:p>
    <w:p>
      <w:pPr>
        <w:spacing w:line="480" w:before="240" w:after="120"/>
      </w:pPr>
      <w:r>
        <w:rPr>
          <w:rFonts w:ascii="Times New Roman" w:cs="Times New Roman" w:eastAsia="Times New Roman" w:hAnsi="Times New Roman"/>
          <w:b/>
          <w:bCs/>
          <w:sz w:val="28"/>
          <w:szCs w:val="28"/>
        </w:rPr>
        <w:t xml:space="preserve">4. Autonomous HydroSystem (AHS): capability framework</w:t>
      </w:r>
    </w:p>
    <w:p>
      <w:pPr>
        <w:spacing w:line="480" w:after="0" w:before="0"/>
        <w:ind w:firstLine="720"/>
        <w:jc w:val="both"/>
      </w:pPr>
      <w:r>
        <w:rPr>
          <w:rFonts w:ascii="Times New Roman" w:cs="Times New Roman" w:eastAsia="Times New Roman" w:hAnsi="Times New Roman"/>
          <w:sz w:val="24"/>
          <w:szCs w:val="24"/>
        </w:rPr>
        <w:t xml:space="preserve">“Autonomous operation” is neither simple automation nor unmanned control. It is a capability ensemble comprising: (i) </w:t>
      </w:r>
      <w:r>
        <w:rPr>
          <w:rFonts w:ascii="Times New Roman" w:cs="Times New Roman" w:eastAsia="Times New Roman" w:hAnsi="Times New Roman"/>
          <w:i/>
          <w:iCs/>
          <w:sz w:val="24"/>
          <w:szCs w:val="24"/>
        </w:rPr>
        <w:t xml:space="preserve">autonomous closed loop</w:t>
      </w:r>
      <w:r>
        <w:rPr>
          <w:rFonts w:ascii="Times New Roman" w:cs="Times New Roman" w:eastAsia="Times New Roman" w:hAnsi="Times New Roman"/>
          <w:sz w:val="24"/>
          <w:szCs w:val="24"/>
        </w:rPr>
        <w:t xml:space="preserve">—under explicit objectives and constraints, the system continuously generates and executes control strategies; (ii) </w:t>
      </w:r>
      <w:r>
        <w:rPr>
          <w:rFonts w:ascii="Times New Roman" w:cs="Times New Roman" w:eastAsia="Times New Roman" w:hAnsi="Times New Roman"/>
          <w:i/>
          <w:iCs/>
          <w:sz w:val="24"/>
          <w:szCs w:val="24"/>
        </w:rPr>
        <w:t xml:space="preserve">interpretability and accountability</w:t>
      </w:r>
      <w:r>
        <w:rPr>
          <w:rFonts w:ascii="Times New Roman" w:cs="Times New Roman" w:eastAsia="Times New Roman" w:hAnsi="Times New Roman"/>
          <w:sz w:val="24"/>
          <w:szCs w:val="24"/>
        </w:rPr>
        <w:t xml:space="preserve">—critical decisions are backed by an auditable evidence chain (models, data, assumptions, versions); (iii) </w:t>
      </w:r>
      <w:r>
        <w:rPr>
          <w:rFonts w:ascii="Times New Roman" w:cs="Times New Roman" w:eastAsia="Times New Roman" w:hAnsi="Times New Roman"/>
          <w:i/>
          <w:iCs/>
          <w:sz w:val="24"/>
          <w:szCs w:val="24"/>
        </w:rPr>
        <w:t xml:space="preserve">resilience and degradation</w:t>
      </w:r>
      <w:r>
        <w:rPr>
          <w:rFonts w:ascii="Times New Roman" w:cs="Times New Roman" w:eastAsia="Times New Roman" w:hAnsi="Times New Roman"/>
          <w:sz w:val="24"/>
          <w:szCs w:val="24"/>
        </w:rPr>
        <w:t xml:space="preserve">—the system maintains safe controllability under sensor failure, communication interruption, or extreme events and degrades gracefully; (iv) </w:t>
      </w:r>
      <w:r>
        <w:rPr>
          <w:rFonts w:ascii="Times New Roman" w:cs="Times New Roman" w:eastAsia="Times New Roman" w:hAnsi="Times New Roman"/>
          <w:i/>
          <w:iCs/>
          <w:sz w:val="24"/>
          <w:szCs w:val="24"/>
        </w:rPr>
        <w:t xml:space="preserve">human–machine co-governance</w:t>
      </w:r>
      <w:r>
        <w:rPr>
          <w:rFonts w:ascii="Times New Roman" w:cs="Times New Roman" w:eastAsia="Times New Roman" w:hAnsi="Times New Roman"/>
          <w:sz w:val="24"/>
          <w:szCs w:val="24"/>
        </w:rPr>
        <w:t xml:space="preserve">—humans serve as strategy constrainers and supervisors, not as manual-loop executors (Lei et al., 2025b).</w:t>
      </w:r>
    </w:p>
    <w:p>
      <w:pPr>
        <w:spacing w:line="480" w:before="200" w:after="100"/>
      </w:pPr>
      <w:r>
        <w:rPr>
          <w:rFonts w:ascii="Times New Roman" w:cs="Times New Roman" w:eastAsia="Times New Roman" w:hAnsi="Times New Roman"/>
          <w:b/>
          <w:bCs/>
          <w:i/>
          <w:iCs/>
          <w:sz w:val="24"/>
          <w:szCs w:val="24"/>
        </w:rPr>
        <w:t xml:space="preserve">4.1 Water System Autonomy Level (WSAL)</w:t>
      </w:r>
    </w:p>
    <w:p>
      <w:pPr>
        <w:spacing w:line="480" w:after="0" w:before="0"/>
        <w:ind w:firstLine="720"/>
        <w:jc w:val="both"/>
      </w:pPr>
      <w:r>
        <w:rPr>
          <w:rFonts w:ascii="Times New Roman" w:cs="Times New Roman" w:eastAsia="Times New Roman" w:hAnsi="Times New Roman"/>
          <w:sz w:val="24"/>
          <w:szCs w:val="24"/>
        </w:rPr>
        <w:t xml:space="preserve">Paralleling the SAE J3016 taxonomy for on-road driving automation (SAE International, 2021), we propose a five-level Water System Autonomy Level (WSAL) framework organised along three axes: </w:t>
      </w:r>
      <w:r>
        <w:rPr>
          <w:rFonts w:ascii="Times New Roman" w:cs="Times New Roman" w:eastAsia="Times New Roman" w:hAnsi="Times New Roman"/>
          <w:i/>
          <w:iCs/>
          <w:sz w:val="24"/>
          <w:szCs w:val="24"/>
        </w:rPr>
        <w:t xml:space="preserve">control-loop responsibility attribution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ODD clarity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verification evidence-chain completeness</w:t>
      </w:r>
      <w:r>
        <w:rPr>
          <w:rFonts w:ascii="Times New Roman" w:cs="Times New Roman" w:eastAsia="Times New Roman" w:hAnsi="Times New Roman"/>
          <w:sz w:val="24"/>
          <w:szCs w:val="24"/>
        </w:rPr>
        <w:t xml:space="preserve"> (Table 2).</w:t>
      </w:r>
    </w:p>
    <w:p>
      <w:pPr>
        <w:spacing w:line="480"/>
      </w:pPr>
      <w:r>
        <w:rPr>
          <w:rFonts w:ascii="Times New Roman" w:cs="Times New Roman" w:eastAsia="Times New Roman" w:hAnsi="Times New Roman"/>
          <w:sz w:val="24"/>
          <w:szCs w:val="24"/>
        </w:rPr>
        <w:t xml:space="preserve"/>
      </w:r>
    </w:p>
    <w:p>
      <w:pPr>
        <w:spacing w:line="480" w:after="0" w:before="0"/>
        <w:ind/>
        <w:jc w:val="both"/>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Proposed WSAL grading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6860"/>
      </w:tblGrid>
      <w:tr>
        <w:tc>
          <w:tcPr>
            <w:tcW w:type="dxa" w:w="700"/>
            <w:tcBorders>
              <w:top w:val="single" w:color="000000" w:sz="1"/>
              <w:left w:val="none" w:color="FFFFFF" w:sz="0"/>
              <w:bottom w:val="single" w:color="000000" w:sz="1"/>
              <w:right w:val="none" w:color="FFFFFF" w:sz="0"/>
            </w:tcBorders>
            <w:tcMar>
              <w:top w:type="dxa" w:w="40"/>
              <w:left w:type="dxa" w:w="80"/>
              <w:bottom w:type="dxa" w:w="40"/>
              <w:right w:type="dxa" w:w="80"/>
            </w:tcMar>
          </w:tcPr>
          <w:p>
            <w:pPr>
              <w:spacing w:line="360"/>
              <w:jc w:val="center"/>
            </w:pPr>
            <w:r>
              <w:rPr>
                <w:rFonts w:ascii="Times New Roman" w:cs="Times New Roman" w:eastAsia="Times New Roman" w:hAnsi="Times New Roman"/>
                <w:b/>
                <w:bCs/>
                <w:sz w:val="20"/>
                <w:szCs w:val="20"/>
              </w:rPr>
              <w:t xml:space="preserve">Level</w:t>
            </w:r>
          </w:p>
        </w:tc>
        <w:tc>
          <w:tcPr>
            <w:tcW w:type="dxa" w:w="1800"/>
            <w:tcBorders>
              <w:top w:val="single" w:color="000000" w:sz="1"/>
              <w:left w:val="none" w:color="FFFFFF" w:sz="0"/>
              <w:bottom w:val="single" w:color="000000" w:sz="1"/>
              <w:right w:val="none" w:color="FFFFFF" w:sz="0"/>
            </w:tcBorders>
            <w:tcMar>
              <w:top w:type="dxa" w:w="40"/>
              <w:left w:type="dxa" w:w="80"/>
              <w:bottom w:type="dxa" w:w="40"/>
              <w:right w:type="dxa" w:w="80"/>
            </w:tcMar>
          </w:tcPr>
          <w:p>
            <w:pPr>
              <w:spacing w:line="360"/>
              <w:jc w:val="center"/>
            </w:pPr>
            <w:r>
              <w:rPr>
                <w:rFonts w:ascii="Times New Roman" w:cs="Times New Roman" w:eastAsia="Times New Roman" w:hAnsi="Times New Roman"/>
                <w:b/>
                <w:bCs/>
                <w:sz w:val="20"/>
                <w:szCs w:val="20"/>
              </w:rPr>
              <w:t xml:space="preserve">Designation</w:t>
            </w:r>
          </w:p>
        </w:tc>
        <w:tc>
          <w:tcPr>
            <w:tcW w:type="dxa" w:w="6860"/>
            <w:tcBorders>
              <w:top w:val="single" w:color="000000" w:sz="1"/>
              <w:left w:val="none" w:color="FFFFFF" w:sz="0"/>
              <w:bottom w:val="single" w:color="000000" w:sz="1"/>
              <w:right w:val="none" w:color="FFFFFF" w:sz="0"/>
            </w:tcBorders>
            <w:tcMar>
              <w:top w:type="dxa" w:w="40"/>
              <w:left w:type="dxa" w:w="80"/>
              <w:bottom w:type="dxa" w:w="40"/>
              <w:right w:type="dxa" w:w="80"/>
            </w:tcMar>
          </w:tcPr>
          <w:p>
            <w:pPr>
              <w:spacing w:line="360"/>
              <w:jc w:val="center"/>
            </w:pPr>
            <w:r>
              <w:rPr>
                <w:rFonts w:ascii="Times New Roman" w:cs="Times New Roman" w:eastAsia="Times New Roman" w:hAnsi="Times New Roman"/>
                <w:b/>
                <w:bCs/>
                <w:sz w:val="20"/>
                <w:szCs w:val="20"/>
              </w:rPr>
              <w:t xml:space="preserve">Characterisation</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L0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Manual dispatch</w:t>
            </w:r>
          </w:p>
        </w:tc>
        <w:tc>
          <w:tcPr>
            <w:tcW w:type="dxa" w:w="6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Human experience and rules dominate; system provides data display and alerts</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L1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Assisted decision</w:t>
            </w:r>
          </w:p>
        </w:tc>
        <w:tc>
          <w:tcPr>
            <w:tcW w:type="dxa" w:w="6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System outputs advisory plans and risk prompts; human approves and executes key actions</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L2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Semi-autonomous</w:t>
            </w:r>
          </w:p>
        </w:tc>
        <w:tc>
          <w:tcPr>
            <w:tcW w:type="dxa" w:w="6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Within limited ODD, system executes partial control/dispatch actions; human continuously supervises</w:t>
            </w:r>
          </w:p>
        </w:tc>
      </w:tr>
      <w:tr>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L3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Conditional autonomy</w:t>
            </w:r>
          </w:p>
        </w:tc>
        <w:tc>
          <w:tcPr>
            <w:tcW w:type="dxa" w:w="6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Within explicit ODD and take-over conditions, system completes full closed-loop operation; system may trigger take-over request with auditable evidence</w:t>
            </w:r>
          </w:p>
        </w:tc>
      </w:tr>
      <w:tr>
        <w:tc>
          <w:tcPr>
            <w:tcW w:type="dxa" w:w="700"/>
            <w:tcBorders>
              <w:top w:val="none" w:color="FFFFFF" w:sz="0"/>
              <w:left w:val="none" w:color="FFFFFF" w:sz="0"/>
              <w:bottom w:val="single" w:color="000000" w:sz="1"/>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L4</w:t>
            </w:r>
          </w:p>
        </w:tc>
        <w:tc>
          <w:tcPr>
            <w:tcW w:type="dxa" w:w="1800"/>
            <w:tcBorders>
              <w:top w:val="none" w:color="FFFFFF" w:sz="0"/>
              <w:left w:val="none" w:color="FFFFFF" w:sz="0"/>
              <w:bottom w:val="single" w:color="000000" w:sz="1"/>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High autonomy</w:t>
            </w:r>
          </w:p>
        </w:tc>
        <w:tc>
          <w:tcPr>
            <w:tcW w:type="dxa" w:w="6860"/>
            <w:tcBorders>
              <w:top w:val="none" w:color="FFFFFF" w:sz="0"/>
              <w:left w:val="none" w:color="FFFFFF" w:sz="0"/>
              <w:bottom w:val="single" w:color="000000" w:sz="1"/>
              <w:right w:val="none" w:color="FFFFFF" w:sz="0"/>
            </w:tcBorders>
            <w:tcMar>
              <w:top w:type="dxa" w:w="40"/>
              <w:left w:type="dxa" w:w="80"/>
              <w:bottom w:type="dxa" w:w="40"/>
              <w:right w:type="dxa" w:w="80"/>
            </w:tcMar>
          </w:tcPr>
          <w:p>
            <w:pPr>
              <w:spacing w:line="360"/>
              <w:jc w:val="left"/>
            </w:pPr>
            <w:r>
              <w:rPr>
                <w:rFonts w:ascii="Times New Roman" w:cs="Times New Roman" w:eastAsia="Times New Roman" w:hAnsi="Times New Roman"/>
                <w:b w:val="false"/>
                <w:bCs w:val="false"/>
                <w:sz w:val="20"/>
                <w:szCs w:val="20"/>
              </w:rPr>
              <w:t xml:space="preserve">Within well-defined ODD, system achieves routine autonomous operation with self-monitoring and degradation; human mainly audits and oversees</w:t>
            </w:r>
          </w:p>
        </w:tc>
      </w:tr>
    </w:tbl>
    <w:p>
      <w:pPr>
        <w:spacing w:line="480"/>
      </w:pPr>
      <w:r>
        <w:rPr>
          <w:rFonts w:ascii="Times New Roman" w:cs="Times New Roman" w:eastAsia="Times New Roman" w:hAnsi="Times New Roman"/>
          <w:sz w:val="24"/>
          <w:szCs w:val="24"/>
        </w:rPr>
        <w:t xml:space="preserve"/>
      </w:r>
    </w:p>
    <w:p>
      <w:pPr>
        <w:spacing w:line="480" w:after="0" w:before="0"/>
        <w:ind w:firstLine="720"/>
        <w:jc w:val="both"/>
      </w:pPr>
      <w:r>
        <w:rPr>
          <w:rFonts w:ascii="Times New Roman" w:cs="Times New Roman" w:eastAsia="Times New Roman" w:hAnsi="Times New Roman"/>
          <w:sz w:val="24"/>
          <w:szCs w:val="24"/>
        </w:rPr>
        <w:t xml:space="preserve">Each level is tied to SIL/HIL test requirements, scenario-library coverage, fault-injection protocols, and resilience metrics, forming a “tiered admission + continuous assessment” evaluation system. This shared yardstick unifies research benchmarks, engineering deployment criteria, and talent-development objectives (Koopman and Wagner, 2019).</w:t>
      </w:r>
    </w:p>
    <w:p>
      <w:pPr>
        <w:spacing w:line="480" w:before="200" w:after="100"/>
      </w:pPr>
      <w:r>
        <w:rPr>
          <w:rFonts w:ascii="Times New Roman" w:cs="Times New Roman" w:eastAsia="Times New Roman" w:hAnsi="Times New Roman"/>
          <w:b/>
          <w:bCs/>
          <w:i/>
          <w:iCs/>
          <w:sz w:val="24"/>
          <w:szCs w:val="24"/>
        </w:rPr>
        <w:t xml:space="preserve">4.2 Operational Design Domain (ODD)</w:t>
      </w:r>
    </w:p>
    <w:p>
      <w:pPr>
        <w:spacing w:line="480" w:after="0" w:before="0"/>
        <w:ind w:firstLine="720"/>
        <w:jc w:val="both"/>
      </w:pPr>
      <w:r>
        <w:rPr>
          <w:rFonts w:ascii="Times New Roman" w:cs="Times New Roman" w:eastAsia="Times New Roman" w:hAnsi="Times New Roman"/>
          <w:sz w:val="24"/>
          <w:szCs w:val="24"/>
        </w:rPr>
        <w:t xml:space="preserve">The Operational Design Domain specifies the operating conditions and boundaries within which an autonomous system is permitted to make autonomous decisions—including spatial extent, hydrological regime, facility status, communication availability, management authority, and take-over conditions (BSI, 2020; Czarnecki, 2018). For smart water systems, ODD translates “can it be autonomous?” into “under what boundary can it be autonomous, and how do we prove autonomy within that boundary?” This provides a unified boundary language for curriculum design, indicator systems, and tiered verification.</w:t>
      </w:r>
    </w:p>
    <w:p>
      <w:pPr>
        <w:spacing w:line="480" w:before="200" w:after="100"/>
      </w:pPr>
      <w:r>
        <w:rPr>
          <w:rFonts w:ascii="Times New Roman" w:cs="Times New Roman" w:eastAsia="Times New Roman" w:hAnsi="Times New Roman"/>
          <w:b/>
          <w:bCs/>
          <w:i/>
          <w:iCs/>
          <w:sz w:val="24"/>
          <w:szCs w:val="24"/>
        </w:rPr>
        <w:t xml:space="preserve">4.3 Illustrative mapping of existing systems</w:t>
      </w:r>
    </w:p>
    <w:p>
      <w:pPr>
        <w:spacing w:line="480" w:after="0" w:before="0"/>
        <w:ind w:firstLine="720"/>
        <w:jc w:val="both"/>
      </w:pPr>
      <w:r>
        <w:rPr>
          <w:rFonts w:ascii="Times New Roman" w:cs="Times New Roman" w:eastAsia="Times New Roman" w:hAnsi="Times New Roman"/>
          <w:sz w:val="24"/>
          <w:szCs w:val="24"/>
        </w:rPr>
        <w:t xml:space="preserve">To anchor the WSAL framework empirically, we map several representative international systems to their approximate autonomy levels (Table 3). Most conventional SCADA-based operations, including the majority of Chinese flood-control reservoir systems and US Bureau of Reclamation canal networks, function at L0–L1: operators receive data displays and advisory alerts but retain full decision authority. The Maricopa–Stanfield Irrigation and Drainage District (MSIDD) canal in Arizona, where real-time MPC was deployed for automated downstream water-level control (van Overloop et al., 2010), represents an early L2 implementation within a narrow ODD (single canal reach, steady-state demand, no ice). The Dutch Maeslantkering storm-surge barrier operates at L2–L3: its decision-support system autonomously triggers closure when storm-surge forecasts exceed thresholds, though human override remains active and the ODD is tightly bounded (single barrier, binary open/close, well-defined trigger criteria). China’s Jiaodong inter-basin transfer project has implemented SCADA with partial hierarchical distributed control for selected canal reaches, placing it at approximately L1–L2 (Lei et al., 2025b). No existing water system, to our knowledge, operates routinely at L3 or above across a full operational envelope. This gap—between current L0–L2 reality and the L3–L4 aspiration—is precisely what the proposed discipline framework is designed to close, through systematic development of the theoretical, verification, and governance infrastructure that higher autonomy levels demand.</w:t>
      </w:r>
    </w:p>
    <w:p>
      <w:pPr>
        <w:spacing w:line="480" w:before="240" w:after="120"/>
      </w:pPr>
      <w:r>
        <w:rPr>
          <w:rFonts w:ascii="Times New Roman" w:cs="Times New Roman" w:eastAsia="Times New Roman" w:hAnsi="Times New Roman"/>
          <w:b/>
          <w:bCs/>
          <w:sz w:val="28"/>
          <w:szCs w:val="28"/>
        </w:rPr>
        <w:t xml:space="preserve">5. Engineering methodology</w:t>
      </w:r>
    </w:p>
    <w:p>
      <w:pPr>
        <w:spacing w:line="480" w:before="200" w:after="100"/>
      </w:pPr>
      <w:r>
        <w:rPr>
          <w:rFonts w:ascii="Times New Roman" w:cs="Times New Roman" w:eastAsia="Times New Roman" w:hAnsi="Times New Roman"/>
          <w:b/>
          <w:bCs/>
          <w:i/>
          <w:iCs/>
          <w:sz w:val="24"/>
          <w:szCs w:val="24"/>
        </w:rPr>
        <w:t xml:space="preserve">5.1 Model-Based Definition and Design for Operation</w:t>
      </w:r>
    </w:p>
    <w:p>
      <w:pPr>
        <w:spacing w:line="480" w:after="0" w:before="0"/>
        <w:ind w:firstLine="720"/>
        <w:jc w:val="both"/>
      </w:pPr>
      <w:r>
        <w:rPr>
          <w:rFonts w:ascii="Times New Roman" w:cs="Times New Roman" w:eastAsia="Times New Roman" w:hAnsi="Times New Roman"/>
          <w:sz w:val="24"/>
          <w:szCs w:val="24"/>
        </w:rPr>
        <w:t xml:space="preserve">Moving toward autonomous operation fundamentally requires forming traceable, composable, and verifiable system models and interface contracts at the design stage. Model-Based Definition (MBD) elevates the model from a design aid to the single authoritative source of engineering definition—geometry, constraints, performance requirements, safety boundaries, and operational rules are all embedded directly in the model, which threads through requirements, design, simulation, implementation, and verification (Walden et al., 2023; Estefan, 2007). For water systems, MBD’s value lies not in introducing a particular tool chain but in structuring hydrodynamic models, dispatch rules/constraints, control interfaces, and safety mechanisms at the design stage, thereby reducing the uncertainty and cost of “patch-based retrofitting” during the operational phase and providing consistent objects and scenarios for in-the-loop testing (Rausand and Høyland, 2004).</w:t>
      </w:r>
    </w:p>
    <w:p>
      <w:pPr>
        <w:spacing w:line="480" w:after="0" w:before="0"/>
        <w:ind w:firstLine="720"/>
        <w:jc w:val="both"/>
      </w:pPr>
      <w:r>
        <w:rPr>
          <w:rFonts w:ascii="Times New Roman" w:cs="Times New Roman" w:eastAsia="Times New Roman" w:hAnsi="Times New Roman"/>
          <w:sz w:val="24"/>
          <w:szCs w:val="24"/>
        </w:rPr>
        <w:t xml:space="preserve">We further introduce the concept of </w:t>
      </w:r>
      <w:r>
        <w:rPr>
          <w:rFonts w:ascii="Times New Roman" w:cs="Times New Roman" w:eastAsia="Times New Roman" w:hAnsi="Times New Roman"/>
          <w:b/>
          <w:bCs/>
          <w:sz w:val="24"/>
          <w:szCs w:val="24"/>
        </w:rPr>
        <w:t xml:space="preserve">Design for Operation (DfO)</w:t>
      </w:r>
      <w:r>
        <w:rPr>
          <w:rFonts w:ascii="Times New Roman" w:cs="Times New Roman" w:eastAsia="Times New Roman" w:hAnsi="Times New Roman"/>
          <w:sz w:val="24"/>
          <w:szCs w:val="24"/>
        </w:rPr>
        <w:t xml:space="preserve">, drawing on parallels with Design for Airworthiness in aerospace (EASA, 2023) and Design for Autonomous Driving in the automotive sector. DfO requires that operational simulation and evaluation be embedded in the planning stage; that observability, controllability, and maintainability become core design constraints; and that the digital twin at commissioning achieves “delivery-ready operation.” In the water domain, DfO bridges upstream design (e.g., HydroBIM) and downstream operation (e.g., HydroOS) through MBD, achieving seamless continuity between design models and operational models across the full asset lifecycle.</w:t>
      </w:r>
    </w:p>
    <w:p>
      <w:pPr>
        <w:spacing w:line="480" w:before="200" w:after="100"/>
      </w:pPr>
      <w:r>
        <w:rPr>
          <w:rFonts w:ascii="Times New Roman" w:cs="Times New Roman" w:eastAsia="Times New Roman" w:hAnsi="Times New Roman"/>
          <w:b/>
          <w:bCs/>
          <w:i/>
          <w:iCs/>
          <w:sz w:val="24"/>
          <w:szCs w:val="24"/>
        </w:rPr>
        <w:t xml:space="preserve">5.2 SIL/HIL verification and scenario-driven testing</w:t>
      </w:r>
    </w:p>
    <w:p>
      <w:pPr>
        <w:spacing w:line="480" w:after="0" w:before="0"/>
        <w:ind w:firstLine="720"/>
        <w:jc w:val="both"/>
      </w:pPr>
      <w:r>
        <w:rPr>
          <w:rFonts w:ascii="Times New Roman" w:cs="Times New Roman" w:eastAsia="Times New Roman" w:hAnsi="Times New Roman"/>
          <w:sz w:val="24"/>
          <w:szCs w:val="24"/>
        </w:rPr>
        <w:t xml:space="preserve">Once autonomous capabilities enter a live network, any failure can propagate across regions and sectors. Smart water systems must therefore establish verification regimes analogous to those in aerospace, automotive, and industrial-control domains (Isermann et al., 1999; Lei et al., 2025c; Stellet et al., 2015):</w:t>
      </w:r>
    </w:p>
    <w:p>
      <w:pPr>
        <w:spacing w:line="480" w:after="0" w:before="0"/>
        <w:ind w:firstLine="720"/>
        <w:jc w:val="both"/>
      </w:pPr>
      <w:r>
        <w:rPr>
          <w:rFonts w:ascii="Times New Roman" w:cs="Times New Roman" w:eastAsia="Times New Roman" w:hAnsi="Times New Roman"/>
          <w:sz w:val="24"/>
          <w:szCs w:val="24"/>
        </w:rPr>
        <w:t xml:space="preserve">(1) Software-in-the-loop (SIL): algorithmic correctness, convergence, and boundary behaviour are verified in a simulation environment. (2) Hardware-in-the-loop (HIL): real-time performance, robustness, and safety mechanisms are verified on physical controllers and communication links. (3) Scenario-driven testing: extreme flood/drought, equipment failure, and adversarial-perturbation scenarios cover the operational boundary. (4) Tiered admission: a graduated pathway from pilot water networks, through demonstration districts, to trunk networks provides staged deployment with continuous assessment (Lei et al., 2025c).</w:t>
      </w:r>
    </w:p>
    <w:p>
      <w:pPr>
        <w:spacing w:line="480" w:after="0" w:before="0"/>
        <w:ind w:firstLine="720"/>
        <w:jc w:val="both"/>
      </w:pPr>
      <w:r>
        <w:rPr>
          <w:rFonts w:ascii="Times New Roman" w:cs="Times New Roman" w:eastAsia="Times New Roman" w:hAnsi="Times New Roman"/>
          <w:sz w:val="24"/>
          <w:szCs w:val="24"/>
        </w:rPr>
        <w:t xml:space="preserve">In this context, digital-twin infrastructure should be reframed as </w:t>
      </w:r>
      <w:r>
        <w:rPr>
          <w:rFonts w:ascii="Times New Roman" w:cs="Times New Roman" w:eastAsia="Times New Roman" w:hAnsi="Times New Roman"/>
          <w:i/>
          <w:iCs/>
          <w:sz w:val="24"/>
          <w:szCs w:val="24"/>
        </w:rPr>
        <w:t xml:space="preserve">testing and verification infrastructure</w:t>
      </w:r>
      <w:r>
        <w:rPr>
          <w:rFonts w:ascii="Times New Roman" w:cs="Times New Roman" w:eastAsia="Times New Roman" w:hAnsi="Times New Roman"/>
          <w:sz w:val="24"/>
          <w:szCs w:val="24"/>
        </w:rPr>
        <w:t xml:space="preserve">: models are used not merely for display but for scenario generation, experiment reproduction, and risk quantification (Rasheed et al., 2020; Tao et al., 2019).</w:t>
      </w:r>
    </w:p>
    <w:p>
      <w:pPr>
        <w:spacing w:line="480" w:before="200" w:after="100"/>
      </w:pPr>
      <w:r>
        <w:rPr>
          <w:rFonts w:ascii="Times New Roman" w:cs="Times New Roman" w:eastAsia="Times New Roman" w:hAnsi="Times New Roman"/>
          <w:b/>
          <w:bCs/>
          <w:i/>
          <w:iCs/>
          <w:sz w:val="24"/>
          <w:szCs w:val="24"/>
        </w:rPr>
        <w:t xml:space="preserve">5.3 Hierarchical Distributed Control and Multi-Agent Systems</w:t>
      </w:r>
    </w:p>
    <w:p>
      <w:pPr>
        <w:spacing w:line="480" w:after="0" w:before="0"/>
        <w:ind w:firstLine="720"/>
        <w:jc w:val="both"/>
      </w:pPr>
      <w:r>
        <w:rPr>
          <w:rFonts w:ascii="Times New Roman" w:cs="Times New Roman" w:eastAsia="Times New Roman" w:hAnsi="Times New Roman"/>
          <w:sz w:val="24"/>
          <w:szCs w:val="24"/>
        </w:rPr>
        <w:t xml:space="preserve">Water network operation is inherently multi-scale and multi-stakeholder: basin authorities, dispatch agencies, engineering operators, water users, and ecological systems each possess objectives and constraints (Wooldridge, 2009; Giuliani et al., 2016). This complexity demands two distinct but complementary layers. Hierarchical Distributed Control (HDC) deploys automatic control algorithms—PID, feedforward, cascade, and model-predictive control (MPC)—at every level of the SCADA hierarchy, forming multi-level closed-loop circuits that execute within preset operating conditions (Scattolini, 2009; Maestre and Negenborn, 2014; Negenborn et al., 2009; Litrico and Fromion, 2009). HDC provides distributed execution capability: the system can regulate water levels and flows automatically, but all strategies are designed for predefined scenarios, and the judgment of what scenario is currently active remains with human operators. Multi-Agent Systems (MAS) build on HDC by adding cognitive capability: situation awareness (recognising the current operational scenario), autonomous goal adjustment (dynamically re-prioritising objectives under changing conditions), and ODD-bounded self-governance (knowing the system’s own competence boundaries and triggering human take-over when those boundaries are approached). In formal terms, MAS = HDC + ODD awareness + cognitive intelligence.</w:t>
      </w:r>
    </w:p>
    <w:p>
      <w:pPr>
        <w:spacing w:line="480" w:after="0" w:before="0"/>
        <w:ind w:firstLine="720"/>
        <w:jc w:val="both"/>
      </w:pPr>
      <w:r>
        <w:rPr>
          <w:rFonts w:ascii="Times New Roman" w:cs="Times New Roman" w:eastAsia="Times New Roman" w:hAnsi="Times New Roman"/>
          <w:sz w:val="24"/>
          <w:szCs w:val="24"/>
        </w:rPr>
        <w:t xml:space="preserve">The HDC–MAS distinction maps directly onto the WSAL framework: HDC corresponds to L2–L3 (semi-autonomous to conditional autonomy within preset control laws), while MAS with verified cognitive capability corresponds to L4 (high autonomy with self-monitoring and degradation). MAS provides a framework for (i) multi-agent negotiation and coordination protocols across hierarchical levels; (ii) game theory and mechanism design for cross-administrative interest alignment (Castelletti et al., 2012; Giuliani et al., 2016; Madani, 2010); (iii) adaptive control strategy switching based on real-time scenario recognition; and (iv) safety degradation and human–machine handover mechanisms when ODD boundaries are approached. Crucially, MAS does not mean “AI replaces management”; it means formalising governance structures into computable, verifiable coordination rules so that “institutions” and “algorithms” align at the same semantic layer, while HDC ensures that whatever decisions MAS makes are executed with provable closed-loop stability.</w:t>
      </w:r>
    </w:p>
    <w:p>
      <w:pPr>
        <w:spacing w:line="480" w:before="240" w:after="120"/>
      </w:pPr>
      <w:r>
        <w:rPr>
          <w:rFonts w:ascii="Times New Roman" w:cs="Times New Roman" w:eastAsia="Times New Roman" w:hAnsi="Times New Roman"/>
          <w:b/>
          <w:bCs/>
          <w:sz w:val="28"/>
          <w:szCs w:val="28"/>
        </w:rPr>
        <w:t xml:space="preserve">6. Cross-disciplinary landscape and parallels</w:t>
      </w:r>
    </w:p>
    <w:p>
      <w:pPr>
        <w:spacing w:line="480" w:after="0" w:before="0"/>
        <w:ind w:firstLine="720"/>
        <w:jc w:val="both"/>
      </w:pPr>
      <w:r>
        <w:rPr>
          <w:rFonts w:ascii="Times New Roman" w:cs="Times New Roman" w:eastAsia="Times New Roman" w:hAnsi="Times New Roman"/>
          <w:sz w:val="24"/>
          <w:szCs w:val="24"/>
        </w:rPr>
        <w:t xml:space="preserve">The claim that water systems operation constitutes a distinct discipline gains force from comparison with established cross-disciplinary fields that have traversed similar trajectories.</w:t>
      </w:r>
    </w:p>
    <w:p>
      <w:pPr>
        <w:spacing w:line="480" w:before="200" w:after="100"/>
      </w:pPr>
      <w:r>
        <w:rPr>
          <w:rFonts w:ascii="Times New Roman" w:cs="Times New Roman" w:eastAsia="Times New Roman" w:hAnsi="Times New Roman"/>
          <w:b/>
          <w:bCs/>
          <w:i/>
          <w:iCs/>
          <w:sz w:val="24"/>
          <w:szCs w:val="24"/>
        </w:rPr>
        <w:t xml:space="preserve">6.1 Process-industry automation</w:t>
      </w:r>
    </w:p>
    <w:p>
      <w:pPr>
        <w:spacing w:line="480" w:after="0" w:before="0"/>
        <w:ind w:firstLine="720"/>
        <w:jc w:val="both"/>
      </w:pPr>
      <w:r>
        <w:rPr>
          <w:rFonts w:ascii="Times New Roman" w:cs="Times New Roman" w:eastAsia="Times New Roman" w:hAnsi="Times New Roman"/>
          <w:sz w:val="24"/>
          <w:szCs w:val="24"/>
        </w:rPr>
        <w:t xml:space="preserve">The process industries—metallurgy, petrochemicals, and advanced manufacturing—have built mature disciplinary directions in “intelligent operational feedback control.” Chai and colleagues pioneered integrated automation of complex industrial processes, demonstrating that multi-variable, strongly coupled, large-time-delay, nonlinear systems can be managed through hierarchical optimisation and feedback control (Chai et al., 2014; Chai and Zhao, 2023). Gui and colleagues applied similar principles to metallurgical processes, yielding energy-saving and quality improvements through model-predictive and knowledge-driven control (Gui and Wang, 2023). The core operational challenges of water systems—multi-variable, strong coupling, large time delay, nonlinearity—are highly isomorphic with those of process industries, and the disciplinary construction experience of the latter deserves systematic adaptation.</w:t>
      </w:r>
    </w:p>
    <w:p>
      <w:pPr>
        <w:spacing w:line="480" w:before="200" w:after="100"/>
      </w:pPr>
      <w:r>
        <w:rPr>
          <w:rFonts w:ascii="Times New Roman" w:cs="Times New Roman" w:eastAsia="Times New Roman" w:hAnsi="Times New Roman"/>
          <w:b/>
          <w:bCs/>
          <w:i/>
          <w:iCs/>
          <w:sz w:val="24"/>
          <w:szCs w:val="24"/>
        </w:rPr>
        <w:t xml:space="preserve">6.2 Power systems operation</w:t>
      </w:r>
    </w:p>
    <w:p>
      <w:pPr>
        <w:spacing w:line="480" w:after="0" w:before="0"/>
        <w:ind w:firstLine="720"/>
        <w:jc w:val="both"/>
      </w:pPr>
      <w:r>
        <w:rPr>
          <w:rFonts w:ascii="Times New Roman" w:cs="Times New Roman" w:eastAsia="Times New Roman" w:hAnsi="Times New Roman"/>
          <w:sz w:val="24"/>
          <w:szCs w:val="24"/>
        </w:rPr>
        <w:t xml:space="preserve">Power systems have long maintained an independent disciplinary identity centred on operational stability and control—from frequency regulation and economic dispatch to transient stability analysis and the emerging Cyber–Physical–Social Power and Energy Systems (CPSSE) framework (Xue, 2020; Xue et al., 2015). With the “dual carbon” transition, pumped-storage hydropower has become a critical stabiliser for the new power system, deeply coupling hydropower operation with grid dispatch. The water–wind–solar–storage integrated dispatch paradigm represents a key intersection of water systems operation science and power systems operation science (Guan et al., 2018; Ming et al., 2022). The disciplinary maturity of power systems—particularly its formalisation of stability boundaries, protection relay logic, and market mechanisms—provides a direct template for water systems.</w:t>
      </w:r>
    </w:p>
    <w:p>
      <w:pPr>
        <w:spacing w:line="480" w:before="200" w:after="100"/>
      </w:pPr>
      <w:r>
        <w:rPr>
          <w:rFonts w:ascii="Times New Roman" w:cs="Times New Roman" w:eastAsia="Times New Roman" w:hAnsi="Times New Roman"/>
          <w:b/>
          <w:bCs/>
          <w:i/>
          <w:iCs/>
          <w:sz w:val="24"/>
          <w:szCs w:val="24"/>
        </w:rPr>
        <w:t xml:space="preserve">6.3 Autonomous vehicles</w:t>
      </w:r>
    </w:p>
    <w:p>
      <w:pPr>
        <w:spacing w:line="480" w:after="0" w:before="0"/>
        <w:ind w:firstLine="720"/>
        <w:jc w:val="both"/>
      </w:pPr>
      <w:r>
        <w:rPr>
          <w:rFonts w:ascii="Times New Roman" w:cs="Times New Roman" w:eastAsia="Times New Roman" w:hAnsi="Times New Roman"/>
          <w:sz w:val="24"/>
          <w:szCs w:val="24"/>
        </w:rPr>
        <w:t xml:space="preserve">The autonomous-driving community has contributed three foundational constructs directly transferable to water systems: (i) the SAE J3016 autonomy-level taxonomy (SAE International, 2021), which we adapt as WSAL; (ii) the Operational Design Domain (ODD) concept (BSI, 2020; Czarnecki, 2018), which we adopt as the boundary language for water autonomy; and (iii) scenario-driven verification with scenario libraries, fault injection, and resilience metrics (Koopman and Wagner, 2019; Stellet et al., 2015). The automotive sector’s experience in transitioning from “ad hoc ADAS features” to “formally specified, tiered-admission autonomous systems” mirrors the trajectory we envision for water networks.</w:t>
      </w:r>
    </w:p>
    <w:p>
      <w:pPr>
        <w:spacing w:line="480" w:before="200" w:after="100"/>
      </w:pPr>
      <w:r>
        <w:rPr>
          <w:rFonts w:ascii="Times New Roman" w:cs="Times New Roman" w:eastAsia="Times New Roman" w:hAnsi="Times New Roman"/>
          <w:b/>
          <w:bCs/>
          <w:i/>
          <w:iCs/>
          <w:sz w:val="24"/>
          <w:szCs w:val="24"/>
        </w:rPr>
        <w:t xml:space="preserve">6.4 Environmental modelling and software</w:t>
      </w:r>
    </w:p>
    <w:p>
      <w:pPr>
        <w:spacing w:line="480" w:after="0" w:before="0"/>
        <w:ind w:firstLine="720"/>
        <w:jc w:val="both"/>
      </w:pPr>
      <w:r>
        <w:rPr>
          <w:rFonts w:ascii="Times New Roman" w:cs="Times New Roman" w:eastAsia="Times New Roman" w:hAnsi="Times New Roman"/>
          <w:sz w:val="24"/>
          <w:szCs w:val="24"/>
        </w:rPr>
        <w:t xml:space="preserve">The environmental modelling community has developed robust frameworks for model integration, uncertainty quantification, and stakeholder engagement that are directly relevant. Integrated environmental modelling (IEM) emphasises interoperable model coupling and decision support across environmental domains (Laniak et al., 2013; Whelan et al., 2014). Uncertainty analysis and sensitivity assessment methods provide essential tools for quantifying the reliability of autonomous decisions (Razavi et al., 2021; Pianosi et al., 2016). The open modelling paradigm—including standards such as OpenMI, BMI, and emerging model-web architectures—offers templates for composable, verifiable model pipelines (Gregersen et al., 2007; Hutton et al., 2020). The agent-based modelling tradition within environmental science (An et al., 2021; Heppenstall et al., 2012) provides computational infrastructure for multi-stakeholder water governance simulations.</w:t>
      </w:r>
    </w:p>
    <w:p>
      <w:pPr>
        <w:spacing w:line="480" w:before="200" w:after="100"/>
      </w:pPr>
      <w:r>
        <w:rPr>
          <w:rFonts w:ascii="Times New Roman" w:cs="Times New Roman" w:eastAsia="Times New Roman" w:hAnsi="Times New Roman"/>
          <w:b/>
          <w:bCs/>
          <w:i/>
          <w:iCs/>
          <w:sz w:val="24"/>
          <w:szCs w:val="24"/>
        </w:rPr>
        <w:t xml:space="preserve">6.5 Cross-disciplinary synthesis</w:t>
      </w:r>
    </w:p>
    <w:p>
      <w:pPr>
        <w:spacing w:line="480" w:after="0" w:before="0"/>
        <w:ind w:firstLine="720"/>
        <w:jc w:val="both"/>
      </w:pPr>
      <w:r>
        <w:rPr>
          <w:rFonts w:ascii="Times New Roman" w:cs="Times New Roman" w:eastAsia="Times New Roman" w:hAnsi="Times New Roman"/>
          <w:sz w:val="24"/>
          <w:szCs w:val="24"/>
        </w:rPr>
        <w:t xml:space="preserve">A comparative view reveals a consistent pattern: each domain required 20–40 years to progress from ad hoc automation to formally grounded autonomy. Process industries achieved hierarchical optimising control in the 1990s–2000s after three decades of PID-to-MPC evolution. Power systems formalised stability boundaries and protection relay logic over half a century. Autonomous vehicles moved from adaptive cruise control (c. 2000) to SAE-level taxonomies and ODD-based regulation in roughly 20 years. Environmental modelling built interoperability standards (OpenMI in 2007, BMI in 2020) over two decades of fragmented tool development. Water systems operation currently lacks both the autonomy taxonomy and the verification infrastructure that these sister fields have established—but can leapfrog by adapting their hard-won constructs (WSAL from SAE J3016, ODD from BSI PAS 1883, SIL/HIL from automotive and aerospace, MAS from process automation) rather than reinventing them. The key disciplinary gap is not technological but institutional: the absence of a unified academic home, peer-reviewed outlet, and professional community that would enable systematic knowledge accumulation.</w:t>
      </w:r>
    </w:p>
    <w:p>
      <w:pPr>
        <w:spacing w:line="480" w:before="240" w:after="120"/>
      </w:pPr>
      <w:r>
        <w:rPr>
          <w:rFonts w:ascii="Times New Roman" w:cs="Times New Roman" w:eastAsia="Times New Roman" w:hAnsi="Times New Roman"/>
          <w:b/>
          <w:bCs/>
          <w:sz w:val="28"/>
          <w:szCs w:val="28"/>
        </w:rPr>
        <w:t xml:space="preserve">7. Curriculum architecture</w:t>
      </w:r>
    </w:p>
    <w:p>
      <w:pPr>
        <w:spacing w:line="480" w:after="0" w:before="0"/>
        <w:ind w:firstLine="720"/>
        <w:jc w:val="both"/>
      </w:pPr>
      <w:r>
        <w:rPr>
          <w:rFonts w:ascii="Times New Roman" w:cs="Times New Roman" w:eastAsia="Times New Roman" w:hAnsi="Times New Roman"/>
          <w:sz w:val="24"/>
          <w:szCs w:val="24"/>
        </w:rPr>
        <w:t xml:space="preserve">Smart water systems discipline construction should observe a sequencing principle: foundational theory before platform-specific applications; verification infrastructure before large-scale deployment; and explicit operational boundaries before intelligence upgrades. Correspondingly, the curriculum is organised around four pillars: </w:t>
      </w:r>
      <w:r>
        <w:rPr>
          <w:rFonts w:ascii="Times New Roman" w:cs="Times New Roman" w:eastAsia="Times New Roman" w:hAnsi="Times New Roman"/>
          <w:i/>
          <w:iCs/>
          <w:sz w:val="24"/>
          <w:szCs w:val="24"/>
        </w:rPr>
        <w:t xml:space="preserve">control and systems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models and data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verification and safety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governance and economics</w:t>
      </w:r>
      <w:r>
        <w:rPr>
          <w:rFonts w:ascii="Times New Roman" w:cs="Times New Roman" w:eastAsia="Times New Roman" w:hAnsi="Times New Roman"/>
          <w:sz w:val="24"/>
          <w:szCs w:val="24"/>
        </w:rPr>
        <w:t xml:space="preserve">.</w:t>
      </w:r>
    </w:p>
    <w:p>
      <w:pPr>
        <w:spacing w:line="480" w:after="0" w:before="0"/>
        <w:ind w:firstLine="720"/>
        <w:jc w:val="both"/>
      </w:pPr>
      <w:r>
        <w:rPr>
          <w:rFonts w:ascii="Times New Roman" w:cs="Times New Roman" w:eastAsia="Times New Roman" w:hAnsi="Times New Roman"/>
          <w:sz w:val="24"/>
          <w:szCs w:val="24"/>
        </w:rPr>
        <w:t xml:space="preserve">A critical design decision is to abandon the conventional pathway of “generic control theory + complex analysis” followed by water-domain application. Instead, we propose </w:t>
      </w:r>
      <w:r>
        <w:rPr>
          <w:rFonts w:ascii="Times New Roman" w:cs="Times New Roman" w:eastAsia="Times New Roman" w:hAnsi="Times New Roman"/>
          <w:b/>
          <w:bCs/>
          <w:sz w:val="24"/>
          <w:szCs w:val="24"/>
        </w:rPr>
        <w:t xml:space="preserve">object-centred</w:t>
      </w:r>
      <w:r>
        <w:rPr>
          <w:rFonts w:ascii="Times New Roman" w:cs="Times New Roman" w:eastAsia="Times New Roman" w:hAnsi="Times New Roman"/>
          <w:sz w:val="24"/>
          <w:szCs w:val="24"/>
        </w:rPr>
        <w:t xml:space="preserve"> course design: mathematics, modelling, and control are taught with water-system objects (reservoirs, canals, pump stations, water distribution networks) from the outset, using water-level and flow-rate regulation as the motivating thread. This approach enhances learnability, makes cross-disciplinary fusion genuine rather than nominal, and prevents the common failure mode where students learn control theory in the abstract but cannot apply it to water systems (Loucks and van Beek, 2017).</w:t>
      </w:r>
    </w:p>
    <w:p>
      <w:pPr>
        <w:spacing w:line="480" w:after="0" w:before="0"/>
        <w:ind w:firstLine="720"/>
        <w:jc w:val="both"/>
      </w:pPr>
      <w:r>
        <w:rPr>
          <w:rFonts w:ascii="Times New Roman" w:cs="Times New Roman" w:eastAsia="Times New Roman" w:hAnsi="Times New Roman"/>
          <w:sz w:val="24"/>
          <w:szCs w:val="24"/>
        </w:rPr>
        <w:t xml:space="preserve">At the undergraduate level, the distinguishing feature is object-centred mathematics and control: calculus, ODEs, numerical methods, feedback, PID, and constrained control are taught using water-level and flow-rate regulation as the motivating thread, rather than generic circuit or mechanical analogies. This enhances learnability and makes cross-disciplinary fusion genuine from the outset (Loucks and van Beek, 2017). At the master’s level, the curriculum deepens into Cybernetics of Hydro Systems (state estimation, MPC, robust/stochastic control), uncertainty quantification, SIL/HIL verification platforms, and systems engineering (requirements, interface contracts, V&amp;V workflows), culminating in a closed-loop industry project spanning ODD definition, strategy generation, and in-the-loop testing. At the doctoral level, research frontiers include distributed/hierarchical control theory, safe reachability for learning-based controllers, MAS with game theory and mechanism design, ODD formalisation, and tiered-admission metrics—all requiring reproducible experiments, open scenario libraries, and cross-disciplinary writing skills.</w:t>
      </w:r>
    </w:p>
    <w:p>
      <w:pPr>
        <w:spacing w:line="480" w:before="240" w:after="120"/>
      </w:pPr>
      <w:r>
        <w:rPr>
          <w:rFonts w:ascii="Times New Roman" w:cs="Times New Roman" w:eastAsia="Times New Roman" w:hAnsi="Times New Roman"/>
          <w:b/>
          <w:bCs/>
          <w:sz w:val="28"/>
          <w:szCs w:val="28"/>
        </w:rPr>
        <w:t xml:space="preserve">8. Discussion</w:t>
      </w:r>
    </w:p>
    <w:p>
      <w:pPr>
        <w:spacing w:line="480" w:before="200" w:after="100"/>
      </w:pPr>
      <w:r>
        <w:rPr>
          <w:rFonts w:ascii="Times New Roman" w:cs="Times New Roman" w:eastAsia="Times New Roman" w:hAnsi="Times New Roman"/>
          <w:b/>
          <w:bCs/>
          <w:i/>
          <w:iCs/>
          <w:sz w:val="24"/>
          <w:szCs w:val="24"/>
        </w:rPr>
        <w:t xml:space="preserve">8.1 Positioning relative to existing disciplines</w:t>
      </w:r>
    </w:p>
    <w:p>
      <w:pPr>
        <w:spacing w:line="480" w:after="0" w:before="0"/>
        <w:ind w:firstLine="720"/>
        <w:jc w:val="both"/>
      </w:pPr>
      <w:r>
        <w:rPr>
          <w:rFonts w:ascii="Times New Roman" w:cs="Times New Roman" w:eastAsia="Times New Roman" w:hAnsi="Times New Roman"/>
          <w:sz w:val="24"/>
          <w:szCs w:val="24"/>
        </w:rPr>
        <w:t xml:space="preserve">The proposed discipline is not a renaming of hydraulic engineering, water resources systems analysis, or environmental informatics; rather, it addresses a structural gap. Traditional hydraulic engineering focuses on design and construction; water resources systems analysis provides optimisation tools but lacks a control-theoretic and verification infrastructure for real-time closed-loop operation; environmental informatics emphasises data management and model integration but typically stops short of autonomous decision-making with formal safety guarantees. The proposed framework integrates all three while introducing control-theoretic rigour, tiered autonomy, and in-the-loop verification as disciplinary pillars (Castelletti et al., 2008; Maier et al., 2014).</w:t>
      </w:r>
    </w:p>
    <w:p>
      <w:pPr>
        <w:spacing w:line="480" w:before="200" w:after="100"/>
      </w:pPr>
      <w:r>
        <w:rPr>
          <w:rFonts w:ascii="Times New Roman" w:cs="Times New Roman" w:eastAsia="Times New Roman" w:hAnsi="Times New Roman"/>
          <w:b/>
          <w:bCs/>
          <w:i/>
          <w:iCs/>
          <w:sz w:val="24"/>
          <w:szCs w:val="24"/>
        </w:rPr>
        <w:t xml:space="preserve">8.2 From platform capability to discipline maturity</w:t>
      </w:r>
    </w:p>
    <w:p>
      <w:pPr>
        <w:spacing w:line="480" w:after="0" w:before="0"/>
        <w:ind w:firstLine="720"/>
        <w:jc w:val="both"/>
      </w:pPr>
      <w:r>
        <w:rPr>
          <w:rFonts w:ascii="Times New Roman" w:cs="Times New Roman" w:eastAsia="Times New Roman" w:hAnsi="Times New Roman"/>
          <w:sz w:val="24"/>
          <w:szCs w:val="24"/>
        </w:rPr>
        <w:t xml:space="preserve">Current smart-water platforms deliver valuable functionality at WSAL L0–L1 (data display, advisory analytics). The gap between L1 and L3–L4 is not merely technological but </w:t>
      </w:r>
      <w:r>
        <w:rPr>
          <w:rFonts w:ascii="Times New Roman" w:cs="Times New Roman" w:eastAsia="Times New Roman" w:hAnsi="Times New Roman"/>
          <w:i/>
          <w:iCs/>
          <w:sz w:val="24"/>
          <w:szCs w:val="24"/>
        </w:rPr>
        <w:t xml:space="preserve">institutional</w:t>
      </w:r>
      <w:r>
        <w:rPr>
          <w:rFonts w:ascii="Times New Roman" w:cs="Times New Roman" w:eastAsia="Times New Roman" w:hAnsi="Times New Roman"/>
          <w:sz w:val="24"/>
          <w:szCs w:val="24"/>
        </w:rPr>
        <w:t xml:space="preserve">: it requires stable degree programmes, faculty appointments, peer-reviewed outlets, professional standards, and an international academic community. Without a disciplinary home, operational research remains fragmented across disparate funding programmes and career paths, and knowledge does not accumulate. The discipline construction pathway we advocate—establishing the cross-disciplinary subject within the national degree taxonomy, building an academic community, and pursuing international leadership—is intended to close this institutional gap.</w:t>
      </w:r>
    </w:p>
    <w:p>
      <w:pPr>
        <w:spacing w:line="480" w:before="200" w:after="100"/>
      </w:pPr>
      <w:r>
        <w:rPr>
          <w:rFonts w:ascii="Times New Roman" w:cs="Times New Roman" w:eastAsia="Times New Roman" w:hAnsi="Times New Roman"/>
          <w:b/>
          <w:bCs/>
          <w:i/>
          <w:iCs/>
          <w:sz w:val="24"/>
          <w:szCs w:val="24"/>
        </w:rPr>
        <w:t xml:space="preserve">8.3 International landscape and opportunity</w:t>
      </w:r>
    </w:p>
    <w:p>
      <w:pPr>
        <w:spacing w:line="480" w:after="0" w:before="0"/>
        <w:ind w:firstLine="720"/>
        <w:jc w:val="both"/>
      </w:pPr>
      <w:r>
        <w:rPr>
          <w:rFonts w:ascii="Times New Roman" w:cs="Times New Roman" w:eastAsia="Times New Roman" w:hAnsi="Times New Roman"/>
          <w:sz w:val="24"/>
          <w:szCs w:val="24"/>
        </w:rPr>
        <w:t xml:space="preserve">At the international level, water systems operation science and engineering does not yet exist as an independent discipline. Individual research threads—real-time canal control (Litrico and Fromion, 2009; van Overloop et al., 2010; Baume et al., 1998), model-predictive control of water networks (Leirens et al., 2010; Wahlin, 2004), water distribution network optimisation (Mala-Jetmarova et al., 2017), reservoir operation optimisation (Labadie, 2004; Castelletti et al., 2008), and multi-objective water management (Reed et al., 2013; Giuliani et al., 2016)—remain scattered across hydraulic engineering, environmental engineering, control engineering, and operations research, without a unifying disciplinary framework. This vacuum presents an opportunity for proactive discipline definition.</w:t>
      </w:r>
    </w:p>
    <w:p>
      <w:pPr>
        <w:spacing w:line="480" w:after="0" w:before="0"/>
        <w:ind w:firstLine="720"/>
        <w:jc w:val="both"/>
      </w:pPr>
      <w:r>
        <w:rPr>
          <w:rFonts w:ascii="Times New Roman" w:cs="Times New Roman" w:eastAsia="Times New Roman" w:hAnsi="Times New Roman"/>
          <w:sz w:val="24"/>
          <w:szCs w:val="24"/>
        </w:rPr>
        <w:t xml:space="preserve">Leveraging platforms such as the IAHR Water Systems Operation Working Group, PIANC, ICOLD, IWA, IFAC, and IEEE PES, we envision a pathway that begins with publishing the disciplinary theoretical framework via an IAHR Water Monograph, forms an international community through the International Symposium on Water Systems Operation (ISWSO), and promotes WSAL as an internationally adopted standard (Lei et al., 2025b).</w:t>
      </w:r>
    </w:p>
    <w:p>
      <w:pPr>
        <w:spacing w:line="480" w:before="200" w:after="100"/>
      </w:pPr>
      <w:r>
        <w:rPr>
          <w:rFonts w:ascii="Times New Roman" w:cs="Times New Roman" w:eastAsia="Times New Roman" w:hAnsi="Times New Roman"/>
          <w:b/>
          <w:bCs/>
          <w:i/>
          <w:iCs/>
          <w:sz w:val="24"/>
          <w:szCs w:val="24"/>
        </w:rPr>
        <w:t xml:space="preserve">8.4 Relationship to existing international frameworks</w:t>
      </w:r>
    </w:p>
    <w:p>
      <w:pPr>
        <w:spacing w:line="480" w:after="0" w:before="0"/>
        <w:ind w:firstLine="720"/>
        <w:jc w:val="both"/>
      </w:pPr>
      <w:r>
        <w:rPr>
          <w:rFonts w:ascii="Times New Roman" w:cs="Times New Roman" w:eastAsia="Times New Roman" w:hAnsi="Times New Roman"/>
          <w:sz w:val="24"/>
          <w:szCs w:val="24"/>
        </w:rPr>
        <w:t xml:space="preserve">Several international frameworks address aspects of smart water systems. The SWAN (Smart Water Networks Forum) five-layer model (Savic et al., 2019) provides a valuable architecture for data-driven water network management, progressing from physical assets through sensing, communication, and data management to analytics. ISO 24591-1:2024 offers general guidelines for smart water management governance. The IWA Digital Water Programme promotes digital transformation across utilities. However, these frameworks share a common limitation: they describe what a smart water system should contain (layers, components, data flows) but do not specify how autonomous operation should be verified, bounded, or graduated. The WSAL framework proposed here is complementary rather than competing: it adds an autonomy-level axis and a verification infrastructure axis to the existing technology-layer descriptions. In practice, a utility might use SWAN’s layered model to design its IT/OT architecture, ISO 24591 for governance, and WSAL to define what level of autonomy is targeted, within what ODD, and with what evidence of safety.</w:t>
      </w:r>
    </w:p>
    <w:p>
      <w:pPr>
        <w:spacing w:line="480" w:before="200" w:after="100"/>
      </w:pPr>
      <w:r>
        <w:rPr>
          <w:rFonts w:ascii="Times New Roman" w:cs="Times New Roman" w:eastAsia="Times New Roman" w:hAnsi="Times New Roman"/>
          <w:b/>
          <w:bCs/>
          <w:i/>
          <w:iCs/>
          <w:sz w:val="24"/>
          <w:szCs w:val="24"/>
        </w:rPr>
        <w:t xml:space="preserve">8.5 Governance, accountability, and public trust</w:t>
      </w:r>
    </w:p>
    <w:p>
      <w:pPr>
        <w:spacing w:line="480" w:after="0" w:before="0"/>
        <w:ind w:firstLine="720"/>
        <w:jc w:val="both"/>
      </w:pPr>
      <w:r>
        <w:rPr>
          <w:rFonts w:ascii="Times New Roman" w:cs="Times New Roman" w:eastAsia="Times New Roman" w:hAnsi="Times New Roman"/>
          <w:sz w:val="24"/>
          <w:szCs w:val="24"/>
        </w:rPr>
        <w:t xml:space="preserve">Autonomous water systems raise governance questions that extend beyond technology. When an autonomous dispatch decision leads to downstream flooding or water-quality exceedance, who bears responsibility—the algorithm developer, the operating agency, or the regulatory authority? How should affected communities participate in defining the ODD boundaries that constrain autonomous action? The CPSS perspective (Section 3.4) provides a starting point: by requiring that governance intent be formalised into computable, auditable constraints, it creates an evidence chain from policy objective to control action. However, the framework does not yet address public trust, procedural justice, or the distributional equity of autonomous decisions. These dimensions require collaboration with social scientists, legal scholars, and affected communities—a research frontier that the proposed discipline must embrace as it matures. The tiered WSAL structure offers a practical pathway: beginning at L1–L2 with human-in-the-loop verification builds operational track records and public confidence before progressing to higher autonomy levels.</w:t>
      </w:r>
    </w:p>
    <w:p>
      <w:pPr>
        <w:spacing w:line="480" w:before="200" w:after="100"/>
      </w:pPr>
      <w:r>
        <w:rPr>
          <w:rFonts w:ascii="Times New Roman" w:cs="Times New Roman" w:eastAsia="Times New Roman" w:hAnsi="Times New Roman"/>
          <w:b/>
          <w:bCs/>
          <w:i/>
          <w:iCs/>
          <w:sz w:val="24"/>
          <w:szCs w:val="24"/>
        </w:rPr>
        <w:t xml:space="preserve">8.6 Limitations and caveats</w:t>
      </w:r>
    </w:p>
    <w:p>
      <w:pPr>
        <w:spacing w:line="480" w:after="0" w:before="0"/>
        <w:ind w:firstLine="720"/>
        <w:jc w:val="both"/>
      </w:pPr>
      <w:r>
        <w:rPr>
          <w:rFonts w:ascii="Times New Roman" w:cs="Times New Roman" w:eastAsia="Times New Roman" w:hAnsi="Times New Roman"/>
          <w:sz w:val="24"/>
          <w:szCs w:val="24"/>
        </w:rPr>
        <w:t xml:space="preserve">Several limitations should be acknowledged. First, the WSAL framework is conceptual; empirical calibration against real-world deployments is needed before it can serve as a formal standard. Second, the curriculum proposals assume institutional conditions (cross-departmental faculty appointments, laboratory infrastructure) that vary widely. Third, the DfO concept, while theoretically compelling, requires demonstration projects to validate its lifecycle cost–benefit claims. Fourth, the analogy between water-network autonomy and vehicular autonomy, though instructive, must not be over-stretched: water systems operate on longer timescales, with more distributed governance and less homogeneous operating environments.</w:t>
      </w:r>
    </w:p>
    <w:p>
      <w:pPr>
        <w:spacing w:line="480" w:before="240" w:after="120"/>
      </w:pPr>
      <w:r>
        <w:rPr>
          <w:rFonts w:ascii="Times New Roman" w:cs="Times New Roman" w:eastAsia="Times New Roman" w:hAnsi="Times New Roman"/>
          <w:b/>
          <w:bCs/>
          <w:sz w:val="28"/>
          <w:szCs w:val="28"/>
        </w:rPr>
        <w:t xml:space="preserve">9. Conclusions</w:t>
      </w:r>
    </w:p>
    <w:p>
      <w:pPr>
        <w:spacing w:line="480" w:after="0" w:before="0"/>
        <w:ind w:firstLine="720"/>
        <w:jc w:val="both"/>
      </w:pPr>
      <w:r>
        <w:rPr>
          <w:rFonts w:ascii="Times New Roman" w:cs="Times New Roman" w:eastAsia="Times New Roman" w:hAnsi="Times New Roman"/>
          <w:sz w:val="24"/>
          <w:szCs w:val="24"/>
        </w:rPr>
        <w:t xml:space="preserve">Digital-twin water resources is an important engineering stage in the journey toward autonomous water networks, but it is not the destination. Smart water systems discipline construction should be grounded in Cybernetics of Hydro Systems as the theoretical core, oriented toward Autonomous HydroSystem (AHS) as the long-term goal, and equipped with MBD/ODD, tiered autonomy evaluation, SIL/HIL verification, HDC, and multi-agent coordination as the methodological infrastructure. The result is a research paradigm and curriculum architecture that is verifiable, boundary-defined, and evolvable.</w:t>
      </w:r>
    </w:p>
    <w:p>
      <w:pPr>
        <w:spacing w:line="480" w:after="0" w:before="0"/>
        <w:ind w:firstLine="720"/>
        <w:jc w:val="both"/>
      </w:pPr>
      <w:r>
        <w:rPr>
          <w:rFonts w:ascii="Times New Roman" w:cs="Times New Roman" w:eastAsia="Times New Roman" w:hAnsi="Times New Roman"/>
          <w:sz w:val="24"/>
          <w:szCs w:val="24"/>
        </w:rPr>
        <w:t xml:space="preserve">The key messages of this position paper are: (i) the five water sectors share an isomorphic operational science core that justifies a unified discipline; (ii) Cybernetics of Hydro Systems provides a platform-independent, accumulation-friendly theoretical language; (iii) the WSAL framework and ODD concept together translate “intelligence” from a vague aspiration into a graduated, verifiable capability; (iv) Design for Operation and MBD (Model-Based Definition) embed operational verifiability at the planning stage; (v) SIL/HIL verification and MAS-based coordination provide the engineering and governance infrastructure; and (vi) an object-centred curriculum enhances cross-disciplinary learnability. We invite the environmental modelling and software community to engage with these proposals and contribute to the co-construction of this emerging discipline.</w:t>
      </w:r>
    </w:p>
    <w:p>
      <w:r>
        <w:rPr>
          <w:rFonts w:ascii="Times New Roman" w:cs="Times New Roman" w:eastAsia="Times New Roman" w:hAnsi="Times New Roman"/>
          <w:sz w:val="24"/>
          <w:szCs w:val="24"/>
        </w:rPr>
        <w:t xml:space="preserve"/>
      </w:r>
      <w:r>
        <w:br w:type="page"/>
      </w:r>
    </w:p>
    <w:p>
      <w:pPr>
        <w:spacing w:line="480" w:before="240" w:after="120"/>
      </w:pPr>
      <w:r>
        <w:rPr>
          <w:rFonts w:ascii="Times New Roman" w:cs="Times New Roman" w:eastAsia="Times New Roman" w:hAnsi="Times New Roman"/>
          <w:b/>
          <w:bCs/>
          <w:sz w:val="28"/>
          <w:szCs w:val="28"/>
        </w:rPr>
        <w:t xml:space="preserve">References</w:t>
      </w:r>
    </w:p>
    <w:p>
      <w:pPr>
        <w:spacing w:line="480" w:after="0"/>
        <w:ind w:left="720" w:hanging="720"/>
      </w:pPr>
      <w:r>
        <w:rPr>
          <w:rFonts w:ascii="Times New Roman" w:cs="Times New Roman" w:eastAsia="Times New Roman" w:hAnsi="Times New Roman"/>
          <w:sz w:val="24"/>
          <w:szCs w:val="24"/>
        </w:rPr>
        <w:t xml:space="preserve">An, L., Grimm, V., Sullivan, A., Turner II, B.L., Malleson, N., Heppenstall, A., Vincenot, C., Robinson, D., Ye, X., Liu, J., Lindkvist, E., Tang, W., 2021. Challenges, tasks, and opportunities in modeling agent-based complex systems. Ecol. Model. 457, 109685.</w:t>
      </w:r>
    </w:p>
    <w:p>
      <w:pPr>
        <w:spacing w:line="480" w:after="0"/>
        <w:ind w:left="720" w:hanging="720"/>
      </w:pPr>
      <w:r>
        <w:rPr>
          <w:rFonts w:ascii="Times New Roman" w:cs="Times New Roman" w:eastAsia="Times New Roman" w:hAnsi="Times New Roman"/>
          <w:sz w:val="24"/>
          <w:szCs w:val="24"/>
        </w:rPr>
        <w:t xml:space="preserve">Antoulas, A.C., 2005. Approximation of Large-Scale Dynamical Systems. SIAM, Philadelphia.</w:t>
      </w:r>
    </w:p>
    <w:p>
      <w:pPr>
        <w:spacing w:line="480" w:after="0"/>
        <w:ind w:left="720" w:hanging="720"/>
      </w:pPr>
      <w:r>
        <w:rPr>
          <w:rFonts w:ascii="Times New Roman" w:cs="Times New Roman" w:eastAsia="Times New Roman" w:hAnsi="Times New Roman"/>
          <w:sz w:val="24"/>
          <w:szCs w:val="24"/>
        </w:rPr>
        <w:t xml:space="preserve">Åström, K.J., Murray, R.M., 2021. Feedback Systems: An Introduction for Scientists and Engineers, second ed. Princeton University Press.</w:t>
      </w:r>
    </w:p>
    <w:p>
      <w:pPr>
        <w:spacing w:line="480" w:after="0"/>
        <w:ind w:left="720" w:hanging="720"/>
      </w:pPr>
      <w:r>
        <w:rPr>
          <w:rFonts w:ascii="Times New Roman" w:cs="Times New Roman" w:eastAsia="Times New Roman" w:hAnsi="Times New Roman"/>
          <w:sz w:val="24"/>
          <w:szCs w:val="24"/>
        </w:rPr>
        <w:t xml:space="preserve">Aven, T., 2016. Risk assessment and risk management: Review of recent advances on their foundation. Eur. J. Oper. Res. 253 (1), 1–13.</w:t>
      </w:r>
    </w:p>
    <w:p>
      <w:pPr>
        <w:spacing w:line="480" w:after="0"/>
        <w:ind w:left="720" w:hanging="720"/>
      </w:pPr>
      <w:r>
        <w:rPr>
          <w:rFonts w:ascii="Times New Roman" w:cs="Times New Roman" w:eastAsia="Times New Roman" w:hAnsi="Times New Roman"/>
          <w:sz w:val="24"/>
          <w:szCs w:val="24"/>
        </w:rPr>
        <w:t xml:space="preserve">Barabási, A.L., 2016. Network Science. Cambridge University Press.</w:t>
      </w:r>
    </w:p>
    <w:p>
      <w:pPr>
        <w:spacing w:line="480" w:after="0"/>
        <w:ind w:left="720" w:hanging="720"/>
      </w:pPr>
      <w:r>
        <w:rPr>
          <w:rFonts w:ascii="Times New Roman" w:cs="Times New Roman" w:eastAsia="Times New Roman" w:hAnsi="Times New Roman"/>
          <w:sz w:val="24"/>
          <w:szCs w:val="24"/>
        </w:rPr>
        <w:t xml:space="preserve">Baume, J.P., Malaterre, P.O., Sau, J., 1998. Tuning of PI controllers for an irrigation canal system. J. Irrig. Drain. Eng. 124 (6), 292–300.</w:t>
      </w:r>
    </w:p>
    <w:p>
      <w:pPr>
        <w:spacing w:line="480" w:after="0"/>
        <w:ind w:left="720" w:hanging="720"/>
      </w:pPr>
      <w:r>
        <w:rPr>
          <w:rFonts w:ascii="Times New Roman" w:cs="Times New Roman" w:eastAsia="Times New Roman" w:hAnsi="Times New Roman"/>
          <w:sz w:val="24"/>
          <w:szCs w:val="24"/>
        </w:rPr>
        <w:t xml:space="preserve">Borrelli, F., Bemporad, A., Morari, M., 2017. Predictive Control for Linear and Hybrid Systems. Cambridge University Press.</w:t>
      </w:r>
    </w:p>
    <w:p>
      <w:pPr>
        <w:spacing w:line="480" w:after="0"/>
        <w:ind w:left="720" w:hanging="720"/>
      </w:pPr>
      <w:r>
        <w:rPr>
          <w:rFonts w:ascii="Times New Roman" w:cs="Times New Roman" w:eastAsia="Times New Roman" w:hAnsi="Times New Roman"/>
          <w:sz w:val="24"/>
          <w:szCs w:val="24"/>
        </w:rPr>
        <w:t xml:space="preserve">Brunton, S.L., Kutz, J.N., 2022. Data-Driven Science and Engineering: Machine Learning, Dynamical Systems, and Control, second ed. Cambridge University Press.</w:t>
      </w:r>
    </w:p>
    <w:p>
      <w:pPr>
        <w:spacing w:line="480" w:after="0"/>
        <w:ind w:left="720" w:hanging="720"/>
      </w:pPr>
      <w:r>
        <w:rPr>
          <w:rFonts w:ascii="Times New Roman" w:cs="Times New Roman" w:eastAsia="Times New Roman" w:hAnsi="Times New Roman"/>
          <w:sz w:val="24"/>
          <w:szCs w:val="24"/>
        </w:rPr>
        <w:t xml:space="preserve">BSI, 2020. PAS 1883:2020 Operational Design Domain (ODD) Taxonomy for an Automated Driving System (ADS). British Standards Institution.</w:t>
      </w:r>
    </w:p>
    <w:p>
      <w:pPr>
        <w:spacing w:line="480" w:after="0"/>
        <w:ind w:left="720" w:hanging="720"/>
      </w:pPr>
      <w:r>
        <w:rPr>
          <w:rFonts w:ascii="Times New Roman" w:cs="Times New Roman" w:eastAsia="Times New Roman" w:hAnsi="Times New Roman"/>
          <w:sz w:val="24"/>
          <w:szCs w:val="24"/>
        </w:rPr>
        <w:t xml:space="preserve">Castelletti, A., Galelli, S., Restelli, M., Soncini-Sessa, R., 2012. Data-driven dynamic emulation modelling for the optimal management of environmental systems. Environ. Model. Softw. 34, 30–43.</w:t>
      </w:r>
    </w:p>
    <w:p>
      <w:pPr>
        <w:spacing w:line="480" w:after="0"/>
        <w:ind w:left="720" w:hanging="720"/>
      </w:pPr>
      <w:r>
        <w:rPr>
          <w:rFonts w:ascii="Times New Roman" w:cs="Times New Roman" w:eastAsia="Times New Roman" w:hAnsi="Times New Roman"/>
          <w:sz w:val="24"/>
          <w:szCs w:val="24"/>
        </w:rPr>
        <w:t xml:space="preserve">Castelletti, A., Pianosi, F., Soncini-Sessa, R., 2008. Water reservoir control under economic, social and environmental constraints. Automatica 44 (6), 1595–1607.</w:t>
      </w:r>
    </w:p>
    <w:p>
      <w:pPr>
        <w:spacing w:line="480" w:after="0"/>
        <w:ind w:left="720" w:hanging="720"/>
      </w:pPr>
      <w:r>
        <w:rPr>
          <w:rFonts w:ascii="Times New Roman" w:cs="Times New Roman" w:eastAsia="Times New Roman" w:hAnsi="Times New Roman"/>
          <w:sz w:val="24"/>
          <w:szCs w:val="24"/>
        </w:rPr>
        <w:t xml:space="preserve">Chai, T., Zhao, L., 2023. Integrated intelligent control and management for process industry. Engineering 27, 109–120.</w:t>
      </w:r>
    </w:p>
    <w:p>
      <w:pPr>
        <w:spacing w:line="480" w:after="0"/>
        <w:ind w:left="720" w:hanging="720"/>
      </w:pPr>
      <w:r>
        <w:rPr>
          <w:rFonts w:ascii="Times New Roman" w:cs="Times New Roman" w:eastAsia="Times New Roman" w:hAnsi="Times New Roman"/>
          <w:sz w:val="24"/>
          <w:szCs w:val="24"/>
        </w:rPr>
        <w:t xml:space="preserve">Chai, T., Ding, J., Wu, F., 2014. Hybrid intelligent control for optimal operation of blast furnace ironmaking process. IEEE Trans. Ind. Inform. 10 (3), 1816–1829.</w:t>
      </w:r>
    </w:p>
    <w:p>
      <w:pPr>
        <w:spacing w:line="480" w:after="0"/>
        <w:ind w:left="720" w:hanging="720"/>
      </w:pPr>
      <w:r>
        <w:rPr>
          <w:rFonts w:ascii="Times New Roman" w:cs="Times New Roman" w:eastAsia="Times New Roman" w:hAnsi="Times New Roman"/>
          <w:sz w:val="24"/>
          <w:szCs w:val="24"/>
        </w:rPr>
        <w:t xml:space="preserve">Czarnecki, K., 2018. Operational Design Domain for Automated Driving Systems: Taxonomy of Basic Terms. Waterloo Intelligent Systems Engineering Lab, University of Waterloo.</w:t>
      </w:r>
    </w:p>
    <w:p>
      <w:pPr>
        <w:spacing w:line="480" w:after="0"/>
        <w:ind w:left="720" w:hanging="720"/>
      </w:pPr>
      <w:r>
        <w:rPr>
          <w:rFonts w:ascii="Times New Roman" w:cs="Times New Roman" w:eastAsia="Times New Roman" w:hAnsi="Times New Roman"/>
          <w:sz w:val="24"/>
          <w:szCs w:val="24"/>
        </w:rPr>
        <w:t xml:space="preserve">Diao, K., Sweetapple, C., Farmani, R., Fu, G., Ward, S., Butler, D., 2016. Global resilience analysis of water distribution systems. Water Res. 106, 383–393.</w:t>
      </w:r>
    </w:p>
    <w:p>
      <w:pPr>
        <w:spacing w:line="480" w:after="0"/>
        <w:ind w:left="720" w:hanging="720"/>
      </w:pPr>
      <w:r>
        <w:rPr>
          <w:rFonts w:ascii="Times New Roman" w:cs="Times New Roman" w:eastAsia="Times New Roman" w:hAnsi="Times New Roman"/>
          <w:sz w:val="24"/>
          <w:szCs w:val="24"/>
        </w:rPr>
        <w:t xml:space="preserve">EASA, 2023. Certification Specifications and Acceptable Means of Compliance for Large Aeroplanes (CS-25). European Union Aviation Safety Agency.</w:t>
      </w:r>
    </w:p>
    <w:p>
      <w:pPr>
        <w:spacing w:line="480" w:after="0"/>
        <w:ind w:left="720" w:hanging="720"/>
      </w:pPr>
      <w:r>
        <w:rPr>
          <w:rFonts w:ascii="Times New Roman" w:cs="Times New Roman" w:eastAsia="Times New Roman" w:hAnsi="Times New Roman"/>
          <w:sz w:val="24"/>
          <w:szCs w:val="24"/>
        </w:rPr>
        <w:t xml:space="preserve">Estefan, J.A., 2007. Survey of Model-Based Systems Engineering (MBSE) Methodologies. INCOSE MBSE Focus Group, Rev. B.</w:t>
      </w:r>
    </w:p>
    <w:p>
      <w:pPr>
        <w:spacing w:line="480" w:after="0"/>
        <w:ind w:left="720" w:hanging="720"/>
      </w:pPr>
      <w:r>
        <w:rPr>
          <w:rFonts w:ascii="Times New Roman" w:cs="Times New Roman" w:eastAsia="Times New Roman" w:hAnsi="Times New Roman"/>
          <w:sz w:val="24"/>
          <w:szCs w:val="24"/>
        </w:rPr>
        <w:t xml:space="preserve">Evensen, G., 2003. The ensemble Kalman filter: Theoretical formulation and practical implementation. Ocean Dyn. 53 (4), 343–367.</w:t>
      </w:r>
    </w:p>
    <w:p>
      <w:pPr>
        <w:spacing w:line="480" w:after="0"/>
        <w:ind w:left="720" w:hanging="720"/>
      </w:pPr>
      <w:r>
        <w:rPr>
          <w:rFonts w:ascii="Times New Roman" w:cs="Times New Roman" w:eastAsia="Times New Roman" w:hAnsi="Times New Roman"/>
          <w:sz w:val="24"/>
          <w:szCs w:val="24"/>
        </w:rPr>
        <w:t xml:space="preserve">Giuliani, M., Castelletti, A., Pianosi, F., Mason, E., Reed, P.M., 2016. Curses, tradeoffs, and scalable management: Advancing evolutionary multiobjective direct policy search to improve water reservoir operations. J. Water Resour. Plann. Manage. 142 (2), 04015050.</w:t>
      </w:r>
    </w:p>
    <w:p>
      <w:pPr>
        <w:spacing w:line="480" w:after="0"/>
        <w:ind w:left="720" w:hanging="720"/>
      </w:pPr>
      <w:r>
        <w:rPr>
          <w:rFonts w:ascii="Times New Roman" w:cs="Times New Roman" w:eastAsia="Times New Roman" w:hAnsi="Times New Roman"/>
          <w:sz w:val="24"/>
          <w:szCs w:val="24"/>
        </w:rPr>
        <w:t xml:space="preserve">Gregersen, J.B., Gijsbers, P.J.A., Westen, S.J.P., 2007. OpenMI: Open modelling interface. J. Hydroinf. 9 (3), 175–191.</w:t>
      </w:r>
    </w:p>
    <w:p>
      <w:pPr>
        <w:spacing w:line="480" w:after="0"/>
        <w:ind w:left="720" w:hanging="720"/>
      </w:pPr>
      <w:r>
        <w:rPr>
          <w:rFonts w:ascii="Times New Roman" w:cs="Times New Roman" w:eastAsia="Times New Roman" w:hAnsi="Times New Roman"/>
          <w:sz w:val="24"/>
          <w:szCs w:val="24"/>
        </w:rPr>
        <w:t xml:space="preserve">Grieves, M., Vickers, J., 2017. Digital twin: Mitigating unpredictable, undesirable emergent behavior in complex systems, in: Transdisciplinary Perspectives on Complex Systems. Springer, pp. 85–113.</w:t>
      </w:r>
    </w:p>
    <w:p>
      <w:pPr>
        <w:spacing w:line="480" w:after="0"/>
        <w:ind w:left="720" w:hanging="720"/>
      </w:pPr>
      <w:r>
        <w:rPr>
          <w:rFonts w:ascii="Times New Roman" w:cs="Times New Roman" w:eastAsia="Times New Roman" w:hAnsi="Times New Roman"/>
          <w:sz w:val="24"/>
          <w:szCs w:val="24"/>
        </w:rPr>
        <w:t xml:space="preserve">Guan, X., Luh, P.B., Yan, H., Amalfi, J.A., 2018. An optimization-based method for unit commitment. Int. J. Electr. Power Energy Syst. 14 (1), 9–17.</w:t>
      </w:r>
    </w:p>
    <w:p>
      <w:pPr>
        <w:spacing w:line="480" w:after="0"/>
        <w:ind w:left="720" w:hanging="720"/>
      </w:pPr>
      <w:r>
        <w:rPr>
          <w:rFonts w:ascii="Times New Roman" w:cs="Times New Roman" w:eastAsia="Times New Roman" w:hAnsi="Times New Roman"/>
          <w:sz w:val="24"/>
          <w:szCs w:val="24"/>
        </w:rPr>
        <w:t xml:space="preserve">Gui, W., Wang, C., 2023. Research progress and prospect of intelligent optimal manufacturing for nonferrous metallurgical processes. Acta Automat. Sin. 49 (10), 2025–2057.</w:t>
      </w:r>
    </w:p>
    <w:p>
      <w:pPr>
        <w:spacing w:line="480" w:after="0"/>
        <w:ind w:left="720" w:hanging="720"/>
      </w:pPr>
      <w:r>
        <w:rPr>
          <w:rFonts w:ascii="Times New Roman" w:cs="Times New Roman" w:eastAsia="Times New Roman" w:hAnsi="Times New Roman"/>
          <w:sz w:val="24"/>
          <w:szCs w:val="24"/>
        </w:rPr>
        <w:t xml:space="preserve">Heppenstall, A.J., Crooks, A.T., See, L.M., Batty, M. (Eds.), 2012. Agent-Based Models of Geographical Systems. Springer, Dordrecht.</w:t>
      </w:r>
    </w:p>
    <w:p>
      <w:pPr>
        <w:spacing w:line="480" w:after="0"/>
        <w:ind w:left="720" w:hanging="720"/>
      </w:pPr>
      <w:r>
        <w:rPr>
          <w:rFonts w:ascii="Times New Roman" w:cs="Times New Roman" w:eastAsia="Times New Roman" w:hAnsi="Times New Roman"/>
          <w:sz w:val="24"/>
          <w:szCs w:val="24"/>
        </w:rPr>
        <w:t xml:space="preserve">Hutton, E.W.H., Piper, M.D., Tucker, G.E., 2020. The Basic Model Interface 2.0: A standard interface for coupling numerical models in the geosciences. J. Open Source Softw. 5 (51), 2317.</w:t>
      </w:r>
    </w:p>
    <w:p>
      <w:pPr>
        <w:spacing w:line="480" w:after="0" w:before="0"/>
        <w:ind w:left="720" w:hanging="720"/>
        <w:jc w:val="both"/>
      </w:pPr>
      <w:r>
        <w:rPr>
          <w:rFonts w:ascii="Times New Roman" w:cs="Times New Roman" w:eastAsia="Times New Roman" w:hAnsi="Times New Roman"/>
          <w:sz w:val="24"/>
          <w:szCs w:val="24"/>
        </w:rPr>
        <w:t xml:space="preserve">ISO, 2024. ISO 24591-1:2024 Smart water management — Part 1: General guidelines and governance. International Organization for Standardization.</w:t>
      </w:r>
    </w:p>
    <w:p>
      <w:pPr>
        <w:spacing w:line="480" w:after="0"/>
        <w:ind w:left="720" w:hanging="720"/>
      </w:pPr>
      <w:r>
        <w:rPr>
          <w:rFonts w:ascii="Times New Roman" w:cs="Times New Roman" w:eastAsia="Times New Roman" w:hAnsi="Times New Roman"/>
          <w:sz w:val="24"/>
          <w:szCs w:val="24"/>
        </w:rPr>
        <w:t xml:space="preserve">Isermann, R., Schaffnit, J., Sinsel, S., 1999. Hardware-in-the-loop simulation for the design and testing of engine-control systems. Control Eng. Pract. 7 (5), 643–653.</w:t>
      </w:r>
    </w:p>
    <w:p>
      <w:pPr>
        <w:spacing w:line="480" w:after="0"/>
        <w:ind w:left="720" w:hanging="720"/>
      </w:pPr>
      <w:r>
        <w:rPr>
          <w:rFonts w:ascii="Times New Roman" w:cs="Times New Roman" w:eastAsia="Times New Roman" w:hAnsi="Times New Roman"/>
          <w:sz w:val="24"/>
          <w:szCs w:val="24"/>
        </w:rPr>
        <w:t xml:space="preserve">Koopman, P., Wagner, M., 2019. Autonomous vehicle safety: An interdisciplinary challenge. IEEE Intell. Transp. Syst. Mag. 9 (1), 90–96.</w:t>
      </w:r>
    </w:p>
    <w:p>
      <w:pPr>
        <w:spacing w:line="480" w:after="0"/>
        <w:ind w:left="720" w:hanging="720"/>
      </w:pPr>
      <w:r>
        <w:rPr>
          <w:rFonts w:ascii="Times New Roman" w:cs="Times New Roman" w:eastAsia="Times New Roman" w:hAnsi="Times New Roman"/>
          <w:sz w:val="24"/>
          <w:szCs w:val="24"/>
        </w:rPr>
        <w:t xml:space="preserve">Labadie, J.W., 2004. Optimal operation of multireservoir systems: State-of-the-art review. J. Water Resour. Plann. Manage. 130 (2), 93–111.</w:t>
      </w:r>
    </w:p>
    <w:p>
      <w:pPr>
        <w:spacing w:line="480" w:after="0"/>
        <w:ind w:left="720" w:hanging="720"/>
      </w:pPr>
      <w:r>
        <w:rPr>
          <w:rFonts w:ascii="Times New Roman" w:cs="Times New Roman" w:eastAsia="Times New Roman" w:hAnsi="Times New Roman"/>
          <w:sz w:val="24"/>
          <w:szCs w:val="24"/>
        </w:rPr>
        <w:t xml:space="preserve">Laniak, G.F., Olchin, G., Goodall, J., Voinov, A., Hill, M., Glynn, P., Whelan, G., Geller, G., Quinn, N., Blind, M., Peckham, S., Reaney, S., Gaber, N., Kennedy, R., Hughes, A., 2013. Integrated environmental modeling: A vision and roadmap for the future. Environ. Model. Softw. 39, 3–23.</w:t>
      </w:r>
    </w:p>
    <w:p>
      <w:pPr>
        <w:spacing w:line="480" w:after="0"/>
        <w:ind w:left="720" w:hanging="720"/>
      </w:pPr>
      <w:r>
        <w:rPr>
          <w:rFonts w:ascii="Times New Roman" w:cs="Times New Roman" w:eastAsia="Times New Roman" w:hAnsi="Times New Roman"/>
          <w:sz w:val="24"/>
          <w:szCs w:val="24"/>
        </w:rPr>
        <w:t xml:space="preserve">Lei, X., Long, Y., Xu, H., et al., 2025a. Cybernetics of Hydro Systems: background, technical framework, and research paradigm. South-to-North Water Transfers and Water Science &amp; Technology 23 (4), 761–769.</w:t>
      </w:r>
    </w:p>
    <w:p>
      <w:pPr>
        <w:spacing w:line="480" w:after="0"/>
        <w:ind w:left="720" w:hanging="720"/>
      </w:pPr>
      <w:r>
        <w:rPr>
          <w:rFonts w:ascii="Times New Roman" w:cs="Times New Roman" w:eastAsia="Times New Roman" w:hAnsi="Times New Roman"/>
          <w:sz w:val="24"/>
          <w:szCs w:val="24"/>
        </w:rPr>
        <w:t xml:space="preserve">Lei, X., Zhang, Z., Su, C., et al., 2025b. Architecture and key technologies of next-generation autonomous intelligent water networks based on autonomous-driving concepts. South-to-North Water Transfers and Water Science &amp; Technology 23 (4), 778–786.</w:t>
      </w:r>
    </w:p>
    <w:p>
      <w:pPr>
        <w:spacing w:line="480" w:after="0"/>
        <w:ind w:left="720" w:hanging="720"/>
      </w:pPr>
      <w:r>
        <w:rPr>
          <w:rFonts w:ascii="Times New Roman" w:cs="Times New Roman" w:eastAsia="Times New Roman" w:hAnsi="Times New Roman"/>
          <w:sz w:val="24"/>
          <w:szCs w:val="24"/>
        </w:rPr>
        <w:t xml:space="preserve">Lei, X., Zhang, Z., Su, C., et al., 2025c. In-the-loop testing system for autonomous intelligent water networks. South-to-North Water Transfers and Water Science &amp; Technology 23 (4), 787–793.</w:t>
      </w:r>
    </w:p>
    <w:p>
      <w:pPr>
        <w:spacing w:line="480" w:after="0"/>
        <w:ind w:left="720" w:hanging="720"/>
      </w:pPr>
      <w:r>
        <w:rPr>
          <w:rFonts w:ascii="Times New Roman" w:cs="Times New Roman" w:eastAsia="Times New Roman" w:hAnsi="Times New Roman"/>
          <w:sz w:val="24"/>
          <w:szCs w:val="24"/>
        </w:rPr>
        <w:t xml:space="preserve">Leirens, S., Zamora, C., Negenborn, R.R., De Schutter, B., 2010. Coordination in urban water supply networks using distributed model predictive control, in: Proc. ACC 2010, pp. 3957–3962.</w:t>
      </w:r>
    </w:p>
    <w:p>
      <w:pPr>
        <w:spacing w:line="480" w:after="0"/>
        <w:ind w:left="720" w:hanging="720"/>
      </w:pPr>
      <w:r>
        <w:rPr>
          <w:rFonts w:ascii="Times New Roman" w:cs="Times New Roman" w:eastAsia="Times New Roman" w:hAnsi="Times New Roman"/>
          <w:sz w:val="24"/>
          <w:szCs w:val="24"/>
        </w:rPr>
        <w:t xml:space="preserve">Li, J., Chen, B., Zhang, F., et al., 2022. Review of digital twin technology in water conservancy. J. Hydraul. Eng. 53 (3), 270–282.</w:t>
      </w:r>
    </w:p>
    <w:p>
      <w:pPr>
        <w:spacing w:line="480" w:after="0"/>
        <w:ind w:left="720" w:hanging="720"/>
      </w:pPr>
      <w:r>
        <w:rPr>
          <w:rFonts w:ascii="Times New Roman" w:cs="Times New Roman" w:eastAsia="Times New Roman" w:hAnsi="Times New Roman"/>
          <w:sz w:val="24"/>
          <w:szCs w:val="24"/>
        </w:rPr>
        <w:t xml:space="preserve">Litrico, X., Fromion, V., 2009. Modeling and Control of Hydrosystems. Springer, London.</w:t>
      </w:r>
    </w:p>
    <w:p>
      <w:pPr>
        <w:spacing w:line="480" w:after="0"/>
        <w:ind w:left="720" w:hanging="720"/>
      </w:pPr>
      <w:r>
        <w:rPr>
          <w:rFonts w:ascii="Times New Roman" w:cs="Times New Roman" w:eastAsia="Times New Roman" w:hAnsi="Times New Roman"/>
          <w:sz w:val="24"/>
          <w:szCs w:val="24"/>
        </w:rPr>
        <w:t xml:space="preserve">Loucks, D.P., van Beek, E., 2017. Water Resource Systems Planning and Management: An Introduction to Methods, Models, and Applications. Springer, Cham.</w:t>
      </w:r>
    </w:p>
    <w:p>
      <w:pPr>
        <w:spacing w:line="480" w:after="0"/>
        <w:ind w:left="720" w:hanging="720"/>
      </w:pPr>
      <w:r>
        <w:rPr>
          <w:rFonts w:ascii="Times New Roman" w:cs="Times New Roman" w:eastAsia="Times New Roman" w:hAnsi="Times New Roman"/>
          <w:sz w:val="24"/>
          <w:szCs w:val="24"/>
        </w:rPr>
        <w:t xml:space="preserve">Madani, K., 2010. Game theory and water resources. J. Hydrol. 381 (3–4), 225–238.</w:t>
      </w:r>
    </w:p>
    <w:p>
      <w:pPr>
        <w:spacing w:line="480" w:after="0"/>
        <w:ind w:left="720" w:hanging="720"/>
      </w:pPr>
      <w:r>
        <w:rPr>
          <w:rFonts w:ascii="Times New Roman" w:cs="Times New Roman" w:eastAsia="Times New Roman" w:hAnsi="Times New Roman"/>
          <w:sz w:val="24"/>
          <w:szCs w:val="24"/>
        </w:rPr>
        <w:t xml:space="preserve">Maestre, J.M., Negenborn, R.R. (Eds.), 2014. Distributed Model Predictive Control Made Easy. Springer, Dordrecht.</w:t>
      </w:r>
    </w:p>
    <w:p>
      <w:pPr>
        <w:spacing w:line="480" w:after="0"/>
        <w:ind w:left="720" w:hanging="720"/>
      </w:pPr>
      <w:r>
        <w:rPr>
          <w:rFonts w:ascii="Times New Roman" w:cs="Times New Roman" w:eastAsia="Times New Roman" w:hAnsi="Times New Roman"/>
          <w:sz w:val="24"/>
          <w:szCs w:val="24"/>
        </w:rPr>
        <w:t xml:space="preserve">Maier, H.R., Kapelan, Z., Kasprzyk, J., Kollat, J., Matott, L.S., Cunha, M.C., Dandy, G.C., Gibbs, M.S., Keedwell, E., Marchi, A., Ostfeld, A., Savic, D., Solomatine, D.P., Vrugt, J.A., Zecchin, A.C., Minsker, B.S., Barbour, E.J., Kuczera, G., Pasha, F., Castelletti, A., Giuliani, M., Reed, P.M., 2014. Evolutionary algorithms and other metaheuristics in water resources: Current status, research challenges and future directions. Environ. Model. Softw. 62, 271–299.</w:t>
      </w:r>
    </w:p>
    <w:p>
      <w:pPr>
        <w:spacing w:line="480" w:after="0"/>
        <w:ind w:left="720" w:hanging="720"/>
      </w:pPr>
      <w:r>
        <w:rPr>
          <w:rFonts w:ascii="Times New Roman" w:cs="Times New Roman" w:eastAsia="Times New Roman" w:hAnsi="Times New Roman"/>
          <w:sz w:val="24"/>
          <w:szCs w:val="24"/>
        </w:rPr>
        <w:t xml:space="preserve">Mala-Jetmarova, H., Sultanova, N., Savic, D., 2017. Lost in optimisation of water distribution systems? A literature review of system operation. Environ. Model. Softw. 93, 209–254.</w:t>
      </w:r>
    </w:p>
    <w:p>
      <w:pPr>
        <w:spacing w:line="480" w:after="0"/>
        <w:ind w:left="720" w:hanging="720"/>
      </w:pPr>
      <w:r>
        <w:rPr>
          <w:rFonts w:ascii="Times New Roman" w:cs="Times New Roman" w:eastAsia="Times New Roman" w:hAnsi="Times New Roman"/>
          <w:sz w:val="24"/>
          <w:szCs w:val="24"/>
        </w:rPr>
        <w:t xml:space="preserve">Milly, P.C.D., Betancourt, J., Falkenmark, M., Hirsch, R.M., Kundzewicz, Z.W., Lettenmaier, D.P., Stouffer, R.J., 2008. Stationarity is dead: Whither water management? Science 319 (5863), 573–574.</w:t>
      </w:r>
    </w:p>
    <w:p>
      <w:pPr>
        <w:spacing w:line="480" w:after="0"/>
        <w:ind w:left="720" w:hanging="720"/>
      </w:pPr>
      <w:r>
        <w:rPr>
          <w:rFonts w:ascii="Times New Roman" w:cs="Times New Roman" w:eastAsia="Times New Roman" w:hAnsi="Times New Roman"/>
          <w:sz w:val="24"/>
          <w:szCs w:val="24"/>
        </w:rPr>
        <w:t xml:space="preserve">Ming, B., Liu, P., Cheng, L., Zhou, Y., Wang, X., 2022. Optimal daily generation scheduling of large hydro–photovoltaic hybrid power plants. Energy Convers. Manage. 171, 528–540.</w:t>
      </w:r>
    </w:p>
    <w:p>
      <w:pPr>
        <w:spacing w:line="480" w:after="0"/>
        <w:ind w:left="720" w:hanging="720"/>
      </w:pPr>
      <w:r>
        <w:rPr>
          <w:rFonts w:ascii="Times New Roman" w:cs="Times New Roman" w:eastAsia="Times New Roman" w:hAnsi="Times New Roman"/>
          <w:sz w:val="24"/>
          <w:szCs w:val="24"/>
        </w:rPr>
        <w:t xml:space="preserve">Montanari, A., Young, G., Savenije, H.H.G., Hughes, D., Wagener, T., Ren, L.L., Koutsoyiannis, D., Cudennec, C., Toth, E., Grimaldi, S., Blöschl, G., et al., 2013. “Panta Rhei—Everything Flows”: Change in hydrology and society. Hydrol. Sci. J. 58 (6), 1256–1275.</w:t>
      </w:r>
    </w:p>
    <w:p>
      <w:pPr>
        <w:spacing w:line="480" w:after="0"/>
        <w:ind w:left="720" w:hanging="720"/>
      </w:pPr>
      <w:r>
        <w:rPr>
          <w:rFonts w:ascii="Times New Roman" w:cs="Times New Roman" w:eastAsia="Times New Roman" w:hAnsi="Times New Roman"/>
          <w:sz w:val="24"/>
          <w:szCs w:val="24"/>
        </w:rPr>
        <w:t xml:space="preserve">Negenborn, R.R., van Overloop, P.J., Keviczky, T., De Schutter, B., 2009. Distributed model predictive control of irrigation canals. Netw. Heterog. Media 4 (2), 359–380.</w:t>
      </w:r>
    </w:p>
    <w:p>
      <w:pPr>
        <w:spacing w:line="480" w:after="0"/>
        <w:ind w:left="720" w:hanging="720"/>
      </w:pPr>
      <w:r>
        <w:rPr>
          <w:rFonts w:ascii="Times New Roman" w:cs="Times New Roman" w:eastAsia="Times New Roman" w:hAnsi="Times New Roman"/>
          <w:sz w:val="24"/>
          <w:szCs w:val="24"/>
        </w:rPr>
        <w:t xml:space="preserve">Pianosi, F., Beven, K., Freer, J., Hall, J.W., Rougier, J., Stephenson, D.B., Wagener, T., 2016. Sensitivity analysis of environmental models: A systematic review with practical workflow. Environ. Model. Softw. 79, 214–232.</w:t>
      </w:r>
    </w:p>
    <w:p>
      <w:pPr>
        <w:spacing w:line="480" w:after="0"/>
        <w:ind w:left="720" w:hanging="720"/>
      </w:pPr>
      <w:r>
        <w:rPr>
          <w:rFonts w:ascii="Times New Roman" w:cs="Times New Roman" w:eastAsia="Times New Roman" w:hAnsi="Times New Roman"/>
          <w:sz w:val="24"/>
          <w:szCs w:val="24"/>
        </w:rPr>
        <w:t xml:space="preserve">Rasheed, A., San, O., Kvamsdal, T., 2020. Digital twin: Values, challenges and enablers from a modeling perspective. IEEE Access 8, 21980–22012.</w:t>
      </w:r>
    </w:p>
    <w:p>
      <w:pPr>
        <w:spacing w:line="480" w:after="0"/>
        <w:ind w:left="720" w:hanging="720"/>
      </w:pPr>
      <w:r>
        <w:rPr>
          <w:rFonts w:ascii="Times New Roman" w:cs="Times New Roman" w:eastAsia="Times New Roman" w:hAnsi="Times New Roman"/>
          <w:sz w:val="24"/>
          <w:szCs w:val="24"/>
        </w:rPr>
        <w:t xml:space="preserve">Rausand, M., Høyland, A., 2004. System Reliability Theory: Models, Statistical Methods, and Applications, second ed. Wiley.</w:t>
      </w:r>
    </w:p>
    <w:p>
      <w:pPr>
        <w:spacing w:line="480" w:after="0"/>
        <w:ind w:left="720" w:hanging="720"/>
      </w:pPr>
      <w:r>
        <w:rPr>
          <w:rFonts w:ascii="Times New Roman" w:cs="Times New Roman" w:eastAsia="Times New Roman" w:hAnsi="Times New Roman"/>
          <w:sz w:val="24"/>
          <w:szCs w:val="24"/>
        </w:rPr>
        <w:t xml:space="preserve">Rawlings, J.B., Mayne, D.Q., Diehl, M., 2020. Model Predictive Control: Theory, Computation, and Design, second ed. Nob Hill Publishing.</w:t>
      </w:r>
    </w:p>
    <w:p>
      <w:pPr>
        <w:spacing w:line="480" w:after="0"/>
        <w:ind w:left="720" w:hanging="720"/>
      </w:pPr>
      <w:r>
        <w:rPr>
          <w:rFonts w:ascii="Times New Roman" w:cs="Times New Roman" w:eastAsia="Times New Roman" w:hAnsi="Times New Roman"/>
          <w:sz w:val="24"/>
          <w:szCs w:val="24"/>
        </w:rPr>
        <w:t xml:space="preserve">Razavi, S., Jakeman, A., Saltelli, A., Prieur, C., Iooss, B., Borgonovo, E., Plischke, E., Lo Piano, S., Iwanaga, T., Becker, W., Tarantola, S., et al., 2021. The future of sensitivity analysis: An essential discipline for systems modeling and policy support. Environ. Model. Softw. 137, 104954.</w:t>
      </w:r>
    </w:p>
    <w:p>
      <w:pPr>
        <w:spacing w:line="480" w:after="0"/>
        <w:ind w:left="720" w:hanging="720"/>
      </w:pPr>
      <w:r>
        <w:rPr>
          <w:rFonts w:ascii="Times New Roman" w:cs="Times New Roman" w:eastAsia="Times New Roman" w:hAnsi="Times New Roman"/>
          <w:sz w:val="24"/>
          <w:szCs w:val="24"/>
        </w:rPr>
        <w:t xml:space="preserve">Razavi, S., Gupta, H.V., Vrugt, J.A., Wheater, H., 2022. A new framework for comprehensive, robust, and efficient global sensitivity analysis: 2. Application. Water Resour. Res. 58 (3), e2021WR030950.</w:t>
      </w:r>
    </w:p>
    <w:p>
      <w:pPr>
        <w:spacing w:line="480" w:after="0"/>
        <w:ind w:left="720" w:hanging="720"/>
      </w:pPr>
      <w:r>
        <w:rPr>
          <w:rFonts w:ascii="Times New Roman" w:cs="Times New Roman" w:eastAsia="Times New Roman" w:hAnsi="Times New Roman"/>
          <w:sz w:val="24"/>
          <w:szCs w:val="24"/>
        </w:rPr>
        <w:t xml:space="preserve">Reed, P.M., Hadka, D., Herman, J.D., Kasprzyk, J.R., Kollat, J.B., 2013. Evolutionary multiobjective optimization in water resources: The past, present, and future. Adv. Water Resour. 51, 438–456.</w:t>
      </w:r>
    </w:p>
    <w:p>
      <w:pPr>
        <w:spacing w:line="480" w:after="0"/>
        <w:ind w:left="720" w:hanging="720"/>
      </w:pPr>
      <w:r>
        <w:rPr>
          <w:rFonts w:ascii="Times New Roman" w:cs="Times New Roman" w:eastAsia="Times New Roman" w:hAnsi="Times New Roman"/>
          <w:sz w:val="24"/>
          <w:szCs w:val="24"/>
        </w:rPr>
        <w:t xml:space="preserve">SAE International, 2021. Taxonomy and Definitions for Terms Related to Driving Automation Systems for On-Road Motor Vehicles: J3016_202104. SAE International.</w:t>
      </w:r>
    </w:p>
    <w:p>
      <w:pPr>
        <w:spacing w:line="480" w:after="0" w:before="0"/>
        <w:ind w:left="720" w:hanging="720"/>
        <w:jc w:val="both"/>
      </w:pPr>
      <w:r>
        <w:rPr>
          <w:rFonts w:ascii="Times New Roman" w:cs="Times New Roman" w:eastAsia="Times New Roman" w:hAnsi="Times New Roman"/>
          <w:sz w:val="24"/>
          <w:szCs w:val="24"/>
        </w:rPr>
        <w:t xml:space="preserve">Savic, D., Vamvakeridou-Lyroudia, L., Kapelan, Z., 2019. Smart meters, smart water, smart societies: The iWIDGET project. Procedia Eng. 89, 1105–1112.</w:t>
      </w:r>
    </w:p>
    <w:p>
      <w:pPr>
        <w:spacing w:line="480" w:after="0"/>
        <w:ind w:left="720" w:hanging="720"/>
      </w:pPr>
      <w:r>
        <w:rPr>
          <w:rFonts w:ascii="Times New Roman" w:cs="Times New Roman" w:eastAsia="Times New Roman" w:hAnsi="Times New Roman"/>
          <w:sz w:val="24"/>
          <w:szCs w:val="24"/>
        </w:rPr>
        <w:t xml:space="preserve">Scattolini, R., 2009. Architectures for distributed and hierarchical model predictive control—A review. J. Process Control 19 (5), 723–731.</w:t>
      </w:r>
    </w:p>
    <w:p>
      <w:pPr>
        <w:spacing w:line="480" w:after="0"/>
        <w:ind w:left="720" w:hanging="720"/>
      </w:pPr>
      <w:r>
        <w:rPr>
          <w:rFonts w:ascii="Times New Roman" w:cs="Times New Roman" w:eastAsia="Times New Roman" w:hAnsi="Times New Roman"/>
          <w:sz w:val="24"/>
          <w:szCs w:val="24"/>
        </w:rPr>
        <w:t xml:space="preserve">Silver, D., Singh, S., Precup, D., Sutton, R.S., 2021. Reward is enough. Artif. Intell. 299, 103535.</w:t>
      </w:r>
    </w:p>
    <w:p>
      <w:pPr>
        <w:spacing w:line="480" w:after="0"/>
        <w:ind w:left="720" w:hanging="720"/>
      </w:pPr>
      <w:r>
        <w:rPr>
          <w:rFonts w:ascii="Times New Roman" w:cs="Times New Roman" w:eastAsia="Times New Roman" w:hAnsi="Times New Roman"/>
          <w:sz w:val="24"/>
          <w:szCs w:val="24"/>
        </w:rPr>
        <w:t xml:space="preserve">Skogestad, S., Postlethwaite, I., 2005. Multivariable Feedback Control: Analysis and Design, second ed. John Wiley &amp; Sons.</w:t>
      </w:r>
    </w:p>
    <w:p>
      <w:pPr>
        <w:spacing w:line="480" w:after="0"/>
        <w:ind w:left="720" w:hanging="720"/>
      </w:pPr>
      <w:r>
        <w:rPr>
          <w:rFonts w:ascii="Times New Roman" w:cs="Times New Roman" w:eastAsia="Times New Roman" w:hAnsi="Times New Roman"/>
          <w:sz w:val="24"/>
          <w:szCs w:val="24"/>
        </w:rPr>
        <w:t xml:space="preserve">Stellet, J.E., Zofka, M.R., Schumacher, J., Schamm, T., Niewels, F., Zöllner, J.M., 2015. Testing of advanced driver assistance towards automated driving: A survey and taxonomy on existing approaches and open questions, in: Proc. 18th IEEE ITSC, pp. 1455–1462.</w:t>
      </w:r>
    </w:p>
    <w:p>
      <w:pPr>
        <w:spacing w:line="480" w:after="0"/>
        <w:ind w:left="720" w:hanging="720"/>
      </w:pPr>
      <w:r>
        <w:rPr>
          <w:rFonts w:ascii="Times New Roman" w:cs="Times New Roman" w:eastAsia="Times New Roman" w:hAnsi="Times New Roman"/>
          <w:sz w:val="24"/>
          <w:szCs w:val="24"/>
        </w:rPr>
        <w:t xml:space="preserve">Tao, F., Zhang, H., Liu, A., Nee, A.Y.C., 2019. Digital twin in industry: State-of-the-art. IEEE Trans. Ind. Inform. 15 (4), 2405–2415.</w:t>
      </w:r>
    </w:p>
    <w:p>
      <w:pPr>
        <w:spacing w:line="480" w:after="0"/>
        <w:ind w:left="720" w:hanging="720"/>
      </w:pPr>
      <w:r>
        <w:rPr>
          <w:rFonts w:ascii="Times New Roman" w:cs="Times New Roman" w:eastAsia="Times New Roman" w:hAnsi="Times New Roman"/>
          <w:sz w:val="24"/>
          <w:szCs w:val="24"/>
        </w:rPr>
        <w:t xml:space="preserve">van Overloop, P.J., Clemmens, A.J., Strand, R.J., Wagemaker, R.M., Bautista, E., 2010. Real-time implementation of model predictive control on Maricopa-Stanfield Irrigation and Drainage District’s WM Canal. J. Irrig. Drain. Eng. 136 (11), 747–756.</w:t>
      </w:r>
    </w:p>
    <w:p>
      <w:pPr>
        <w:spacing w:line="480" w:after="0"/>
        <w:ind w:left="720" w:hanging="720"/>
      </w:pPr>
      <w:r>
        <w:rPr>
          <w:rFonts w:ascii="Times New Roman" w:cs="Times New Roman" w:eastAsia="Times New Roman" w:hAnsi="Times New Roman"/>
          <w:sz w:val="24"/>
          <w:szCs w:val="24"/>
        </w:rPr>
        <w:t xml:space="preserve">Wahlin, B.T., 2004. Performance of model predictive control on ASCE Test Canal 1. J. Irrig. Drain. Eng. 130 (3), 227–238.</w:t>
      </w:r>
    </w:p>
    <w:p>
      <w:pPr>
        <w:spacing w:line="480" w:after="0"/>
        <w:ind w:left="720" w:hanging="720"/>
      </w:pPr>
      <w:r>
        <w:rPr>
          <w:rFonts w:ascii="Times New Roman" w:cs="Times New Roman" w:eastAsia="Times New Roman" w:hAnsi="Times New Roman"/>
          <w:sz w:val="24"/>
          <w:szCs w:val="24"/>
        </w:rPr>
        <w:t xml:space="preserve">Walden, D.D., Shortall, G., Roedler, G.J., et al., 2023. INCOSE Systems Engineering Handbook: A Guide for System Life Cycle Processes and Activities, fifth ed. Wiley.</w:t>
      </w:r>
    </w:p>
    <w:p>
      <w:pPr>
        <w:spacing w:line="480" w:after="0"/>
        <w:ind w:left="720" w:hanging="720"/>
      </w:pPr>
      <w:r>
        <w:rPr>
          <w:rFonts w:ascii="Times New Roman" w:cs="Times New Roman" w:eastAsia="Times New Roman" w:hAnsi="Times New Roman"/>
          <w:sz w:val="24"/>
          <w:szCs w:val="24"/>
        </w:rPr>
        <w:t xml:space="preserve">Wang, F.Y., 2010. The emergence of intelligent enterprises: From CPS to CPSS. IEEE Intell. Syst. 25 (4), 85–88.</w:t>
      </w:r>
    </w:p>
    <w:p>
      <w:pPr>
        <w:spacing w:line="480" w:after="0"/>
        <w:ind w:left="720" w:hanging="720"/>
      </w:pPr>
      <w:r>
        <w:rPr>
          <w:rFonts w:ascii="Times New Roman" w:cs="Times New Roman" w:eastAsia="Times New Roman" w:hAnsi="Times New Roman"/>
          <w:sz w:val="24"/>
          <w:szCs w:val="24"/>
        </w:rPr>
        <w:t xml:space="preserve">Wang, H., Niu, C., Zhao, Y., 2023. The natural–social dual water cycle: Framework, progress, and prospects. Acta Geographica Sinica 78 (7), 1599–1607.</w:t>
      </w:r>
    </w:p>
    <w:p>
      <w:pPr>
        <w:spacing w:line="480" w:after="0"/>
        <w:ind w:left="720" w:hanging="720"/>
      </w:pPr>
      <w:r>
        <w:rPr>
          <w:rFonts w:ascii="Times New Roman" w:cs="Times New Roman" w:eastAsia="Times New Roman" w:hAnsi="Times New Roman"/>
          <w:sz w:val="24"/>
          <w:szCs w:val="24"/>
        </w:rPr>
        <w:t xml:space="preserve">Wang, H., Jia, Y., Yang, G., Zhou, Z., Qiu, Y., Niu, C., Peng, H., 2014. Integrated simulation of the dualistic water cycle and its associated processes in the Haihe River Basin. Chinese Sci. Bull. 58 (27), 3297–3311.</w:t>
      </w:r>
    </w:p>
    <w:p>
      <w:pPr>
        <w:spacing w:line="480" w:after="0"/>
        <w:ind w:left="720" w:hanging="720"/>
      </w:pPr>
      <w:r>
        <w:rPr>
          <w:rFonts w:ascii="Times New Roman" w:cs="Times New Roman" w:eastAsia="Times New Roman" w:hAnsi="Times New Roman"/>
          <w:sz w:val="24"/>
          <w:szCs w:val="24"/>
        </w:rPr>
        <w:t xml:space="preserve">Whelan, G., Kim, K., Pelton, M.A., Castleton, K.J., Laniak, G.F., Wolfe, K., Parmar, R., Babendreier, J., Galvin, M., 2014. Design of a component-based integrated environmental modeling framework. Environ. Model. Softw. 55, 1–24.</w:t>
      </w:r>
    </w:p>
    <w:p>
      <w:pPr>
        <w:spacing w:line="480" w:after="0"/>
        <w:ind w:left="720" w:hanging="720"/>
      </w:pPr>
      <w:r>
        <w:rPr>
          <w:rFonts w:ascii="Times New Roman" w:cs="Times New Roman" w:eastAsia="Times New Roman" w:hAnsi="Times New Roman"/>
          <w:sz w:val="24"/>
          <w:szCs w:val="24"/>
        </w:rPr>
        <w:t xml:space="preserve">Wooldridge, M., 2009. An Introduction to MultiAgent Systems, second ed. John Wiley &amp; Sons.</w:t>
      </w:r>
    </w:p>
    <w:p>
      <w:pPr>
        <w:spacing w:line="480" w:after="0"/>
        <w:ind w:left="720" w:hanging="720"/>
      </w:pPr>
      <w:r>
        <w:rPr>
          <w:rFonts w:ascii="Times New Roman" w:cs="Times New Roman" w:eastAsia="Times New Roman" w:hAnsi="Times New Roman"/>
          <w:sz w:val="24"/>
          <w:szCs w:val="24"/>
        </w:rPr>
        <w:t xml:space="preserve">Xue, Y., 2020. Energy internet or comprehensive energy network? J. Mod. Power Syst. Clean Energy 8 (1), 1–14.</w:t>
      </w:r>
    </w:p>
    <w:p>
      <w:pPr>
        <w:spacing w:line="480" w:after="0"/>
        <w:ind w:left="720" w:hanging="720"/>
      </w:pPr>
      <w:r>
        <w:rPr>
          <w:rFonts w:ascii="Times New Roman" w:cs="Times New Roman" w:eastAsia="Times New Roman" w:hAnsi="Times New Roman"/>
          <w:sz w:val="24"/>
          <w:szCs w:val="24"/>
        </w:rPr>
        <w:t xml:space="preserve">Xue, Y., Lai, S., Huang, T., Huang, R., Hao, S., Guan, R., Zhang, B., 2015. Quantitative assessments for transient voltage security. IEEE Trans. Power Syst. 30 (3), 1456–1466.</w:t>
      </w:r>
    </w:p>
    <w:p>
      <w:pPr>
        <w:spacing w:line="480" w:after="0"/>
        <w:ind w:left="720" w:hanging="720"/>
      </w:pPr>
      <w:r>
        <w:rPr>
          <w:rFonts w:ascii="Times New Roman" w:cs="Times New Roman" w:eastAsia="Times New Roman" w:hAnsi="Times New Roman"/>
          <w:sz w:val="24"/>
          <w:szCs w:val="24"/>
        </w:rPr>
        <w:t xml:space="preserve">Zhang, J., Wang, X., Wang, F.Y., 2018. Cyber–physical–social systems: The state of the art and perspectives. IEEE Trans. Comput. Soc. Syst. 5 (3), 829–840.</w:t>
      </w:r>
    </w:p>
    <w:p>
      <w:pPr>
        <w:spacing w:line="480" w:after="0"/>
        <w:ind w:left="720" w:hanging="720"/>
      </w:pPr>
      <w:r>
        <w:rPr>
          <w:rFonts w:ascii="Times New Roman" w:cs="Times New Roman" w:eastAsia="Times New Roman" w:hAnsi="Times New Roman"/>
          <w:sz w:val="24"/>
          <w:szCs w:val="24"/>
        </w:rPr>
        <w:t xml:space="preserve">Zio, E., 2018. The future of risk assessment. Reliab. Eng. Syst. Saf. 177, 62–75.</w:t>
      </w:r>
    </w:p>
    <w:sectPr>
      <w:footerReference w:type="default" r:id="rId6"/>
      <w:pgSz w:w="12240" w:h="15840" w:orient="portrait"/>
      <w:pgMar w:top="1440" w:right="1440" w:bottom="1440" w:left="1440" w:header="708" w:footer="708" w:gutter="0"/>
      <w:pgNumType/>
      <w:lnNumType w:countBy="1" w:restart="continuous"/>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2026-02-11T02:55:29.734Z</dcterms:created>
  <dcterms:modified xsi:type="dcterms:W3CDTF">2026-02-11T02:55:29.735Z</dcterms:modified>
</cp:coreProperties>
</file>

<file path=docProps/custom.xml><?xml version="1.0" encoding="utf-8"?>
<Properties xmlns="http://schemas.openxmlformats.org/officeDocument/2006/custom-properties" xmlns:vt="http://schemas.openxmlformats.org/officeDocument/2006/docPropsVTypes"/>
</file>