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80"/>
        <w:jc w:val="center"/>
      </w:pPr>
      <w:r>
        <w:rPr>
          <w:rFonts w:ascii="黑体" w:hAnsi="黑体" w:eastAsia="黑体"/>
          <w:b/>
          <w:sz w:val="32"/>
        </w:rPr>
        <w:t>从工程设计到运行能力设计：自主运行水网的</w:t>
        <w:br/>
        <w:t>基于模型的定义（MBD）方法论与框架</w:t>
      </w:r>
    </w:p>
    <w:p>
      <w:pPr>
        <w:jc w:val="center"/>
      </w:pPr>
      <w:r>
        <w:rPr>
          <w:rFonts w:ascii="宋体" w:hAnsi="宋体" w:eastAsia="宋体"/>
          <w:sz w:val="24"/>
        </w:rPr>
        <w:t>雷晓辉 a,b,*，龙岩 a,b</w:t>
      </w:r>
    </w:p>
    <w:p/>
    <w:p>
      <w:pPr>
        <w:jc w:val="center"/>
      </w:pPr>
      <w:r>
        <w:rPr>
          <w:rFonts w:ascii="宋体" w:hAnsi="宋体" w:eastAsia="宋体"/>
          <w:i/>
          <w:sz w:val="22"/>
        </w:rPr>
        <w:t>a 河北工程大学 水利水电学院，邯郸 056038</w:t>
        <w:br/>
        <w:t>b 雄安绿色水网与生命健康研究院，雄安</w:t>
      </w:r>
    </w:p>
    <w:p/>
    <w:p>
      <w:r>
        <w:rPr>
          <w:rFonts w:ascii="宋体" w:hAnsi="宋体" w:eastAsia="宋体"/>
          <w:sz w:val="22"/>
        </w:rPr>
        <w:t>* 通讯作者. E-mail: lxh@iwhr.com</w:t>
      </w:r>
    </w:p>
    <w:p/>
    <w:p>
      <w:pPr>
        <w:spacing w:before="480" w:after="240"/>
        <w:jc w:val="left"/>
      </w:pPr>
      <w:r>
        <w:rPr>
          <w:rFonts w:ascii="黑体" w:hAnsi="黑体" w:eastAsia="黑体"/>
          <w:b/>
          <w:sz w:val="28"/>
        </w:rPr>
        <w:t>要点</w:t>
      </w:r>
    </w:p>
    <w:p>
      <w:r>
        <w:rPr>
          <w:rFonts w:ascii="宋体" w:hAnsi="宋体" w:eastAsia="宋体"/>
          <w:sz w:val="22"/>
        </w:rPr>
        <w:t>• 将基于模型的定义（MBD）作为水网运行能力设计的系统工程方法论引入水利领域。</w:t>
      </w:r>
    </w:p>
    <w:p>
      <w:r>
        <w:rPr>
          <w:rFonts w:ascii="宋体" w:hAnsi="宋体" w:eastAsia="宋体"/>
          <w:sz w:val="22"/>
        </w:rPr>
        <w:t>• 构建"四层一环"框架，整合ODD定义、HDC/MAS决策、在环验证与现场执行。</w:t>
      </w:r>
    </w:p>
    <w:p>
      <w:r>
        <w:rPr>
          <w:rFonts w:ascii="宋体" w:hAnsi="宋体" w:eastAsia="宋体"/>
          <w:sz w:val="22"/>
        </w:rPr>
        <w:t>• 以串联泵站为例，给出三维ODD参数表，并以胶东调水和沙坪工程的初步证据作为支撑。</w:t>
      </w:r>
    </w:p>
    <w:p>
      <w:r>
        <w:rPr>
          <w:rFonts w:ascii="宋体" w:hAnsi="宋体" w:eastAsia="宋体"/>
          <w:sz w:val="22"/>
        </w:rPr>
        <w:t>• 通过跨域结构化比较，定位本框架与汽车、航空、电力和水利行业现行实践的关系。</w:t>
      </w:r>
    </w:p>
    <w:p>
      <w:r>
        <w:rPr>
          <w:rFonts w:ascii="宋体" w:hAnsi="宋体" w:eastAsia="宋体"/>
          <w:sz w:val="22"/>
        </w:rPr>
        <w:t>• 提出三项可证伪准则，使框架的核心主张可接受实证检验。</w:t>
      </w:r>
    </w:p>
    <w:p/>
    <w:p>
      <w:pPr>
        <w:spacing w:before="480" w:after="240"/>
        <w:jc w:val="left"/>
      </w:pPr>
      <w:r>
        <w:rPr>
          <w:rFonts w:ascii="黑体" w:hAnsi="黑体" w:eastAsia="黑体"/>
          <w:b/>
          <w:sz w:val="28"/>
        </w:rPr>
        <w:t>摘要</w:t>
      </w:r>
    </w:p>
    <w:p>
      <w:pPr>
        <w:jc w:val="both"/>
      </w:pPr>
      <w:r>
        <w:rPr>
          <w:rFonts w:ascii="宋体" w:hAnsi="宋体" w:eastAsia="宋体"/>
          <w:sz w:val="24"/>
        </w:rPr>
        <w:t>现代大型水网存在设计与运行的断裂：设计阶段锁定的关键参数预先决定了投运后的灵活性和安全裕度。本文提出面向自主运行水网的基于模型的定义（MBD）框架，借鉴汽车（ISO 26262）、航空（DO-178C）和电力系统的跨行业类比。基于信息-物理-社会系统（CPSS）视角，框架包含四个层次：（i）运行设计域（ODD）定义层，将管理规程转化为结构化边界描述；（ii）模型与决策层，将物理模型与分层分布式控制（HDC）相耦合，HDC通过多智能体系统（MAS）嵌入物理AI与认知AI双引擎而升级为分层分布式群体智能；（iii）MIL–SIL–HIL在环验证层；（iv）具备闭环演化能力的现场执行层。ODD概念将边界识别从孤立的极端工况校核拓展为系统化的全包络描述。以串联泵站为例展示了该方法论，并以胶东调水和沙坪水电工程的初步证据作为支撑。提出三项可证伪准则用于实证检验。该框架支持从"物理资产交付"向"运行能力交付"的转变。</w:t>
      </w:r>
    </w:p>
    <w:p/>
    <w:p>
      <w:r>
        <w:rPr>
          <w:rFonts w:ascii="宋体" w:hAnsi="宋体" w:eastAsia="宋体"/>
          <w:i/>
          <w:sz w:val="22"/>
        </w:rPr>
        <w:t>关键词：基于模型的定义；运行能力；运行设计域；分层分布式控制；自主运行水网；在环验证；数字孪生；多智能体系统</w:t>
      </w:r>
    </w:p>
    <w:p>
      <w:pPr>
        <w:spacing w:before="480" w:after="240"/>
        <w:jc w:val="left"/>
      </w:pPr>
      <w:r>
        <w:rPr>
          <w:rFonts w:ascii="黑体" w:hAnsi="黑体" w:eastAsia="黑体"/>
          <w:b/>
          <w:sz w:val="28"/>
        </w:rPr>
        <w:t>1. 引言</w:t>
      </w:r>
    </w:p>
    <w:p>
      <w:pPr>
        <w:ind w:firstLine="420"/>
        <w:jc w:val="both"/>
      </w:pPr>
      <w:r>
        <w:rPr>
          <w:rFonts w:ascii="宋体" w:hAnsi="宋体" w:eastAsia="宋体"/>
          <w:sz w:val="24"/>
        </w:rPr>
        <w:t>随着现代水网工程向跨流域、多梯级、强耦合系统演进，呈现出显著的非线性、时滞和时空耦合特征（Xia et al., 2023; Kong et al., 2023）。传统工程设计侧重于水力机械性能和结构安全——满足"能不能建"的问题——而运行阶段涌现的复杂调度挑战（多目标协调、模式切换、极端工况应对）却常在投运后才暴露。设计阶段冻结的参数——闸门行程限制、渠道超高系数、泵站运行曲线——预先限定了调度自由度和安全裕度，我们称之为"设计锁定"效应。</w:t>
      </w:r>
    </w:p>
    <w:p>
      <w:pPr>
        <w:ind w:firstLine="420"/>
        <w:jc w:val="both"/>
      </w:pPr>
      <w:r>
        <w:rPr>
          <w:rFonts w:ascii="宋体" w:hAnsi="宋体" w:eastAsia="宋体"/>
          <w:sz w:val="24"/>
        </w:rPr>
        <w:t>水锤计算等动态分析验证的是极端条件下的"生存安全"，但并未解决多梯级协调稳定性、模式切换平滑性以及监测通信降级对控制逻辑的影响等问题。更重要的是，这些分析通常以孤立的单一极端情景进行，而非系统性地覆盖完整的运行包络。</w:t>
      </w:r>
    </w:p>
    <w:p>
      <w:pPr>
        <w:ind w:firstLine="420"/>
        <w:jc w:val="both"/>
      </w:pPr>
      <w:r>
        <w:rPr>
          <w:rFonts w:ascii="宋体" w:hAnsi="宋体" w:eastAsia="宋体"/>
          <w:sz w:val="24"/>
        </w:rPr>
        <w:t>高可靠性领域的工程实践表明，基于模型的定义（MBD）可以将可执行模型贯穿需求、设计、验证和部署全流程，构建MIL–SIL–HIL渐进式验证链（Isermann et al., 1999; Bacic, 2005; Bringmann and Krämer, 2008）。汽车行业在ISO 26262框架下以运行设计域（ODD）概念界定自动驾驶的安全边界（SAE International, 2021; Koopman and Wagner, 2017; Czarnecki, 2018）。航空领域以DO-178C规范关键软件的开发过程（RTCA, 2012; Leveson, 2011）。电力系统通过多智能体系统（MAS）实现保护与恢复控制（McArthur et al., 2007a, 2007b）。然而，水利领域尚缺乏将这些概念系统整合的框架。</w:t>
      </w:r>
    </w:p>
    <w:p>
      <w:pPr>
        <w:ind w:firstLine="420"/>
        <w:jc w:val="both"/>
      </w:pPr>
      <w:r>
        <w:rPr>
          <w:rFonts w:ascii="宋体" w:hAnsi="宋体" w:eastAsia="宋体"/>
          <w:sz w:val="24"/>
        </w:rPr>
        <w:t>"水系统控制论"框架（Lei et al., 2025a）、自主运行水网架构（Lei et al., 2025b）、在环测试体系（Lei et al., 2025c）以及五代框架（Lei et al., 2025d）等近期工作为水网控制论奠定了理论基础。本文工作中的一个核心概念是分层分布式控制（HDC）：一种三层架构（现地SCADA/PLC → 区域边缘/区域智能体 → 全局云端智能体），其中SCADA执行器层与MAS认知决策层以"双层双速"模式运行，各层具备独立安全降级能力（详见3.3节架构说明）。MAS在HDC基础上叠加认知智能，将系统从分层分布式控制升级为分层分布式群体智能：每个智能体同时嵌入物理AI引擎（机理模型、MPC/DMPC控制器、安全约束）用于实时控制，以及认知AI引擎（知识检索、场景推理、异常识别）用于态势理解和自适应决策（Lei et al., 2025b; Lei et al., 2025d）。</w:t>
      </w:r>
    </w:p>
    <w:p>
      <w:pPr>
        <w:ind w:firstLine="420"/>
        <w:jc w:val="both"/>
      </w:pPr>
      <w:r>
        <w:rPr>
          <w:rFonts w:ascii="宋体" w:hAnsi="宋体" w:eastAsia="宋体"/>
          <w:sz w:val="24"/>
        </w:rPr>
        <w:t>在此基础上，本文提出围绕三大支柱构建的综合MBD框架：（i）运行设计域（ODD），借鉴自动驾驶分类体系（SAE International, 2021; Czarnecki, 2018）；（ii）HDC通过MAS升级为分层分布式群体智能；（iii）MIL–SIL–HIL验证用于证据链生成。第5节的串联泵站算例展示了ODD规范和xIL设计的具体化过程。</w:t>
      </w:r>
    </w:p>
    <w:p>
      <w:pPr>
        <w:spacing w:before="480" w:after="240"/>
        <w:jc w:val="left"/>
      </w:pPr>
      <w:r>
        <w:rPr>
          <w:rFonts w:ascii="黑体" w:hAnsi="黑体" w:eastAsia="黑体"/>
          <w:b/>
          <w:sz w:val="28"/>
        </w:rPr>
        <w:t>2. 方法论缺口</w:t>
      </w:r>
    </w:p>
    <w:p>
      <w:pPr>
        <w:spacing w:before="360" w:after="120"/>
        <w:jc w:val="left"/>
      </w:pPr>
      <w:r>
        <w:rPr>
          <w:rFonts w:ascii="黑体" w:hAnsi="黑体" w:eastAsia="黑体"/>
          <w:b/>
          <w:sz w:val="26"/>
        </w:rPr>
        <w:t>2.1 两种设计范式</w:t>
      </w:r>
    </w:p>
    <w:p>
      <w:pPr>
        <w:ind w:firstLine="420"/>
        <w:jc w:val="both"/>
      </w:pPr>
      <w:r>
        <w:rPr>
          <w:rFonts w:ascii="宋体" w:hAnsi="宋体" w:eastAsia="宋体"/>
          <w:sz w:val="24"/>
        </w:rPr>
        <w:t>传统工程设计方法论产出图纸、计算报告和规范合规文件，强调可审计性和一致性。它对物理资产安全不可或缺，但止步于"资产能建成"，较少关注"能力能交付"——即在何种条件范围内自主运行、以何种性能水平运行、以何种方式安全降级（Mareels et al., 2005; Conde et al., 2021）。</w:t>
      </w:r>
    </w:p>
    <w:p>
      <w:pPr>
        <w:ind w:firstLine="420"/>
        <w:jc w:val="both"/>
      </w:pPr>
      <w:r>
        <w:rPr>
          <w:rFonts w:ascii="宋体" w:hAnsi="宋体" w:eastAsia="宋体"/>
          <w:sz w:val="24"/>
        </w:rPr>
        <w:t>MBD在高可靠性需求的推动下经历四个阶段成熟：（i）仿真辅助设计；（ii）基于模型的控制器开发（Qin and Badgwell, 2003; Scattolini, 2009）；（iii）在环验证（Isermann et al., 1999; Bacic, 2005）；（iv）运行设计域定义与全场景认证。水利领域在过去二十年取得了重要进展：Malaterre et al.（1998）建立了渠道控制算法分类框架；Litrico和Fromion（2004, 2009）发展了频域建模方法；Van Overloop（2006）将MPC系统应用于开放水系统；Cantoni et al.（2007）推进了大规模灌溉网络控制。然而，该领域尚未系统整合ODD定义、在环验证链和分层分布式协调。</w:t>
      </w:r>
    </w:p>
    <w:p>
      <w:pPr>
        <w:spacing w:before="360" w:after="120"/>
        <w:jc w:val="left"/>
      </w:pPr>
      <w:r>
        <w:rPr>
          <w:rFonts w:ascii="黑体" w:hAnsi="黑体" w:eastAsia="黑体"/>
          <w:b/>
          <w:sz w:val="26"/>
        </w:rPr>
        <w:t>2.2 缺口的三个维度</w:t>
      </w:r>
    </w:p>
    <w:p>
      <w:pPr>
        <w:ind w:firstLine="420"/>
        <w:jc w:val="both"/>
      </w:pPr>
      <w:r>
        <w:rPr>
          <w:rFonts w:ascii="宋体" w:hAnsi="宋体" w:eastAsia="宋体"/>
          <w:sz w:val="24"/>
        </w:rPr>
        <w:t>第一，缺乏ODD定义。传统分析聚焦于极端安全边界（如水锤），但缺乏对正常和受限运行区域的系统化表征——而这些区域恰恰是精准自主控制性能得以展现（或失效）之处。水利领域没有与汽车ODD分类体系（SAE International, 2021）等价的结构化边界描述。</w:t>
      </w:r>
    </w:p>
    <w:p>
      <w:pPr>
        <w:ind w:firstLine="420"/>
        <w:jc w:val="both"/>
      </w:pPr>
      <w:r>
        <w:rPr>
          <w:rFonts w:ascii="宋体" w:hAnsi="宋体" w:eastAsia="宋体"/>
          <w:sz w:val="24"/>
        </w:rPr>
        <w:t>第二，验证链未闭环。模型应用停留在离线方案比选阶段。值得注意的是，Van Overloop et al.（2010）在美国Maricopa-Stanfield灌区实现了实时MPC，展示了闭环控制在水利领域的可行性。He et al.（2025）则展示了面向水利的HIL硬件在环测试。然而，从MIL（算法验证）到SIL（软件验证）再到HIL（硬件确认）的系统化、可追溯的证据链——如汽车和航空认证所要求的——尚不存在。先驱性工作虽证明了单个环节的可行性，但缺乏将各环节串联为可审计验证路径的集成框架。</w:t>
      </w:r>
    </w:p>
    <w:p>
      <w:pPr>
        <w:ind w:firstLine="420"/>
        <w:jc w:val="both"/>
      </w:pPr>
      <w:r>
        <w:rPr>
          <w:rFonts w:ascii="宋体" w:hAnsi="宋体" w:eastAsia="宋体"/>
          <w:sz w:val="24"/>
        </w:rPr>
        <w:t>第三，缺乏自适应协调智能。复杂调度规程被编码为静态规则集，难以审计和形式化验证。大型水网天然需要分层分布式控制（HDC）——流域层面的战略调度、渠段层面的战术协调、站点层面的实时执行。除控制层级本身外，各层智能体还须具备认知能力——态势识别、异常推理、自适应目标组装——以应对静态规则无法处理的未预见场景。电力系统通过MAS架构解决了类似的协调需求（McArthur et al., 2007a, 2007b）；水利领域尚无可比拟的实践。</w:t>
      </w:r>
    </w:p>
    <w:p/>
    <w:p>
      <w:pPr>
        <w:spacing w:after="120"/>
        <w:jc w:val="center"/>
      </w:pPr>
      <w:r>
        <w:rPr>
          <w:rFonts w:ascii="黑体" w:hAnsi="黑体" w:eastAsia="黑体"/>
          <w:b/>
          <w:sz w:val="22"/>
        </w:rPr>
        <w:t>表1. 跨域MBD相关实践比较</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2"/>
        <w:gridCol w:w="1662"/>
        <w:gridCol w:w="1662"/>
        <w:gridCol w:w="1662"/>
        <w:gridCol w:w="1662"/>
      </w:tblGrid>
      <w:tr>
        <w:tc>
          <w:tcPr>
            <w:tcW w:type="dxa" w:w="1662"/>
          </w:tcPr>
          <w:p>
            <w:pPr>
              <w:jc w:val="center"/>
            </w:pPr>
            <w:r/>
            <w:r>
              <w:rPr>
                <w:rFonts w:ascii="黑体" w:hAnsi="黑体" w:eastAsia="黑体"/>
                <w:b/>
                <w:sz w:val="20"/>
              </w:rPr>
              <w:t>领域</w:t>
            </w:r>
          </w:p>
        </w:tc>
        <w:tc>
          <w:tcPr>
            <w:tcW w:type="dxa" w:w="1662"/>
          </w:tcPr>
          <w:p>
            <w:pPr>
              <w:jc w:val="center"/>
            </w:pPr>
            <w:r/>
            <w:r>
              <w:rPr>
                <w:rFonts w:ascii="黑体" w:hAnsi="黑体" w:eastAsia="黑体"/>
                <w:b/>
                <w:sz w:val="20"/>
              </w:rPr>
              <w:t>ODD等价概念</w:t>
            </w:r>
          </w:p>
        </w:tc>
        <w:tc>
          <w:tcPr>
            <w:tcW w:type="dxa" w:w="1662"/>
          </w:tcPr>
          <w:p>
            <w:pPr>
              <w:jc w:val="center"/>
            </w:pPr>
            <w:r/>
            <w:r>
              <w:rPr>
                <w:rFonts w:ascii="黑体" w:hAnsi="黑体" w:eastAsia="黑体"/>
                <w:b/>
                <w:sz w:val="20"/>
              </w:rPr>
              <w:t>验证链</w:t>
            </w:r>
          </w:p>
        </w:tc>
        <w:tc>
          <w:tcPr>
            <w:tcW w:type="dxa" w:w="1662"/>
          </w:tcPr>
          <w:p>
            <w:pPr>
              <w:jc w:val="center"/>
            </w:pPr>
            <w:r/>
            <w:r>
              <w:rPr>
                <w:rFonts w:ascii="黑体" w:hAnsi="黑体" w:eastAsia="黑体"/>
                <w:b/>
                <w:sz w:val="20"/>
              </w:rPr>
              <w:t>HDC/MAS协调</w:t>
            </w:r>
          </w:p>
        </w:tc>
        <w:tc>
          <w:tcPr>
            <w:tcW w:type="dxa" w:w="1662"/>
          </w:tcPr>
          <w:p>
            <w:pPr>
              <w:jc w:val="center"/>
            </w:pPr>
            <w:r/>
            <w:r>
              <w:rPr>
                <w:rFonts w:ascii="黑体" w:hAnsi="黑体" w:eastAsia="黑体"/>
                <w:b/>
                <w:sz w:val="20"/>
              </w:rPr>
              <w:t>状态</w:t>
            </w:r>
          </w:p>
        </w:tc>
      </w:tr>
      <w:tr>
        <w:tc>
          <w:tcPr>
            <w:tcW w:type="dxa" w:w="1662"/>
          </w:tcPr>
          <w:p>
            <w:r/>
            <w:r>
              <w:rPr>
                <w:rFonts w:ascii="宋体" w:hAnsi="宋体" w:eastAsia="宋体"/>
                <w:sz w:val="20"/>
              </w:rPr>
              <w:t>汽车</w:t>
              <w:br/>
              <w:t>(ISO 26262)</w:t>
            </w:r>
          </w:p>
        </w:tc>
        <w:tc>
          <w:tcPr>
            <w:tcW w:type="dxa" w:w="1662"/>
          </w:tcPr>
          <w:p>
            <w:r/>
            <w:r>
              <w:rPr>
                <w:rFonts w:ascii="宋体" w:hAnsi="宋体" w:eastAsia="宋体"/>
                <w:sz w:val="20"/>
              </w:rPr>
              <w:t>按SAE J3016定义的ODD；</w:t>
              <w:br/>
              <w:t>结构化、标准化</w:t>
            </w:r>
          </w:p>
        </w:tc>
        <w:tc>
          <w:tcPr>
            <w:tcW w:type="dxa" w:w="1662"/>
          </w:tcPr>
          <w:p>
            <w:r/>
            <w:r>
              <w:rPr>
                <w:rFonts w:ascii="宋体" w:hAnsi="宋体" w:eastAsia="宋体"/>
                <w:sz w:val="20"/>
              </w:rPr>
              <w:t>MIL→SIL→HIL→VIL；</w:t>
              <w:br/>
              <w:t>认证强制要求</w:t>
            </w:r>
          </w:p>
        </w:tc>
        <w:tc>
          <w:tcPr>
            <w:tcW w:type="dxa" w:w="1662"/>
          </w:tcPr>
          <w:p>
            <w:r/>
            <w:r>
              <w:rPr>
                <w:rFonts w:ascii="宋体" w:hAnsi="宋体" w:eastAsia="宋体"/>
                <w:sz w:val="20"/>
              </w:rPr>
              <w:t>有限（聚焦单车）</w:t>
            </w:r>
          </w:p>
        </w:tc>
        <w:tc>
          <w:tcPr>
            <w:tcW w:type="dxa" w:w="1662"/>
          </w:tcPr>
          <w:p>
            <w:r/>
            <w:r>
              <w:rPr>
                <w:rFonts w:ascii="宋体" w:hAnsi="宋体" w:eastAsia="宋体"/>
                <w:sz w:val="20"/>
              </w:rPr>
              <w:t>成熟，已编纂</w:t>
            </w:r>
          </w:p>
        </w:tc>
      </w:tr>
      <w:tr>
        <w:tc>
          <w:tcPr>
            <w:tcW w:type="dxa" w:w="1662"/>
          </w:tcPr>
          <w:p>
            <w:r/>
            <w:r>
              <w:rPr>
                <w:rFonts w:ascii="宋体" w:hAnsi="宋体" w:eastAsia="宋体"/>
                <w:sz w:val="20"/>
              </w:rPr>
              <w:t>航空</w:t>
              <w:br/>
              <w:t>(DO-178C)</w:t>
            </w:r>
          </w:p>
        </w:tc>
        <w:tc>
          <w:tcPr>
            <w:tcW w:type="dxa" w:w="1662"/>
          </w:tcPr>
          <w:p>
            <w:r/>
            <w:r>
              <w:rPr>
                <w:rFonts w:ascii="宋体" w:hAnsi="宋体" w:eastAsia="宋体"/>
                <w:sz w:val="20"/>
              </w:rPr>
              <w:t>飞行包线 +</w:t>
              <w:br/>
              <w:t>运行限制</w:t>
            </w:r>
          </w:p>
        </w:tc>
        <w:tc>
          <w:tcPr>
            <w:tcW w:type="dxa" w:w="1662"/>
          </w:tcPr>
          <w:p>
            <w:r/>
            <w:r>
              <w:rPr>
                <w:rFonts w:ascii="宋体" w:hAnsi="宋体" w:eastAsia="宋体"/>
                <w:sz w:val="20"/>
              </w:rPr>
              <w:t>MIL→SIL→HIL；</w:t>
              <w:br/>
              <w:t>适航认证强制要求</w:t>
            </w:r>
          </w:p>
        </w:tc>
        <w:tc>
          <w:tcPr>
            <w:tcW w:type="dxa" w:w="1662"/>
          </w:tcPr>
          <w:p>
            <w:r/>
            <w:r>
              <w:rPr>
                <w:rFonts w:ascii="宋体" w:hAnsi="宋体" w:eastAsia="宋体"/>
                <w:sz w:val="20"/>
              </w:rPr>
              <w:t>不适用</w:t>
            </w:r>
          </w:p>
        </w:tc>
        <w:tc>
          <w:tcPr>
            <w:tcW w:type="dxa" w:w="1662"/>
          </w:tcPr>
          <w:p>
            <w:r/>
            <w:r>
              <w:rPr>
                <w:rFonts w:ascii="宋体" w:hAnsi="宋体" w:eastAsia="宋体"/>
                <w:sz w:val="20"/>
              </w:rPr>
              <w:t>成熟，已编纂</w:t>
            </w:r>
          </w:p>
        </w:tc>
      </w:tr>
      <w:tr>
        <w:tc>
          <w:tcPr>
            <w:tcW w:type="dxa" w:w="1662"/>
          </w:tcPr>
          <w:p>
            <w:r/>
            <w:r>
              <w:rPr>
                <w:rFonts w:ascii="宋体" w:hAnsi="宋体" w:eastAsia="宋体"/>
                <w:sz w:val="20"/>
              </w:rPr>
              <w:t>电力系统</w:t>
            </w:r>
          </w:p>
        </w:tc>
        <w:tc>
          <w:tcPr>
            <w:tcW w:type="dxa" w:w="1662"/>
          </w:tcPr>
          <w:p>
            <w:r/>
            <w:r>
              <w:rPr>
                <w:rFonts w:ascii="宋体" w:hAnsi="宋体" w:eastAsia="宋体"/>
                <w:sz w:val="20"/>
              </w:rPr>
              <w:t>运行安全域</w:t>
              <w:br/>
              <w:t>（N−1准则）</w:t>
            </w:r>
          </w:p>
        </w:tc>
        <w:tc>
          <w:tcPr>
            <w:tcW w:type="dxa" w:w="1662"/>
          </w:tcPr>
          <w:p>
            <w:r/>
            <w:r>
              <w:rPr>
                <w:rFonts w:ascii="宋体" w:hAnsi="宋体" w:eastAsia="宋体"/>
                <w:sz w:val="20"/>
              </w:rPr>
              <w:t>MIL/SIL + PHIL</w:t>
              <w:br/>
              <w:t>（电力HIL）</w:t>
            </w:r>
          </w:p>
        </w:tc>
        <w:tc>
          <w:tcPr>
            <w:tcW w:type="dxa" w:w="1662"/>
          </w:tcPr>
          <w:p>
            <w:r/>
            <w:r>
              <w:rPr>
                <w:rFonts w:ascii="宋体" w:hAnsi="宋体" w:eastAsia="宋体"/>
                <w:sz w:val="20"/>
              </w:rPr>
              <w:t>MAS用于保护</w:t>
              <w:br/>
              <w:t>与恢复</w:t>
            </w:r>
          </w:p>
        </w:tc>
        <w:tc>
          <w:tcPr>
            <w:tcW w:type="dxa" w:w="1662"/>
          </w:tcPr>
          <w:p>
            <w:r/>
            <w:r>
              <w:rPr>
                <w:rFonts w:ascii="宋体" w:hAnsi="宋体" w:eastAsia="宋体"/>
                <w:sz w:val="20"/>
              </w:rPr>
              <w:t>部分编纂</w:t>
            </w:r>
          </w:p>
        </w:tc>
      </w:tr>
      <w:tr>
        <w:tc>
          <w:tcPr>
            <w:tcW w:type="dxa" w:w="1662"/>
          </w:tcPr>
          <w:p>
            <w:r/>
            <w:r>
              <w:rPr>
                <w:rFonts w:ascii="宋体" w:hAnsi="宋体" w:eastAsia="宋体"/>
                <w:sz w:val="20"/>
              </w:rPr>
              <w:t>水利（现行</w:t>
              <w:br/>
              <w:t>实践）</w:t>
            </w:r>
          </w:p>
        </w:tc>
        <w:tc>
          <w:tcPr>
            <w:tcW w:type="dxa" w:w="1662"/>
          </w:tcPr>
          <w:p>
            <w:r/>
            <w:r>
              <w:rPr>
                <w:rFonts w:ascii="宋体" w:hAnsi="宋体" w:eastAsia="宋体"/>
                <w:sz w:val="20"/>
              </w:rPr>
              <w:t>极端事件校核</w:t>
              <w:br/>
              <w:t>（水锤、涌浪）；</w:t>
              <w:br/>
              <w:t>无结构化包络</w:t>
            </w:r>
          </w:p>
        </w:tc>
        <w:tc>
          <w:tcPr>
            <w:tcW w:type="dxa" w:w="1662"/>
          </w:tcPr>
          <w:p>
            <w:r/>
            <w:r>
              <w:rPr>
                <w:rFonts w:ascii="宋体" w:hAnsi="宋体" w:eastAsia="宋体"/>
                <w:sz w:val="20"/>
              </w:rPr>
              <w:t>个别子系统的</w:t>
              <w:br/>
              <w:t>先驱性MIL/HIL</w:t>
              <w:br/>
              <w:t>(Van Overloop 2010; He 2025)</w:t>
            </w:r>
          </w:p>
        </w:tc>
        <w:tc>
          <w:tcPr>
            <w:tcW w:type="dxa" w:w="1662"/>
          </w:tcPr>
          <w:p>
            <w:r/>
            <w:r>
              <w:rPr>
                <w:rFonts w:ascii="宋体" w:hAnsi="宋体" w:eastAsia="宋体"/>
                <w:sz w:val="20"/>
              </w:rPr>
              <w:t>尚未采用；</w:t>
              <w:br/>
              <w:t>通过静态规则集</w:t>
              <w:br/>
              <w:t>协调</w:t>
            </w:r>
          </w:p>
        </w:tc>
        <w:tc>
          <w:tcPr>
            <w:tcW w:type="dxa" w:w="1662"/>
          </w:tcPr>
          <w:p>
            <w:r/>
            <w:r>
              <w:rPr>
                <w:rFonts w:ascii="宋体" w:hAnsi="宋体" w:eastAsia="宋体"/>
                <w:sz w:val="20"/>
              </w:rPr>
              <w:t>先驱性但</w:t>
              <w:br/>
              <w:t>尚未系统化</w:t>
            </w:r>
          </w:p>
        </w:tc>
      </w:tr>
      <w:tr>
        <w:tc>
          <w:tcPr>
            <w:tcW w:type="dxa" w:w="1662"/>
          </w:tcPr>
          <w:p>
            <w:r/>
            <w:r>
              <w:rPr>
                <w:rFonts w:ascii="宋体" w:hAnsi="宋体" w:eastAsia="宋体"/>
                <w:sz w:val="20"/>
              </w:rPr>
              <w:t>水利（本</w:t>
              <w:br/>
              <w:t>框架）</w:t>
            </w:r>
          </w:p>
        </w:tc>
        <w:tc>
          <w:tcPr>
            <w:tcW w:type="dxa" w:w="1662"/>
          </w:tcPr>
          <w:p>
            <w:r/>
            <w:r>
              <w:rPr>
                <w:rFonts w:ascii="宋体" w:hAnsi="宋体" w:eastAsia="宋体"/>
                <w:sz w:val="20"/>
              </w:rPr>
              <w:t>层次化ODD</w:t>
              <w:br/>
              <w:t>（物理/信息/社会）</w:t>
            </w:r>
          </w:p>
        </w:tc>
        <w:tc>
          <w:tcPr>
            <w:tcW w:type="dxa" w:w="1662"/>
          </w:tcPr>
          <w:p>
            <w:r/>
            <w:r>
              <w:rPr>
                <w:rFonts w:ascii="宋体" w:hAnsi="宋体" w:eastAsia="宋体"/>
                <w:sz w:val="20"/>
              </w:rPr>
              <w:t>MIL→SIL→HIL</w:t>
              <w:br/>
              <w:t>全场景证据</w:t>
            </w:r>
          </w:p>
        </w:tc>
        <w:tc>
          <w:tcPr>
            <w:tcW w:type="dxa" w:w="1662"/>
          </w:tcPr>
          <w:p>
            <w:r/>
            <w:r>
              <w:rPr>
                <w:rFonts w:ascii="宋体" w:hAnsi="宋体" w:eastAsia="宋体"/>
                <w:sz w:val="20"/>
              </w:rPr>
              <w:t>HDC/MAS具备</w:t>
              <w:br/>
              <w:t>物理AI+认知AI</w:t>
              <w:br/>
              <w:t>双引擎智能体</w:t>
            </w:r>
          </w:p>
        </w:tc>
        <w:tc>
          <w:tcPr>
            <w:tcW w:type="dxa" w:w="1662"/>
          </w:tcPr>
          <w:p>
            <w:r/>
            <w:r>
              <w:rPr>
                <w:rFonts w:ascii="宋体" w:hAnsi="宋体" w:eastAsia="宋体"/>
                <w:sz w:val="20"/>
              </w:rPr>
              <w:t>提议</w:t>
            </w:r>
          </w:p>
        </w:tc>
      </w:tr>
    </w:tbl>
    <w:p/>
    <w:p>
      <w:pPr>
        <w:spacing w:before="480" w:after="240"/>
        <w:jc w:val="left"/>
      </w:pPr>
      <w:r>
        <w:rPr>
          <w:rFonts w:ascii="黑体" w:hAnsi="黑体" w:eastAsia="黑体"/>
          <w:b/>
          <w:sz w:val="28"/>
        </w:rPr>
        <w:t>3. MBD内涵与"模型"的含义</w:t>
      </w:r>
    </w:p>
    <w:p>
      <w:pPr>
        <w:spacing w:before="360" w:after="120"/>
        <w:jc w:val="left"/>
      </w:pPr>
      <w:r>
        <w:rPr>
          <w:rFonts w:ascii="黑体" w:hAnsi="黑体" w:eastAsia="黑体"/>
          <w:b/>
          <w:sz w:val="26"/>
        </w:rPr>
        <w:t>3.1 CPSS认知、设计锁定与左移命题</w:t>
      </w:r>
    </w:p>
    <w:p>
      <w:pPr>
        <w:ind w:firstLine="420"/>
        <w:jc w:val="both"/>
      </w:pPr>
      <w:r>
        <w:rPr>
          <w:rFonts w:ascii="宋体" w:hAnsi="宋体" w:eastAsia="宋体"/>
          <w:sz w:val="24"/>
        </w:rPr>
        <w:t>现代大型水网是信息-物理-社会系统（CPSS）（Lee, 2008; Rajkumar et al., 2010; Lei et al., 2025a）。运行不确定性来源于物理过程随机性（水文变化、设备劣化）、信息不完备（传感器盲区、通信延迟）与社会决策博弈（用水优先权冲突、跨区管辖）三者的深度耦合。对系统行为的理解必须整合这三个维度——这正是MBD框架需要的认知基础。</w:t>
      </w:r>
    </w:p>
    <w:p>
      <w:pPr>
        <w:ind w:firstLine="420"/>
        <w:jc w:val="both"/>
      </w:pPr>
      <w:r>
        <w:rPr>
          <w:rFonts w:ascii="宋体" w:hAnsi="宋体" w:eastAsia="宋体"/>
          <w:sz w:val="24"/>
        </w:rPr>
        <w:t>传统范式侧重静态安全验证，通过增加结构冗余来抵消不确定性，产出的系统"满足规范但运行低效"。其根本局限在于设计阶段缺乏系统化工具来前瞻性地表征和验证运行能力——将运行问题"左移"至设计阶段，可确保关键参数在冻结之前已通过虚拟验证。</w:t>
      </w:r>
    </w:p>
    <w:p>
      <w:pPr>
        <w:ind w:firstLine="420"/>
        <w:jc w:val="both"/>
      </w:pPr>
      <w:r>
        <w:rPr>
          <w:rFonts w:ascii="宋体" w:hAnsi="宋体" w:eastAsia="宋体"/>
          <w:sz w:val="24"/>
        </w:rPr>
        <w:t>水利领域既有的动态分析——水锤计算、调压室振荡分析——构成验证左移的早期萌芽形式。但范式必须进一步推进：从单一极端事件计算，到系统性地表征完整运行包络（ODD定义）；从开环方案比选，到闭环控制性能验证（MIL–SIL–HIL链）；从硬件冗余，到基于模型的运行能力保障。</w:t>
      </w:r>
    </w:p>
    <w:p>
      <w:pPr>
        <w:spacing w:before="360" w:after="120"/>
        <w:jc w:val="left"/>
      </w:pPr>
      <w:r>
        <w:rPr>
          <w:rFonts w:ascii="黑体" w:hAnsi="黑体" w:eastAsia="黑体"/>
          <w:b/>
          <w:sz w:val="26"/>
        </w:rPr>
        <w:t>3.2 数字孪生整合</w:t>
      </w:r>
    </w:p>
    <w:p>
      <w:pPr>
        <w:ind w:firstLine="420"/>
        <w:jc w:val="both"/>
      </w:pPr>
      <w:r>
        <w:rPr>
          <w:rFonts w:ascii="宋体" w:hAnsi="宋体" w:eastAsia="宋体"/>
          <w:sz w:val="24"/>
        </w:rPr>
        <w:t>MBD通过三个机制满足数字孪生需求。第一，消除设计与运行之间的"语义鸿沟"：标准化接口协议确保经过验证的控制逻辑以最小重新编码迁移至运行平台。第二，提供仿真基础：数字孪生平台的预测能力最终依赖于其底层模型的保真度——物理模型（PBM）既提供高保真虚拟工厂用于在环验证，也在运行期提供状态重构和预测推演。第三，将两条设计主线——可观测性和可控性——整合为统一的工程流程，通过MIL/SIL/HIL证据链将定性设计意图转化为定量验证的设计对象。</w:t>
      </w:r>
    </w:p>
    <w:p>
      <w:pPr>
        <w:spacing w:before="360" w:after="120"/>
        <w:jc w:val="left"/>
      </w:pPr>
      <w:r>
        <w:rPr>
          <w:rFonts w:ascii="黑体" w:hAnsi="黑体" w:eastAsia="黑体"/>
          <w:b/>
          <w:sz w:val="26"/>
        </w:rPr>
        <w:t>3.3 双设计主线：可观测性与可控性</w:t>
      </w:r>
    </w:p>
    <w:p>
      <w:pPr>
        <w:ind w:firstLine="420"/>
        <w:jc w:val="both"/>
      </w:pPr>
      <w:r>
        <w:rPr>
          <w:rFonts w:ascii="宋体" w:hAnsi="宋体" w:eastAsia="宋体"/>
          <w:sz w:val="24"/>
        </w:rPr>
        <w:t>在MBD框架下，自主运行水网以"可观测性"和"可控性"为相互交织的双主线（Lei et al., 2025a）。可观测性依赖于监测布局和数据治理，以达成充分的态势感知；可控性依赖于执行器布局、控制算法和安全机制，以实现可靠的状态调节。两者通过CPSS框架关联：信息空间中不可观测的状态产生不可控的盲区；物理空间中不可控的过程则会产生不可安全管理的运行区域。可观测性主线是感知引擎，可控性主线是执行引擎。</w:t>
      </w:r>
    </w:p>
    <w:p>
      <w:pPr>
        <w:ind w:firstLine="420"/>
        <w:jc w:val="both"/>
      </w:pPr>
      <w:r>
        <w:rPr>
          <w:rFonts w:ascii="宋体" w:hAnsi="宋体" w:eastAsia="宋体"/>
          <w:sz w:val="24"/>
        </w:rPr>
        <w:t>HDC为跨空间尺度实现可控性提供控制架构骨架。该架构以"双层双速"模式运行：SCADA作为执行器层——负责数据采集、硬联锁保护和安全关键的执行器驱动；MAS作为认知决策层，以分布式软件定义的监督系统形式运行。两层通过标准化接口（如OPC UA）通信，MAS完全采用设定值驱动范式：智能体仅下发目标设定值，绝不直接操作执行器输出，从而保持SCADA作为最终安全守护者的角色。</w:t>
      </w:r>
    </w:p>
    <w:p>
      <w:pPr>
        <w:ind w:firstLine="420"/>
        <w:jc w:val="both"/>
      </w:pPr>
      <w:r>
        <w:rPr>
          <w:rFonts w:ascii="宋体" w:hAnsi="宋体" w:eastAsia="宋体"/>
          <w:sz w:val="24"/>
        </w:rPr>
        <w:t>关键是，MAS并非HDC控制层级的简单软件实现；它在HDC基础上叠加认知智能，将系统从分层分布式控制升级为分层分布式群体智能。每个智能体嵌入双引擎架构。物理AI引擎——包含机理模型（基于Saint-Venant方程的水力学模型、MPC/DMPC控制器）和安全约束逻辑——提供确定性的状态重构、预测控制和硬约束保护（"算得准"）。认知AI引擎——利用知识库、场景推理和异常识别——提供态势理解、面向未预见工况的目标函数组装以及可解释的决策论证（"想得通"）。在每个智能体内部，两个引擎形成迭代闭环：认知AI引擎基于态势感知提出运行策略，物理AI引擎依据机理模型和安全约束进行校验，校验不通过则由认知AI引擎调整——确保认知灵活性永远不会以牺牲物理安全为代价（Lei et al., 2025d）。</w:t>
      </w:r>
    </w:p>
    <w:p>
      <w:pPr>
        <w:ind w:firstLine="420"/>
        <w:jc w:val="both"/>
      </w:pPr>
      <w:r>
        <w:rPr>
          <w:rFonts w:ascii="宋体" w:hAnsi="宋体" w:eastAsia="宋体"/>
          <w:sz w:val="24"/>
        </w:rPr>
        <w:t>三类智能体以层级适配的双引擎配置实现HDC各层。在站点层面，下位机PLC（专门负责L0层的安全闭锁和硬约束保护）与上位机边缘智能体（执行融合感知和基于上层智能体下发设定值的智能闭环控制）之间有明确分工。边缘智能体（部署在OT网络现场网关上）运行高频物理AI实现单站控制，配合轻量级认知AI进行本地异常检测。区域智能体（管理处层面）协调区域DMPC，配合认知AI提供跨站态势推理。云端智能体（部署在IT网络容器中）执行全网调度优化，具备完整的认知AI能力，包括知识图谱检索和自然语言解释生成。云端智能体下发调度建议而非直接控制指令。</w:t>
      </w:r>
    </w:p>
    <w:p>
      <w:pPr>
        <w:spacing w:before="360" w:after="120"/>
        <w:jc w:val="left"/>
      </w:pPr>
      <w:r>
        <w:rPr>
          <w:rFonts w:ascii="黑体" w:hAnsi="黑体" w:eastAsia="黑体"/>
          <w:b/>
          <w:sz w:val="26"/>
        </w:rPr>
        <w:t>3.4 模型分类</w:t>
      </w:r>
    </w:p>
    <w:p>
      <w:pPr>
        <w:ind w:firstLine="420"/>
        <w:jc w:val="both"/>
      </w:pPr>
      <w:r>
        <w:rPr>
          <w:rFonts w:ascii="宋体" w:hAnsi="宋体" w:eastAsia="宋体"/>
          <w:sz w:val="24"/>
        </w:rPr>
        <w:t>在MBD语境下，"模型"指承担不同角色的协同集合：</w:t>
      </w:r>
    </w:p>
    <w:p>
      <w:pPr>
        <w:ind w:firstLine="420"/>
        <w:jc w:val="both"/>
      </w:pPr>
      <w:r>
        <w:rPr>
          <w:rFonts w:ascii="宋体" w:hAnsi="宋体" w:eastAsia="宋体"/>
          <w:sz w:val="24"/>
        </w:rPr>
        <w:t>物理机理模型（PBM）：高保真验证基础，包含基于Saint-Venant方程的明渠模型（Chaudhry, 2008）和有压瞬变模型。PBM作为真值参考和闭环测试环境，类似于汽车xIL实践中的被控对象模型（Bacic, 2005）。</w:t>
      </w:r>
    </w:p>
    <w:p>
      <w:pPr>
        <w:ind w:firstLine="420"/>
        <w:jc w:val="both"/>
      </w:pPr>
      <w:r>
        <w:rPr>
          <w:rFonts w:ascii="宋体" w:hAnsi="宋体" w:eastAsia="宋体"/>
          <w:sz w:val="24"/>
        </w:rPr>
        <w:t>简化控制模型（SM）：降阶、线性化或数据驱动的替代模型（Litrico and Fromion, 2004; Weyer, 2001; Schuurmans et al., 1999），确保在ODD内有界偏差、在线修正和执行器接口一致性，用于实时执行。这遵循已有的渠道MPC实践（Van Overloop, 2006; Lemos et al., 2009）。</w:t>
      </w:r>
    </w:p>
    <w:p>
      <w:pPr>
        <w:ind w:firstLine="420"/>
        <w:jc w:val="both"/>
      </w:pPr>
      <w:r>
        <w:rPr>
          <w:rFonts w:ascii="宋体" w:hAnsi="宋体" w:eastAsia="宋体"/>
          <w:sz w:val="24"/>
        </w:rPr>
        <w:t>观测与状态估计模型（OSEM）：将离散观测映射到统一状态空间，实现时空一致的状态重构，并具备数据丢失或传感器漂移下的降级策略（Åström and Murray, 2010）。</w:t>
      </w:r>
    </w:p>
    <w:p>
      <w:pPr>
        <w:ind w:firstLine="420"/>
        <w:jc w:val="both"/>
      </w:pPr>
      <w:r>
        <w:rPr>
          <w:rFonts w:ascii="宋体" w:hAnsi="宋体" w:eastAsia="宋体"/>
          <w:sz w:val="24"/>
        </w:rPr>
        <w:t>场景与环境模型：决定ODD表达粒度和测试覆盖度，规定水文边界、扰动序列和故障注入场景。该类模型驱动MIL/SIL/HIL测试用例的生成，确保验证系统性而非临时性（Rasheed et al., 2020）。</w:t>
      </w:r>
    </w:p>
    <w:p>
      <w:pPr>
        <w:spacing w:before="480" w:after="240"/>
        <w:jc w:val="left"/>
      </w:pPr>
      <w:r>
        <w:rPr>
          <w:rFonts w:ascii="黑体" w:hAnsi="黑体" w:eastAsia="黑体"/>
          <w:b/>
          <w:sz w:val="28"/>
        </w:rPr>
        <w:t>4. "四层一环"MBD框架</w:t>
      </w:r>
    </w:p>
    <w:p>
      <w:pPr>
        <w:ind w:firstLine="420"/>
        <w:jc w:val="both"/>
      </w:pPr>
      <w:r>
        <w:rPr>
          <w:rFonts w:ascii="宋体" w:hAnsi="宋体" w:eastAsia="宋体"/>
          <w:sz w:val="24"/>
        </w:rPr>
        <w:t>框架以"运行能力交付"为核心目标，建立覆盖需求定义、逻辑组织、虚实验证和现场反馈的完整链条（图1）。</w:t>
      </w:r>
    </w:p>
    <w:p>
      <w:pPr>
        <w:spacing w:before="240" w:after="240"/>
        <w:jc w:val="center"/>
      </w:pPr>
      <w:r>
        <w:rPr>
          <w:rFonts w:ascii="宋体" w:hAnsi="宋体" w:eastAsia="宋体"/>
          <w:i/>
          <w:color w:val="646464"/>
          <w:sz w:val="22"/>
        </w:rPr>
        <w:t>[图1. "四层一环"MBD框架架构。ODD定义层 → 模型与决策层 → 在环验证层 → 现场执行层，由现场数据反馈至ODD更新形成闭环。]</w:t>
      </w:r>
    </w:p>
    <w:p/>
    <w:p>
      <w:pPr>
        <w:spacing w:after="120"/>
        <w:jc w:val="center"/>
      </w:pPr>
      <w:r>
        <w:rPr>
          <w:rFonts w:ascii="黑体" w:hAnsi="黑体" w:eastAsia="黑体"/>
          <w:b/>
          <w:sz w:val="22"/>
        </w:rPr>
        <w:t>表2. MBD工程框架：四个层次</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71"/>
        <w:gridCol w:w="2771"/>
        <w:gridCol w:w="2771"/>
      </w:tblGrid>
      <w:tr>
        <w:tc>
          <w:tcPr>
            <w:tcW w:type="dxa" w:w="2771"/>
          </w:tcPr>
          <w:p>
            <w:pPr>
              <w:jc w:val="center"/>
            </w:pPr>
            <w:r/>
            <w:r>
              <w:rPr>
                <w:rFonts w:ascii="黑体" w:hAnsi="黑体" w:eastAsia="黑体"/>
                <w:b/>
                <w:sz w:val="20"/>
              </w:rPr>
              <w:t>层次</w:t>
            </w:r>
          </w:p>
        </w:tc>
        <w:tc>
          <w:tcPr>
            <w:tcW w:type="dxa" w:w="2771"/>
          </w:tcPr>
          <w:p>
            <w:pPr>
              <w:jc w:val="center"/>
            </w:pPr>
            <w:r/>
            <w:r>
              <w:rPr>
                <w:rFonts w:ascii="黑体" w:hAnsi="黑体" w:eastAsia="黑体"/>
                <w:b/>
                <w:sz w:val="20"/>
              </w:rPr>
              <w:t>工程内容</w:t>
            </w:r>
          </w:p>
        </w:tc>
        <w:tc>
          <w:tcPr>
            <w:tcW w:type="dxa" w:w="2771"/>
          </w:tcPr>
          <w:p>
            <w:pPr>
              <w:jc w:val="center"/>
            </w:pPr>
            <w:r/>
            <w:r>
              <w:rPr>
                <w:rFonts w:ascii="黑体" w:hAnsi="黑体" w:eastAsia="黑体"/>
                <w:b/>
                <w:sz w:val="20"/>
              </w:rPr>
              <w:t>关键输出</w:t>
            </w:r>
          </w:p>
        </w:tc>
      </w:tr>
      <w:tr>
        <w:tc>
          <w:tcPr>
            <w:tcW w:type="dxa" w:w="2771"/>
          </w:tcPr>
          <w:p>
            <w:r/>
            <w:r>
              <w:rPr>
                <w:rFonts w:ascii="宋体" w:hAnsi="宋体" w:eastAsia="宋体"/>
                <w:sz w:val="20"/>
              </w:rPr>
              <w:t>ODD定义</w:t>
            </w:r>
          </w:p>
        </w:tc>
        <w:tc>
          <w:tcPr>
            <w:tcW w:type="dxa" w:w="2771"/>
          </w:tcPr>
          <w:p>
            <w:r/>
            <w:r>
              <w:rPr>
                <w:rFonts w:ascii="宋体" w:hAnsi="宋体" w:eastAsia="宋体"/>
                <w:sz w:val="20"/>
              </w:rPr>
              <w:t>水位场景、资产状态、</w:t>
              <w:br/>
              <w:t>监测通信、安全约束</w:t>
            </w:r>
          </w:p>
        </w:tc>
        <w:tc>
          <w:tcPr>
            <w:tcW w:type="dxa" w:w="2771"/>
          </w:tcPr>
          <w:p>
            <w:r/>
            <w:r>
              <w:rPr>
                <w:rFonts w:ascii="宋体" w:hAnsi="宋体" w:eastAsia="宋体"/>
                <w:sz w:val="20"/>
              </w:rPr>
              <w:t>结构化边界描述；</w:t>
              <w:br/>
              <w:t>权限划分</w:t>
            </w:r>
          </w:p>
        </w:tc>
      </w:tr>
      <w:tr>
        <w:tc>
          <w:tcPr>
            <w:tcW w:type="dxa" w:w="2771"/>
          </w:tcPr>
          <w:p>
            <w:r/>
            <w:r>
              <w:rPr>
                <w:rFonts w:ascii="宋体" w:hAnsi="宋体" w:eastAsia="宋体"/>
                <w:sz w:val="20"/>
              </w:rPr>
              <w:t>模型与决策</w:t>
            </w:r>
          </w:p>
        </w:tc>
        <w:tc>
          <w:tcPr>
            <w:tcW w:type="dxa" w:w="2771"/>
          </w:tcPr>
          <w:p>
            <w:r/>
            <w:r>
              <w:rPr>
                <w:rFonts w:ascii="宋体" w:hAnsi="宋体" w:eastAsia="宋体"/>
                <w:sz w:val="20"/>
              </w:rPr>
              <w:t>PBM + SM + OSEM + HDC/MAS</w:t>
              <w:br/>
              <w:t>在ODD约束下的协调</w:t>
            </w:r>
          </w:p>
        </w:tc>
        <w:tc>
          <w:tcPr>
            <w:tcW w:type="dxa" w:w="2771"/>
          </w:tcPr>
          <w:p>
            <w:r/>
            <w:r>
              <w:rPr>
                <w:rFonts w:ascii="宋体" w:hAnsi="宋体" w:eastAsia="宋体"/>
                <w:sz w:val="20"/>
              </w:rPr>
              <w:t>可执行控制策略；</w:t>
              <w:br/>
              <w:t>可审计决策逻辑</w:t>
            </w:r>
          </w:p>
        </w:tc>
      </w:tr>
      <w:tr>
        <w:tc>
          <w:tcPr>
            <w:tcW w:type="dxa" w:w="2771"/>
          </w:tcPr>
          <w:p>
            <w:r/>
            <w:r>
              <w:rPr>
                <w:rFonts w:ascii="宋体" w:hAnsi="宋体" w:eastAsia="宋体"/>
                <w:sz w:val="20"/>
              </w:rPr>
              <w:t>在环验证</w:t>
            </w:r>
          </w:p>
        </w:tc>
        <w:tc>
          <w:tcPr>
            <w:tcW w:type="dxa" w:w="2771"/>
          </w:tcPr>
          <w:p>
            <w:r/>
            <w:r>
              <w:rPr>
                <w:rFonts w:ascii="宋体" w:hAnsi="宋体" w:eastAsia="宋体"/>
                <w:sz w:val="20"/>
              </w:rPr>
              <w:t>MIL→SIL→HIL在</w:t>
              <w:br/>
              <w:t>ODD场景空间中的递进</w:t>
            </w:r>
          </w:p>
        </w:tc>
        <w:tc>
          <w:tcPr>
            <w:tcW w:type="dxa" w:w="2771"/>
          </w:tcPr>
          <w:p>
            <w:r/>
            <w:r>
              <w:rPr>
                <w:rFonts w:ascii="宋体" w:hAnsi="宋体" w:eastAsia="宋体"/>
                <w:sz w:val="20"/>
              </w:rPr>
              <w:t>证据链：</w:t>
              <w:br/>
              <w:t>ODD-用例-指标-</w:t>
              <w:br/>
              <w:t>结果-结论</w:t>
            </w:r>
          </w:p>
        </w:tc>
      </w:tr>
      <w:tr>
        <w:tc>
          <w:tcPr>
            <w:tcW w:type="dxa" w:w="2771"/>
          </w:tcPr>
          <w:p>
            <w:r/>
            <w:r>
              <w:rPr>
                <w:rFonts w:ascii="宋体" w:hAnsi="宋体" w:eastAsia="宋体"/>
                <w:sz w:val="20"/>
              </w:rPr>
              <w:t>现场执行</w:t>
            </w:r>
          </w:p>
        </w:tc>
        <w:tc>
          <w:tcPr>
            <w:tcW w:type="dxa" w:w="2771"/>
          </w:tcPr>
          <w:p>
            <w:r/>
            <w:r>
              <w:rPr>
                <w:rFonts w:ascii="宋体" w:hAnsi="宋体" w:eastAsia="宋体"/>
                <w:sz w:val="20"/>
              </w:rPr>
              <w:t>边缘控制部署；</w:t>
              <w:br/>
              <w:t>运行数据反馈</w:t>
            </w:r>
          </w:p>
        </w:tc>
        <w:tc>
          <w:tcPr>
            <w:tcW w:type="dxa" w:w="2771"/>
          </w:tcPr>
          <w:p>
            <w:r/>
            <w:r>
              <w:rPr>
                <w:rFonts w:ascii="宋体" w:hAnsi="宋体" w:eastAsia="宋体"/>
                <w:sz w:val="20"/>
              </w:rPr>
              <w:t>在线参数修正；</w:t>
              <w:br/>
              <w:t>策略迭代；再设计触发</w:t>
            </w:r>
          </w:p>
        </w:tc>
      </w:tr>
    </w:tbl>
    <w:p>
      <w:pPr>
        <w:spacing w:before="360" w:after="120"/>
        <w:jc w:val="left"/>
      </w:pPr>
      <w:r>
        <w:rPr>
          <w:rFonts w:ascii="黑体" w:hAnsi="黑体" w:eastAsia="黑体"/>
          <w:b/>
          <w:sz w:val="26"/>
        </w:rPr>
        <w:t>4.1 ODD定义层</w:t>
      </w:r>
    </w:p>
    <w:p>
      <w:pPr>
        <w:ind w:firstLine="420"/>
        <w:jc w:val="both"/>
      </w:pPr>
      <w:r>
        <w:rPr>
          <w:rFonts w:ascii="宋体" w:hAnsi="宋体" w:eastAsia="宋体"/>
          <w:sz w:val="24"/>
        </w:rPr>
        <w:t>ODD将水网的"规程-标准-应急预案"体系转化为三个维度的结构化边界描述（Lei et al., 2025b）：物理场景（水文-气象-资产状态条件）、运行能力（执行器约束、通信完整性、传感器冗余）和社会协议（调度优先权、权限分配、风险偏好）。对于复杂分布式水网，"层次化ODD"方法为战略调度、战术协调和现场执行层分别定义ODD子集，实现模块化分解和分层验证。这与五代框架（Lei et al., 2025d）中的三层MAS架构相对应。</w:t>
      </w:r>
    </w:p>
    <w:p>
      <w:pPr>
        <w:spacing w:before="360" w:after="120"/>
        <w:jc w:val="left"/>
      </w:pPr>
      <w:r>
        <w:rPr>
          <w:rFonts w:ascii="黑体" w:hAnsi="黑体" w:eastAsia="黑体"/>
          <w:b/>
          <w:sz w:val="26"/>
        </w:rPr>
        <w:t>4.2 模型与决策层</w:t>
      </w:r>
    </w:p>
    <w:p>
      <w:pPr>
        <w:ind w:firstLine="420"/>
        <w:jc w:val="both"/>
      </w:pPr>
      <w:r>
        <w:rPr>
          <w:rFonts w:ascii="宋体" w:hAnsi="宋体" w:eastAsia="宋体"/>
          <w:sz w:val="24"/>
        </w:rPr>
        <w:t>战略调度（L2层云端智能体）采用SM以确保日至月尺度的计算效率；战术协调（L1层区域智能体）使用基于SM的DMPC在多站渠段间协调；现场执行（L1层边缘智能体，与L0层SCADA/PLC接口）同样依赖SM进行实时预测控制，因为毫秒至分钟级的决策周期无法运行完整PBM。PBM则作为xIL验证链（4.3节）中的高保真虚拟工厂，提供SM控制策略验证的真值参考。HDC架构（Lei et al., 2025b）以三条关键交互规则组织上述功能：（i）上层向下层下发控制目标（设定值），下层向上层反馈运行状态；（ii）各层具备独立的安全降级能力——上层通信中断时，下层自主进入安全状态而非失效；（iii）L0层（SCADA）对违反硬约束的MAS指令保留最终否决权，确保软件层故障不会传导为物理层损害。在该架构中，每个MAS智能体整合3.3节所述的双引擎设计：物理AI引擎执行基于SM的预测控制和安全约束逻辑，认知AI引擎在ODD约束下处理态势识别和自适应目标组装。该层体现了五代框架中第3–5代所设想的"HDC+双引擎智能"集成。</w:t>
      </w:r>
    </w:p>
    <w:p>
      <w:pPr>
        <w:spacing w:before="360" w:after="120"/>
        <w:jc w:val="left"/>
      </w:pPr>
      <w:r>
        <w:rPr>
          <w:rFonts w:ascii="黑体" w:hAnsi="黑体" w:eastAsia="黑体"/>
          <w:b/>
          <w:sz w:val="26"/>
        </w:rPr>
        <w:t>4.3 在环验证层</w:t>
      </w:r>
    </w:p>
    <w:p>
      <w:pPr>
        <w:ind w:firstLine="420"/>
        <w:jc w:val="both"/>
      </w:pPr>
      <w:r>
        <w:rPr>
          <w:rFonts w:ascii="宋体" w:hAnsi="宋体" w:eastAsia="宋体"/>
          <w:sz w:val="24"/>
        </w:rPr>
        <w:t>核心目标是构建覆盖完整ODD场景空间的MIL–SIL–HIL全贯通证据体系（图2; Lei et al., 2025c）。SIL验证逻辑一致性和异常工况处理完备性；HIL引入真实硬件和通信约束，在故障注入下测试鲁棒性和安全降级机制。评价体系涵盖安全（水位越限、越限持续时间）、稳定（调节时间、超调量）和经济（能耗、供水缺口）三方面，形成五元验证指标元组&lt;ODD条件, 测试用例, 指标名, 指标值, 判定标准&gt;，支撑审计追踪。</w:t>
      </w:r>
    </w:p>
    <w:p>
      <w:pPr>
        <w:spacing w:before="240" w:after="240"/>
        <w:jc w:val="center"/>
      </w:pPr>
      <w:r>
        <w:rPr>
          <w:rFonts w:ascii="宋体" w:hAnsi="宋体" w:eastAsia="宋体"/>
          <w:i/>
          <w:color w:val="646464"/>
          <w:sz w:val="22"/>
        </w:rPr>
        <w:t>[图2. ODD驱动的SIL/HIL验证与证据链形成。ODD边界表达 → 场景和测试用例生成 → SIL → HIL → 证据链输出。]</w:t>
      </w:r>
    </w:p>
    <w:p>
      <w:pPr>
        <w:spacing w:before="360" w:after="120"/>
        <w:jc w:val="left"/>
      </w:pPr>
      <w:r>
        <w:rPr>
          <w:rFonts w:ascii="黑体" w:hAnsi="黑体" w:eastAsia="黑体"/>
          <w:b/>
          <w:sz w:val="26"/>
        </w:rPr>
        <w:t>4.4 现场执行层与闭环演化</w:t>
      </w:r>
    </w:p>
    <w:p>
      <w:pPr>
        <w:ind w:firstLine="420"/>
        <w:jc w:val="both"/>
      </w:pPr>
      <w:r>
        <w:rPr>
          <w:rFonts w:ascii="宋体" w:hAnsi="宋体" w:eastAsia="宋体"/>
          <w:sz w:val="24"/>
        </w:rPr>
        <w:t>验证通过的策略部署到边缘控制系统，同时运行数据持续反馈用于参数标定。当条件发生显著变化时，系统自主启动MBD再设计流程——刷新ODD定义、更新模型边界——形成从设计到运行的完整闭环。这一闭环属性也是本框架区别于传统一次性设计流程的核心特征。</w:t>
      </w:r>
    </w:p>
    <w:p>
      <w:pPr>
        <w:spacing w:before="360" w:after="120"/>
        <w:jc w:val="left"/>
      </w:pPr>
      <w:r>
        <w:rPr>
          <w:rFonts w:ascii="黑体" w:hAnsi="黑体" w:eastAsia="黑体"/>
          <w:b/>
          <w:sz w:val="26"/>
        </w:rPr>
        <w:t>4.5 工程链整合</w:t>
      </w:r>
    </w:p>
    <w:p>
      <w:pPr>
        <w:ind w:firstLine="420"/>
        <w:jc w:val="both"/>
      </w:pPr>
      <w:r>
        <w:rPr>
          <w:rFonts w:ascii="宋体" w:hAnsi="宋体" w:eastAsia="宋体"/>
          <w:sz w:val="24"/>
        </w:rPr>
        <w:t>四个层次并非独立模块，而是按"仿真建模→边界定义→决策组织→MIL/SIL/HIL验证→现场部署"的工程逻辑顺序连接，每一步为下一步提供输入和约束。</w:t>
      </w:r>
    </w:p>
    <w:p>
      <w:pPr>
        <w:ind w:firstLine="420"/>
        <w:jc w:val="both"/>
      </w:pPr>
      <w:r>
        <w:rPr>
          <w:rFonts w:ascii="宋体" w:hAnsi="宋体" w:eastAsia="宋体"/>
          <w:sz w:val="24"/>
        </w:rPr>
        <w:t>仿真建模：在CPSS架构（Lei et al., 2025a）下进行信息-物理耦合仿真，可执行模型贯穿需求与设计全流程（PBM提供水力学真值，SM支持快速控制迭代，OSEM实现实时状态重构），建立的虚拟工厂在后续所有xIL阶段中充当被控对象模型。</w:t>
      </w:r>
    </w:p>
    <w:p>
      <w:pPr>
        <w:ind w:firstLine="420"/>
        <w:jc w:val="both"/>
      </w:pPr>
      <w:r>
        <w:rPr>
          <w:rFonts w:ascii="宋体" w:hAnsi="宋体" w:eastAsia="宋体"/>
          <w:sz w:val="24"/>
        </w:rPr>
        <w:t>ODD（边界定义）：将"允许运行范围"划分为正常、受限和不可接受区域，将运行边界转化为可搜索、可审计的边界对象。ODD既是验证的准入条件，也是现场运行的安全包络。</w:t>
      </w:r>
    </w:p>
    <w:p>
      <w:pPr>
        <w:ind w:firstLine="420"/>
        <w:jc w:val="both"/>
      </w:pPr>
      <w:r>
        <w:rPr>
          <w:rFonts w:ascii="宋体" w:hAnsi="宋体" w:eastAsia="宋体"/>
          <w:sz w:val="24"/>
        </w:rPr>
        <w:t>HDC/MAS（决策组织）：三层智能体层级（云端→区域→边缘）在3.3节所述的设定值驱动、双层运行模式下组织多单元协调。每个智能体在其层级特定的ODD子集内运行，具备独立的安全降级能力；层间协商协议处理跨层协调。</w:t>
      </w:r>
    </w:p>
    <w:p>
      <w:pPr>
        <w:ind w:firstLine="420"/>
        <w:jc w:val="both"/>
      </w:pPr>
      <w:r>
        <w:rPr>
          <w:rFonts w:ascii="宋体" w:hAnsi="宋体" w:eastAsia="宋体"/>
          <w:sz w:val="24"/>
        </w:rPr>
        <w:t>MIL、SIL和HIL（在环验证）：MIL在非实时仿真中将控制逻辑与PBM进行闭环验证，实现快速算法迭代；SIL将算法编译为目标等效代码进行大规模场景扫描；HIL集成真实控制硬件，在接近部署条件下产生基于证据的结论。ODD驱动的流程为：ODD边界表达（正常/受限/不可接受）→ 场景和测试用例生成 → MIL（算法验证）→ SIL（策略一致性）→ HIL（实时闭环）→ 证据链输出。</w:t>
      </w:r>
    </w:p>
    <w:p>
      <w:pPr>
        <w:ind w:firstLine="420"/>
        <w:jc w:val="both"/>
      </w:pPr>
      <w:r>
        <w:rPr>
          <w:rFonts w:ascii="宋体" w:hAnsi="宋体" w:eastAsia="宋体"/>
          <w:sz w:val="24"/>
        </w:rPr>
        <w:t>该工程链构成五代框架（Lei et al., 2025d）中第3-4代过渡的实践实施路径。第3代（HDC部署）需要MIL–SIL–HIL链来验证分层控制算法在设计的ODD范围内的行为；第4代（系统化xIL认证）要求对模型确认、场景覆盖和证据记录进行形式化、可审计的管理。</w:t>
      </w:r>
    </w:p>
    <w:p>
      <w:pPr>
        <w:spacing w:before="480" w:after="240"/>
        <w:jc w:val="left"/>
      </w:pPr>
      <w:r>
        <w:rPr>
          <w:rFonts w:ascii="黑体" w:hAnsi="黑体" w:eastAsia="黑体"/>
          <w:b/>
          <w:sz w:val="28"/>
        </w:rPr>
        <w:t>5. 算例：串联泵站</w:t>
      </w:r>
    </w:p>
    <w:p>
      <w:pPr>
        <w:ind w:firstLine="420"/>
        <w:jc w:val="both"/>
      </w:pPr>
      <w:r>
        <w:rPr>
          <w:rFonts w:ascii="宋体" w:hAnsi="宋体" w:eastAsia="宋体"/>
          <w:sz w:val="24"/>
        </w:rPr>
        <w:t>为展示框架的具体性，本节以一个假想的四级串联泵站为算例，该系统通过4座泵站和3段明渠渠池将水输送200 km。每座泵站包含3×2 MW变频水泵和一座调压井。以下展示ODD定义和xIL验证设计（后续论文将报告实际仿真结果和HIL试验数据）。</w:t>
      </w:r>
    </w:p>
    <w:p>
      <w:pPr>
        <w:spacing w:before="360" w:after="120"/>
        <w:jc w:val="left"/>
      </w:pPr>
      <w:r>
        <w:rPr>
          <w:rFonts w:ascii="黑体" w:hAnsi="黑体" w:eastAsia="黑体"/>
          <w:b/>
          <w:sz w:val="26"/>
        </w:rPr>
        <w:t>5.1 串联系统的ODD定义</w:t>
      </w:r>
    </w:p>
    <w:p>
      <w:pPr>
        <w:ind w:firstLine="420"/>
        <w:jc w:val="both"/>
      </w:pPr>
      <w:r>
        <w:rPr>
          <w:rFonts w:ascii="宋体" w:hAnsi="宋体" w:eastAsia="宋体"/>
          <w:sz w:val="24"/>
        </w:rPr>
        <w:t>表3给出了按三维框架（物理、运行能力、社会协议）组织的结构化ODD。每项定义了可测量边界、正常运行范围、受限运行范围（触发算法/权限切换）和不可接受范围（触发安全停机或人工接管）。</w:t>
      </w:r>
    </w:p>
    <w:p/>
    <w:p>
      <w:pPr>
        <w:spacing w:after="120"/>
        <w:jc w:val="center"/>
      </w:pPr>
      <w:r>
        <w:rPr>
          <w:rFonts w:ascii="黑体" w:hAnsi="黑体" w:eastAsia="黑体"/>
          <w:b/>
          <w:sz w:val="22"/>
        </w:rPr>
        <w:t>表3. 四级串联泵站的示例ODD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2"/>
        <w:gridCol w:w="1662"/>
        <w:gridCol w:w="1662"/>
        <w:gridCol w:w="1662"/>
        <w:gridCol w:w="1662"/>
      </w:tblGrid>
      <w:tr>
        <w:tc>
          <w:tcPr>
            <w:tcW w:type="dxa" w:w="1662"/>
          </w:tcPr>
          <w:p>
            <w:pPr>
              <w:jc w:val="center"/>
            </w:pPr>
            <w:r/>
            <w:r>
              <w:rPr>
                <w:rFonts w:ascii="黑体" w:hAnsi="黑体" w:eastAsia="黑体"/>
                <w:b/>
                <w:sz w:val="20"/>
              </w:rPr>
              <w:t>维度</w:t>
            </w:r>
          </w:p>
        </w:tc>
        <w:tc>
          <w:tcPr>
            <w:tcW w:type="dxa" w:w="1662"/>
          </w:tcPr>
          <w:p>
            <w:pPr>
              <w:jc w:val="center"/>
            </w:pPr>
            <w:r/>
            <w:r>
              <w:rPr>
                <w:rFonts w:ascii="黑体" w:hAnsi="黑体" w:eastAsia="黑体"/>
                <w:b/>
                <w:sz w:val="20"/>
              </w:rPr>
              <w:t>参数</w:t>
            </w:r>
          </w:p>
        </w:tc>
        <w:tc>
          <w:tcPr>
            <w:tcW w:type="dxa" w:w="1662"/>
          </w:tcPr>
          <w:p>
            <w:pPr>
              <w:jc w:val="center"/>
            </w:pPr>
            <w:r/>
            <w:r>
              <w:rPr>
                <w:rFonts w:ascii="黑体" w:hAnsi="黑体" w:eastAsia="黑体"/>
                <w:b/>
                <w:sz w:val="20"/>
              </w:rPr>
              <w:t>正常</w:t>
            </w:r>
          </w:p>
        </w:tc>
        <w:tc>
          <w:tcPr>
            <w:tcW w:type="dxa" w:w="1662"/>
          </w:tcPr>
          <w:p>
            <w:pPr>
              <w:jc w:val="center"/>
            </w:pPr>
            <w:r/>
            <w:r>
              <w:rPr>
                <w:rFonts w:ascii="黑体" w:hAnsi="黑体" w:eastAsia="黑体"/>
                <w:b/>
                <w:sz w:val="20"/>
              </w:rPr>
              <w:t>受限</w:t>
            </w:r>
          </w:p>
        </w:tc>
        <w:tc>
          <w:tcPr>
            <w:tcW w:type="dxa" w:w="1662"/>
          </w:tcPr>
          <w:p>
            <w:pPr>
              <w:jc w:val="center"/>
            </w:pPr>
            <w:r/>
            <w:r>
              <w:rPr>
                <w:rFonts w:ascii="黑体" w:hAnsi="黑体" w:eastAsia="黑体"/>
                <w:b/>
                <w:sz w:val="20"/>
              </w:rPr>
              <w:t>不可接受</w:t>
            </w:r>
          </w:p>
        </w:tc>
      </w:tr>
      <w:tr>
        <w:tc>
          <w:tcPr>
            <w:tcW w:type="dxa" w:w="1662"/>
          </w:tcPr>
          <w:p>
            <w:r/>
            <w:r>
              <w:rPr>
                <w:rFonts w:ascii="宋体" w:hAnsi="宋体" w:eastAsia="宋体"/>
                <w:sz w:val="20"/>
              </w:rPr>
              <w:t>物理：</w:t>
              <w:br/>
              <w:t>水文</w:t>
            </w:r>
          </w:p>
        </w:tc>
        <w:tc>
          <w:tcPr>
            <w:tcW w:type="dxa" w:w="1662"/>
          </w:tcPr>
          <w:p>
            <w:r/>
            <w:r>
              <w:rPr>
                <w:rFonts w:ascii="宋体" w:hAnsi="宋体" w:eastAsia="宋体"/>
                <w:sz w:val="20"/>
              </w:rPr>
              <w:t>取水口流量</w:t>
              <w:br/>
              <w:t>(m³/s)</w:t>
            </w:r>
          </w:p>
        </w:tc>
        <w:tc>
          <w:tcPr>
            <w:tcW w:type="dxa" w:w="1662"/>
          </w:tcPr>
          <w:p>
            <w:r/>
            <w:r>
              <w:rPr>
                <w:rFonts w:ascii="宋体" w:hAnsi="宋体" w:eastAsia="宋体"/>
                <w:sz w:val="20"/>
              </w:rPr>
              <w:t>15–40</w:t>
            </w:r>
          </w:p>
        </w:tc>
        <w:tc>
          <w:tcPr>
            <w:tcW w:type="dxa" w:w="1662"/>
          </w:tcPr>
          <w:p>
            <w:r/>
            <w:r>
              <w:rPr>
                <w:rFonts w:ascii="宋体" w:hAnsi="宋体" w:eastAsia="宋体"/>
                <w:sz w:val="20"/>
              </w:rPr>
              <w:t>40–55或10–15</w:t>
            </w:r>
          </w:p>
        </w:tc>
        <w:tc>
          <w:tcPr>
            <w:tcW w:type="dxa" w:w="1662"/>
          </w:tcPr>
          <w:p>
            <w:r/>
            <w:r>
              <w:rPr>
                <w:rFonts w:ascii="宋体" w:hAnsi="宋体" w:eastAsia="宋体"/>
                <w:sz w:val="20"/>
              </w:rPr>
              <w:t>&gt;55或&lt;10</w:t>
            </w:r>
          </w:p>
        </w:tc>
      </w:tr>
      <w:tr>
        <w:tc>
          <w:tcPr>
            <w:tcW w:type="dxa" w:w="1662"/>
          </w:tcPr>
          <w:p>
            <w:r/>
            <w:r>
              <w:rPr>
                <w:rFonts w:ascii="宋体" w:hAnsi="宋体" w:eastAsia="宋体"/>
                <w:sz w:val="20"/>
              </w:rPr>
              <w:t>物理：</w:t>
              <w:br/>
              <w:t>水力</w:t>
            </w:r>
          </w:p>
        </w:tc>
        <w:tc>
          <w:tcPr>
            <w:tcW w:type="dxa" w:w="1662"/>
          </w:tcPr>
          <w:p>
            <w:r/>
            <w:r>
              <w:rPr>
                <w:rFonts w:ascii="宋体" w:hAnsi="宋体" w:eastAsia="宋体"/>
                <w:sz w:val="20"/>
              </w:rPr>
              <w:t>调压井液位</w:t>
              <w:br/>
              <w:t>偏差 (m)</w:t>
            </w:r>
          </w:p>
        </w:tc>
        <w:tc>
          <w:tcPr>
            <w:tcW w:type="dxa" w:w="1662"/>
          </w:tcPr>
          <w:p>
            <w:r/>
            <w:r>
              <w:rPr>
                <w:rFonts w:ascii="宋体" w:hAnsi="宋体" w:eastAsia="宋体"/>
                <w:sz w:val="20"/>
              </w:rPr>
              <w:t>±0.5</w:t>
              <w:br/>
              <w:t>（距设定值）</w:t>
            </w:r>
          </w:p>
        </w:tc>
        <w:tc>
          <w:tcPr>
            <w:tcW w:type="dxa" w:w="1662"/>
          </w:tcPr>
          <w:p>
            <w:r/>
            <w:r>
              <w:rPr>
                <w:rFonts w:ascii="宋体" w:hAnsi="宋体" w:eastAsia="宋体"/>
                <w:sz w:val="20"/>
              </w:rPr>
              <w:t>±0.5–1.0</w:t>
            </w:r>
          </w:p>
        </w:tc>
        <w:tc>
          <w:tcPr>
            <w:tcW w:type="dxa" w:w="1662"/>
          </w:tcPr>
          <w:p>
            <w:r/>
            <w:r>
              <w:rPr>
                <w:rFonts w:ascii="宋体" w:hAnsi="宋体" w:eastAsia="宋体"/>
                <w:sz w:val="20"/>
              </w:rPr>
              <w:t>&gt;±1.0</w:t>
            </w:r>
          </w:p>
        </w:tc>
      </w:tr>
      <w:tr>
        <w:tc>
          <w:tcPr>
            <w:tcW w:type="dxa" w:w="1662"/>
          </w:tcPr>
          <w:p>
            <w:r/>
            <w:r>
              <w:rPr>
                <w:rFonts w:ascii="宋体" w:hAnsi="宋体" w:eastAsia="宋体"/>
                <w:sz w:val="20"/>
              </w:rPr>
              <w:t>物理：</w:t>
              <w:br/>
              <w:t>资产健康</w:t>
            </w:r>
          </w:p>
        </w:tc>
        <w:tc>
          <w:tcPr>
            <w:tcW w:type="dxa" w:w="1662"/>
          </w:tcPr>
          <w:p>
            <w:r/>
            <w:r>
              <w:rPr>
                <w:rFonts w:ascii="宋体" w:hAnsi="宋体" w:eastAsia="宋体"/>
                <w:sz w:val="20"/>
              </w:rPr>
              <w:t>水泵振动</w:t>
              <w:br/>
              <w:t>(mm/s rms)</w:t>
            </w:r>
          </w:p>
        </w:tc>
        <w:tc>
          <w:tcPr>
            <w:tcW w:type="dxa" w:w="1662"/>
          </w:tcPr>
          <w:p>
            <w:r/>
            <w:r>
              <w:rPr>
                <w:rFonts w:ascii="宋体" w:hAnsi="宋体" w:eastAsia="宋体"/>
                <w:sz w:val="20"/>
              </w:rPr>
              <w:t>&lt;4.5</w:t>
              <w:br/>
              <w:t>(ISO 10816 A区)</w:t>
            </w:r>
          </w:p>
        </w:tc>
        <w:tc>
          <w:tcPr>
            <w:tcW w:type="dxa" w:w="1662"/>
          </w:tcPr>
          <w:p>
            <w:r/>
            <w:r>
              <w:rPr>
                <w:rFonts w:ascii="宋体" w:hAnsi="宋体" w:eastAsia="宋体"/>
                <w:sz w:val="20"/>
              </w:rPr>
              <w:t>4.5–7.1</w:t>
              <w:br/>
              <w:t>(B区)</w:t>
            </w:r>
          </w:p>
        </w:tc>
        <w:tc>
          <w:tcPr>
            <w:tcW w:type="dxa" w:w="1662"/>
          </w:tcPr>
          <w:p>
            <w:r/>
            <w:r>
              <w:rPr>
                <w:rFonts w:ascii="宋体" w:hAnsi="宋体" w:eastAsia="宋体"/>
                <w:sz w:val="20"/>
              </w:rPr>
              <w:t>&gt;7.1</w:t>
              <w:br/>
              <w:t>(C/D区)</w:t>
            </w:r>
          </w:p>
        </w:tc>
      </w:tr>
      <w:tr>
        <w:tc>
          <w:tcPr>
            <w:tcW w:type="dxa" w:w="1662"/>
          </w:tcPr>
          <w:p>
            <w:r/>
            <w:r>
              <w:rPr>
                <w:rFonts w:ascii="宋体" w:hAnsi="宋体" w:eastAsia="宋体"/>
                <w:sz w:val="20"/>
              </w:rPr>
              <w:t>运行：</w:t>
              <w:br/>
              <w:t>执行器</w:t>
            </w:r>
          </w:p>
        </w:tc>
        <w:tc>
          <w:tcPr>
            <w:tcW w:type="dxa" w:w="1662"/>
          </w:tcPr>
          <w:p>
            <w:r/>
            <w:r>
              <w:rPr>
                <w:rFonts w:ascii="宋体" w:hAnsi="宋体" w:eastAsia="宋体"/>
                <w:sz w:val="20"/>
              </w:rPr>
              <w:t>闸门行程速率</w:t>
              <w:br/>
              <w:t>(cm/min)</w:t>
            </w:r>
          </w:p>
        </w:tc>
        <w:tc>
          <w:tcPr>
            <w:tcW w:type="dxa" w:w="1662"/>
          </w:tcPr>
          <w:p>
            <w:r/>
            <w:r>
              <w:rPr>
                <w:rFonts w:ascii="宋体" w:hAnsi="宋体" w:eastAsia="宋体"/>
                <w:sz w:val="20"/>
              </w:rPr>
              <w:t>≤0.5</w:t>
              <w:br/>
              <w:t>（平稳调节）</w:t>
            </w:r>
          </w:p>
        </w:tc>
        <w:tc>
          <w:tcPr>
            <w:tcW w:type="dxa" w:w="1662"/>
          </w:tcPr>
          <w:p>
            <w:r/>
            <w:r>
              <w:rPr>
                <w:rFonts w:ascii="宋体" w:hAnsi="宋体" w:eastAsia="宋体"/>
                <w:sz w:val="20"/>
              </w:rPr>
              <w:t>0.5–1.0</w:t>
              <w:br/>
              <w:t>（瞬变风险）</w:t>
            </w:r>
          </w:p>
        </w:tc>
        <w:tc>
          <w:tcPr>
            <w:tcW w:type="dxa" w:w="1662"/>
          </w:tcPr>
          <w:p>
            <w:r/>
            <w:r>
              <w:rPr>
                <w:rFonts w:ascii="宋体" w:hAnsi="宋体" w:eastAsia="宋体"/>
                <w:sz w:val="20"/>
              </w:rPr>
              <w:t>&gt;1.0</w:t>
              <w:br/>
              <w:t>（水锤风险）</w:t>
            </w:r>
          </w:p>
        </w:tc>
      </w:tr>
      <w:tr>
        <w:tc>
          <w:tcPr>
            <w:tcW w:type="dxa" w:w="1662"/>
          </w:tcPr>
          <w:p>
            <w:r/>
            <w:r>
              <w:rPr>
                <w:rFonts w:ascii="宋体" w:hAnsi="宋体" w:eastAsia="宋体"/>
                <w:sz w:val="20"/>
              </w:rPr>
              <w:t>运行：</w:t>
              <w:br/>
              <w:t>通信</w:t>
            </w:r>
          </w:p>
        </w:tc>
        <w:tc>
          <w:tcPr>
            <w:tcW w:type="dxa" w:w="1662"/>
          </w:tcPr>
          <w:p>
            <w:r/>
            <w:r>
              <w:rPr>
                <w:rFonts w:ascii="宋体" w:hAnsi="宋体" w:eastAsia="宋体"/>
                <w:sz w:val="20"/>
              </w:rPr>
              <w:t>RTU–SCADA</w:t>
              <w:br/>
              <w:t>延迟 (ms)</w:t>
            </w:r>
          </w:p>
        </w:tc>
        <w:tc>
          <w:tcPr>
            <w:tcW w:type="dxa" w:w="1662"/>
          </w:tcPr>
          <w:p>
            <w:r/>
            <w:r>
              <w:rPr>
                <w:rFonts w:ascii="宋体" w:hAnsi="宋体" w:eastAsia="宋体"/>
                <w:sz w:val="20"/>
              </w:rPr>
              <w:t>&lt;500</w:t>
            </w:r>
          </w:p>
        </w:tc>
        <w:tc>
          <w:tcPr>
            <w:tcW w:type="dxa" w:w="1662"/>
          </w:tcPr>
          <w:p>
            <w:r/>
            <w:r>
              <w:rPr>
                <w:rFonts w:ascii="宋体" w:hAnsi="宋体" w:eastAsia="宋体"/>
                <w:sz w:val="20"/>
              </w:rPr>
              <w:t>500–2000</w:t>
            </w:r>
          </w:p>
        </w:tc>
        <w:tc>
          <w:tcPr>
            <w:tcW w:type="dxa" w:w="1662"/>
          </w:tcPr>
          <w:p>
            <w:r/>
            <w:r>
              <w:rPr>
                <w:rFonts w:ascii="宋体" w:hAnsi="宋体" w:eastAsia="宋体"/>
                <w:sz w:val="20"/>
              </w:rPr>
              <w:t>&gt;2000或</w:t>
              <w:br/>
              <w:t>链路中断</w:t>
            </w:r>
          </w:p>
        </w:tc>
      </w:tr>
      <w:tr>
        <w:tc>
          <w:tcPr>
            <w:tcW w:type="dxa" w:w="1662"/>
          </w:tcPr>
          <w:p>
            <w:r/>
            <w:r>
              <w:rPr>
                <w:rFonts w:ascii="宋体" w:hAnsi="宋体" w:eastAsia="宋体"/>
                <w:sz w:val="20"/>
              </w:rPr>
              <w:t>运行：</w:t>
              <w:br/>
              <w:t>传感</w:t>
            </w:r>
          </w:p>
        </w:tc>
        <w:tc>
          <w:tcPr>
            <w:tcW w:type="dxa" w:w="1662"/>
          </w:tcPr>
          <w:p>
            <w:r/>
            <w:r>
              <w:rPr>
                <w:rFonts w:ascii="宋体" w:hAnsi="宋体" w:eastAsia="宋体"/>
                <w:sz w:val="20"/>
              </w:rPr>
              <w:t>水位传感器</w:t>
              <w:br/>
              <w:t>冗余状态</w:t>
            </w:r>
          </w:p>
        </w:tc>
        <w:tc>
          <w:tcPr>
            <w:tcW w:type="dxa" w:w="1662"/>
          </w:tcPr>
          <w:p>
            <w:r/>
            <w:r>
              <w:rPr>
                <w:rFonts w:ascii="宋体" w:hAnsi="宋体" w:eastAsia="宋体"/>
                <w:sz w:val="20"/>
              </w:rPr>
              <w:t>3路冗余传感器</w:t>
              <w:br/>
              <w:t>一致</w:t>
            </w:r>
          </w:p>
        </w:tc>
        <w:tc>
          <w:tcPr>
            <w:tcW w:type="dxa" w:w="1662"/>
          </w:tcPr>
          <w:p>
            <w:r/>
            <w:r>
              <w:rPr>
                <w:rFonts w:ascii="宋体" w:hAnsi="宋体" w:eastAsia="宋体"/>
                <w:sz w:val="20"/>
              </w:rPr>
              <w:t>1路离线</w:t>
              <w:br/>
              <w:t>或漂移</w:t>
            </w:r>
          </w:p>
        </w:tc>
        <w:tc>
          <w:tcPr>
            <w:tcW w:type="dxa" w:w="1662"/>
          </w:tcPr>
          <w:p>
            <w:r/>
            <w:r>
              <w:rPr>
                <w:rFonts w:ascii="宋体" w:hAnsi="宋体" w:eastAsia="宋体"/>
                <w:sz w:val="20"/>
              </w:rPr>
              <w:t>≥2路</w:t>
              <w:br/>
              <w:t>离线</w:t>
            </w:r>
          </w:p>
        </w:tc>
      </w:tr>
      <w:tr>
        <w:tc>
          <w:tcPr>
            <w:tcW w:type="dxa" w:w="1662"/>
          </w:tcPr>
          <w:p>
            <w:r/>
            <w:r>
              <w:rPr>
                <w:rFonts w:ascii="宋体" w:hAnsi="宋体" w:eastAsia="宋体"/>
                <w:sz w:val="20"/>
              </w:rPr>
              <w:t>社会：</w:t>
              <w:br/>
              <w:t>调度模式</w:t>
            </w:r>
          </w:p>
        </w:tc>
        <w:tc>
          <w:tcPr>
            <w:tcW w:type="dxa" w:w="1662"/>
          </w:tcPr>
          <w:p>
            <w:r/>
            <w:r>
              <w:rPr>
                <w:rFonts w:ascii="宋体" w:hAnsi="宋体" w:eastAsia="宋体"/>
                <w:sz w:val="20"/>
              </w:rPr>
              <w:t>运行目标</w:t>
            </w:r>
          </w:p>
        </w:tc>
        <w:tc>
          <w:tcPr>
            <w:tcW w:type="dxa" w:w="1662"/>
          </w:tcPr>
          <w:p>
            <w:r/>
            <w:r>
              <w:rPr>
                <w:rFonts w:ascii="宋体" w:hAnsi="宋体" w:eastAsia="宋体"/>
                <w:sz w:val="20"/>
              </w:rPr>
              <w:t>经济优先</w:t>
              <w:br/>
              <w:t>（最小能耗）</w:t>
            </w:r>
          </w:p>
        </w:tc>
        <w:tc>
          <w:tcPr>
            <w:tcW w:type="dxa" w:w="1662"/>
          </w:tcPr>
          <w:p>
            <w:r/>
            <w:r>
              <w:rPr>
                <w:rFonts w:ascii="宋体" w:hAnsi="宋体" w:eastAsia="宋体"/>
                <w:sz w:val="20"/>
              </w:rPr>
              <w:t>安全优先</w:t>
              <w:br/>
              <w:t>（汛期）</w:t>
            </w:r>
          </w:p>
        </w:tc>
        <w:tc>
          <w:tcPr>
            <w:tcW w:type="dxa" w:w="1662"/>
          </w:tcPr>
          <w:p>
            <w:r/>
            <w:r>
              <w:rPr>
                <w:rFonts w:ascii="宋体" w:hAnsi="宋体" w:eastAsia="宋体"/>
                <w:sz w:val="20"/>
              </w:rPr>
              <w:t>紧急停机</w:t>
            </w:r>
          </w:p>
        </w:tc>
      </w:tr>
      <w:tr>
        <w:tc>
          <w:tcPr>
            <w:tcW w:type="dxa" w:w="1662"/>
          </w:tcPr>
          <w:p>
            <w:r/>
            <w:r>
              <w:rPr>
                <w:rFonts w:ascii="宋体" w:hAnsi="宋体" w:eastAsia="宋体"/>
                <w:sz w:val="20"/>
              </w:rPr>
              <w:t>社会：</w:t>
              <w:br/>
              <w:t>权限</w:t>
            </w:r>
          </w:p>
        </w:tc>
        <w:tc>
          <w:tcPr>
            <w:tcW w:type="dxa" w:w="1662"/>
          </w:tcPr>
          <w:p>
            <w:r/>
            <w:r>
              <w:rPr>
                <w:rFonts w:ascii="宋体" w:hAnsi="宋体" w:eastAsia="宋体"/>
                <w:sz w:val="20"/>
              </w:rPr>
              <w:t>自主决策</w:t>
              <w:br/>
              <w:t>范围</w:t>
            </w:r>
          </w:p>
        </w:tc>
        <w:tc>
          <w:tcPr>
            <w:tcW w:type="dxa" w:w="1662"/>
          </w:tcPr>
          <w:p>
            <w:r/>
            <w:r>
              <w:rPr>
                <w:rFonts w:ascii="宋体" w:hAnsi="宋体" w:eastAsia="宋体"/>
                <w:sz w:val="20"/>
              </w:rPr>
              <w:t>全设定值</w:t>
              <w:br/>
              <w:t>调整</w:t>
            </w:r>
          </w:p>
        </w:tc>
        <w:tc>
          <w:tcPr>
            <w:tcW w:type="dxa" w:w="1662"/>
          </w:tcPr>
          <w:p>
            <w:r/>
            <w:r>
              <w:rPr>
                <w:rFonts w:ascii="宋体" w:hAnsi="宋体" w:eastAsia="宋体"/>
                <w:sz w:val="20"/>
              </w:rPr>
              <w:t>限速率</w:t>
              <w:br/>
              <w:t>调整</w:t>
            </w:r>
          </w:p>
        </w:tc>
        <w:tc>
          <w:tcPr>
            <w:tcW w:type="dxa" w:w="1662"/>
          </w:tcPr>
          <w:p>
            <w:r/>
            <w:r>
              <w:rPr>
                <w:rFonts w:ascii="宋体" w:hAnsi="宋体" w:eastAsia="宋体"/>
                <w:sz w:val="20"/>
              </w:rPr>
              <w:t>需人工</w:t>
              <w:br/>
              <w:t>接管</w:t>
            </w:r>
          </w:p>
        </w:tc>
      </w:tr>
    </w:tbl>
    <w:p/>
    <w:p>
      <w:pPr>
        <w:ind w:firstLine="420"/>
        <w:jc w:val="both"/>
      </w:pPr>
      <w:r>
        <w:rPr>
          <w:rFonts w:ascii="宋体" w:hAnsi="宋体" w:eastAsia="宋体"/>
          <w:sz w:val="24"/>
        </w:rPr>
        <w:t>该ODD表有几个值得强调的特点。第一，三个维度（物理、运行、社会）通过保守耦合逻辑交互：任一维度出现"不可接受"状态则触发全局紧急降级，无需等待其他维度确认。第二，每个参数的边界值来源于明确的工程标准或物理约束（如ISO 10816振动标准），确保ODD以经过验证的阈值为基础而非主观判断。第三，ODD直接驱动测试用例生成：正常-受限-不可接受边界处及三维度组合状态构成系统化的测试优先级。第四，通信延迟（RTU延迟&lt;2000 ms）等运行能力参数直接作为xIL验证链中测试用例生成的输入。</w:t>
      </w:r>
    </w:p>
    <w:p>
      <w:pPr>
        <w:spacing w:before="360" w:after="120"/>
        <w:jc w:val="left"/>
      </w:pPr>
      <w:r>
        <w:rPr>
          <w:rFonts w:ascii="黑体" w:hAnsi="黑体" w:eastAsia="黑体"/>
          <w:b/>
          <w:sz w:val="26"/>
        </w:rPr>
        <w:t>5.2 xIL验证设计</w:t>
      </w:r>
    </w:p>
    <w:p>
      <w:pPr>
        <w:ind w:firstLine="420"/>
        <w:jc w:val="both"/>
      </w:pPr>
      <w:r>
        <w:rPr>
          <w:rFonts w:ascii="宋体" w:hAnsi="宋体" w:eastAsia="宋体"/>
          <w:sz w:val="24"/>
        </w:rPr>
        <w:t>基于表3的ODD，xIL验证链组织为三个阶段：</w:t>
      </w:r>
    </w:p>
    <w:p>
      <w:pPr>
        <w:ind w:firstLine="420"/>
        <w:jc w:val="both"/>
      </w:pPr>
      <w:r>
        <w:rPr>
          <w:rFonts w:ascii="宋体" w:hAnsi="宋体" w:eastAsia="宋体"/>
          <w:sz w:val="24"/>
        </w:rPr>
        <w:t>MIL阶段：以基于Saint-Venant方程的明渠模型耦合有压管道瞬变模型构成PBM，按完整ODD参数范围填充参数。拉丁超立方抽样策略在ODD的8个参数维度上生成500+个场景（含正常、受限和不可接受工况），每个场景运行双引擎闭环MPC仿真并记录五元验证指标元组。该阶段验证算法层面的控制性能，覆盖完整ODD场景空间的闭环运行。</w:t>
      </w:r>
    </w:p>
    <w:p>
      <w:pPr>
        <w:ind w:firstLine="420"/>
        <w:jc w:val="both"/>
      </w:pPr>
      <w:r>
        <w:rPr>
          <w:rFonts w:ascii="宋体" w:hAnsi="宋体" w:eastAsia="宋体"/>
          <w:sz w:val="24"/>
        </w:rPr>
        <w:t>SIL阶段：控制算法编译为目标等效代码（如用于边缘PLC的C代码），在实时软件环境中与同一PBM执行。重点关注：（a）与MIL结果的逻辑一致性；（b）定点运算对SM的数值精度影响；（c）通信延迟注入（模拟RTU–SCADA延迟衰减至ODD受限阈值）对闭环稳定性的影响；（d）MAS代理协商在消息丢包条件下的行为。</w:t>
      </w:r>
    </w:p>
    <w:p>
      <w:pPr>
        <w:ind w:firstLine="420"/>
        <w:jc w:val="both"/>
      </w:pPr>
      <w:r>
        <w:rPr>
          <w:rFonts w:ascii="宋体" w:hAnsi="宋体" w:eastAsia="宋体"/>
          <w:sz w:val="24"/>
        </w:rPr>
        <w:t>HIL阶段：物理PLC和RTU替代软件模拟的控制器，重现完整的SCADA+MAS双层架构。PBM在实时仿真器上运行，通过物理I/O与硬件通信。关键验证包括：SCADA否决权机制（在不可接受ODD状态下MAS指令是否被正确拦截）；安全降级行为（逐层通信中断场景：云端离线→区域智能体自主协调；区域离线→边缘智能体以安全设定值维持运行）；以及紧急停机序列（从检测到全线安全停机的完整时序）。</w:t>
      </w:r>
    </w:p>
    <w:p>
      <w:pPr>
        <w:spacing w:before="360" w:after="120"/>
        <w:jc w:val="left"/>
      </w:pPr>
      <w:r>
        <w:rPr>
          <w:rFonts w:ascii="黑体" w:hAnsi="黑体" w:eastAsia="黑体"/>
          <w:b/>
          <w:sz w:val="26"/>
        </w:rPr>
        <w:t>5.3 预期输出</w:t>
      </w:r>
    </w:p>
    <w:p>
      <w:pPr>
        <w:ind w:firstLine="420"/>
        <w:jc w:val="both"/>
      </w:pPr>
      <w:r>
        <w:rPr>
          <w:rFonts w:ascii="宋体" w:hAnsi="宋体" w:eastAsia="宋体"/>
          <w:sz w:val="24"/>
        </w:rPr>
        <w:t>验证活动产出：（i）映射到ODD的场景覆盖矩阵，量化已测试运行包络的比例；（ii）每个五元组的通过/失败记录，附有失败的根因分析；（iii）完整审计追踪，支撑调试诊断和合规评审。所有原始数据——仿真日志、硬件信号记录、智能体通信跟踪——归档至可搜索的证据库中，形成经认证的证据链。</w:t>
      </w:r>
    </w:p>
    <w:p>
      <w:pPr>
        <w:spacing w:before="360" w:after="120"/>
        <w:jc w:val="left"/>
      </w:pPr>
      <w:r>
        <w:rPr>
          <w:rFonts w:ascii="黑体" w:hAnsi="黑体" w:eastAsia="黑体"/>
          <w:b/>
          <w:sz w:val="26"/>
        </w:rPr>
        <w:t>5.4 来自实践的初步证据</w:t>
      </w:r>
    </w:p>
    <w:p>
      <w:pPr>
        <w:ind w:firstLine="420"/>
        <w:jc w:val="both"/>
      </w:pPr>
      <w:r>
        <w:rPr>
          <w:rFonts w:ascii="宋体" w:hAnsi="宋体" w:eastAsia="宋体"/>
          <w:sz w:val="24"/>
        </w:rPr>
        <w:t>虽然完整的MBD框架尚未作为集成系统实施，但方法论的要素已在作者的工程实践中得到应用，为关键组件提供了部分验证。</w:t>
      </w:r>
    </w:p>
    <w:p>
      <w:pPr>
        <w:ind w:firstLine="420"/>
        <w:jc w:val="both"/>
      </w:pPr>
      <w:r>
        <w:rPr>
          <w:rFonts w:ascii="宋体" w:hAnsi="宋体" w:eastAsia="宋体"/>
          <w:sz w:val="24"/>
        </w:rPr>
        <w:t>在胶东调水工程（山东省一条500+ km多梯级长距离输水系统）中，团队部署了SCADA集成的分层分布式控制，并在部分场景进行了模型在环验证。结果表明，对于设计包络内的运行场景，基于模型的预验证识别出了稳态分析遗漏的两个泵站切换瞬态问题。但在通信降级和传感器故障的组合条件下——框架将其归类为"受限"ODD——未进行系统化验证。</w:t>
      </w:r>
    </w:p>
    <w:p>
      <w:pPr>
        <w:ind w:firstLine="420"/>
        <w:jc w:val="both"/>
      </w:pPr>
      <w:r>
        <w:rPr>
          <w:rFonts w:ascii="宋体" w:hAnsi="宋体" w:eastAsia="宋体"/>
          <w:sz w:val="24"/>
        </w:rPr>
        <w:t>在大渡河（沙坪）梯级水电系统中，实现了以简化动态模型作为SM的水库-水轮机协调实时MPC。现场性能显示设定值跟踪精度在正常ODD条件下优于±0.3 m，能耗相比传统规则控制降低约8%。然而，超出设计包络的极端工况（水库水位低于L3阈值的情况）仅通过离线仿真进行了分析，未经过MIL–SIL–HIL验证链的系统化处理——这恰恰是本框架的xIL方法论旨在填补的缺口类型。</w:t>
      </w:r>
    </w:p>
    <w:p>
      <w:pPr>
        <w:ind w:firstLine="420"/>
        <w:jc w:val="both"/>
      </w:pPr>
      <w:r>
        <w:rPr>
          <w:rFonts w:ascii="宋体" w:hAnsi="宋体" w:eastAsia="宋体"/>
          <w:sz w:val="24"/>
        </w:rPr>
        <w:t>这些经验提供了启发性但非系统性的证据：基于模型的预验证能够捕获静态分析遗漏的设计缺陷（支持左移命题），但在缺乏系统化ODD定义和完整xIL覆盖的条件下，差距恰恰出现在最关键的工况——超出设计包络的场景——之中。</w:t>
      </w:r>
    </w:p>
    <w:p>
      <w:pPr>
        <w:spacing w:before="480" w:after="240"/>
        <w:jc w:val="left"/>
      </w:pPr>
      <w:r>
        <w:rPr>
          <w:rFonts w:ascii="黑体" w:hAnsi="黑体" w:eastAsia="黑体"/>
          <w:b/>
          <w:sz w:val="28"/>
        </w:rPr>
        <w:t>6. 讨论</w:t>
      </w:r>
    </w:p>
    <w:p>
      <w:pPr>
        <w:spacing w:before="360" w:after="120"/>
        <w:jc w:val="left"/>
      </w:pPr>
      <w:r>
        <w:rPr>
          <w:rFonts w:ascii="黑体" w:hAnsi="黑体" w:eastAsia="黑体"/>
          <w:b/>
          <w:sz w:val="26"/>
        </w:rPr>
        <w:t>6.1 与五代框架的关系</w:t>
      </w:r>
    </w:p>
    <w:p>
      <w:pPr>
        <w:ind w:firstLine="420"/>
        <w:jc w:val="both"/>
      </w:pPr>
      <w:r>
        <w:rPr>
          <w:rFonts w:ascii="宋体" w:hAnsi="宋体" w:eastAsia="宋体"/>
          <w:sz w:val="24"/>
        </w:rPr>
        <w:t>MBD不是五代演进框架（Lei et al., 2025d）的替代方案，而是其工程实现路径。ODD概念解决了第2代（数字孪生）和第3代（HDC部署）之间的边界定义缺口；xIL链解决了第3代和第4代（认证级验证）之间的认证缺口；MAS框架提供了第4代向第5代（完全自主运行）演进所需的认知架构。因此，MBD为五代路线图提供了每一代过渡所需的方法论机制。</w:t>
      </w:r>
    </w:p>
    <w:p>
      <w:pPr>
        <w:spacing w:before="360" w:after="120"/>
        <w:jc w:val="left"/>
      </w:pPr>
      <w:r>
        <w:rPr>
          <w:rFonts w:ascii="黑体" w:hAnsi="黑体" w:eastAsia="黑体"/>
          <w:b/>
          <w:sz w:val="26"/>
        </w:rPr>
        <w:t>6.2 相对于现有工作的定位</w:t>
      </w:r>
    </w:p>
    <w:p>
      <w:pPr>
        <w:ind w:firstLine="420"/>
        <w:jc w:val="both"/>
      </w:pPr>
      <w:r>
        <w:rPr>
          <w:rFonts w:ascii="宋体" w:hAnsi="宋体" w:eastAsia="宋体"/>
          <w:sz w:val="24"/>
        </w:rPr>
        <w:t>有必要将本提议与渠道自动化领域大量既有工作区分开来。Van Overloop（2006）和Van Overloop et al.（2010）在Maricopa-Stanfield灌区展示了实时MPC渠道控制；Negenborn et al.（2009）和Fele et al.（2014）发展了灌溉渠的分布式/联盟式MPC；Clemmens和Schuurmans（2004）建立了最优反馈控制框架。这些工作与当前提议的区别不在于分析深度或数学精巧程度——它们往往更为成熟——而在于范围：本框架整合了ODD定义、全场景xIL验证和HDC/MAS架构，形成统一的系统工程方法论；而既有工作虽然在各自细分领域卓有成效，但并不旨在成为覆盖设计-验证-部署全链条的集成框架。</w:t>
      </w:r>
    </w:p>
    <w:p>
      <w:pPr>
        <w:ind w:firstLine="420"/>
        <w:jc w:val="both"/>
      </w:pPr>
      <w:r>
        <w:rPr>
          <w:rFonts w:ascii="宋体" w:hAnsi="宋体" w:eastAsia="宋体"/>
          <w:sz w:val="24"/>
        </w:rPr>
        <w:t>同样，作者自身的部分实施（5.4节）证明了基于模型的预验证的价值，但也恰恰暴露了差距——场景选择不系统、缺乏结构化ODD、没有形式化证据链——而这正是本框架旨在弥合的。</w:t>
      </w:r>
    </w:p>
    <w:p>
      <w:pPr>
        <w:spacing w:before="360" w:after="120"/>
        <w:jc w:val="left"/>
      </w:pPr>
      <w:r>
        <w:rPr>
          <w:rFonts w:ascii="黑体" w:hAnsi="黑体" w:eastAsia="黑体"/>
          <w:b/>
          <w:sz w:val="26"/>
        </w:rPr>
        <w:t>6.3 局限性</w:t>
      </w:r>
    </w:p>
    <w:p>
      <w:pPr>
        <w:ind w:firstLine="420"/>
        <w:jc w:val="both"/>
      </w:pPr>
      <w:r>
        <w:rPr>
          <w:rFonts w:ascii="宋体" w:hAnsi="宋体" w:eastAsia="宋体"/>
          <w:sz w:val="24"/>
        </w:rPr>
        <w:t>我们承认若干局限。第一，框架仍处于概念阶段：第5节的算例展示了ODD规范和xIL设计逻辑，但未呈现已执行的仿真或已测量的HIL结果。该算例是方法论的展示而非实证验证。只有在真实水网工程上实施完整的MIL–SIL–HIL链后，核心主张才能得到检验。</w:t>
      </w:r>
    </w:p>
    <w:p>
      <w:pPr>
        <w:ind w:firstLine="420"/>
        <w:jc w:val="both"/>
      </w:pPr>
      <w:r>
        <w:rPr>
          <w:rFonts w:ascii="宋体" w:hAnsi="宋体" w:eastAsia="宋体"/>
          <w:sz w:val="24"/>
        </w:rPr>
        <w:t>第二，框架的适用性主要针对具有明确基础设施和控制节点的大型调水系统。向城市配水网络（可变拓扑、用户端不确定性）或小型灌区（有限仪表）的推广需要适应ODD维度和验证策略，此处不予讨论。</w:t>
      </w:r>
    </w:p>
    <w:p>
      <w:pPr>
        <w:ind w:firstLine="420"/>
        <w:jc w:val="both"/>
      </w:pPr>
      <w:r>
        <w:rPr>
          <w:rFonts w:ascii="宋体" w:hAnsi="宋体" w:eastAsia="宋体"/>
          <w:sz w:val="24"/>
        </w:rPr>
        <w:t>第三，全场景xIL验证（500+场景×3阶段）的计算成本巨大。实际实施需要高效的替代模型策略和智能测试用例优先化方法；框架尚未提供解决这些效率挑战的详细方法论。</w:t>
      </w:r>
    </w:p>
    <w:p>
      <w:pPr>
        <w:ind w:firstLine="420"/>
        <w:jc w:val="both"/>
      </w:pPr>
      <w:r>
        <w:rPr>
          <w:rFonts w:ascii="宋体" w:hAnsi="宋体" w:eastAsia="宋体"/>
          <w:sz w:val="24"/>
        </w:rPr>
        <w:t>第四，MAS协调机制以智能体通信可靠和目标明确为前提假设。实际中，通信降级、目标冲突和智能体故障模式引入了框架尚未完全处理的复杂性。将形式化验证方法（如模型检验、契约式设计）集成到MAS验证中是未来工作的方向。</w:t>
      </w:r>
    </w:p>
    <w:p>
      <w:pPr>
        <w:ind w:firstLine="420"/>
        <w:jc w:val="both"/>
      </w:pPr>
      <w:r>
        <w:rPr>
          <w:rFonts w:ascii="宋体" w:hAnsi="宋体" w:eastAsia="宋体"/>
          <w:sz w:val="24"/>
        </w:rPr>
        <w:t>第五，可扩展性仍是开放问题。算例涉及4个串联级和8个ODD参数；南水北调中线（1432 km，64座控制闸、97座倒虹吸）等真实系统需要比4级算例多出数量级的ODD维度和场景组合。如何在保持证据链完整的前提下有效管理组合爆炸问题，需要后续研究。</w:t>
      </w:r>
    </w:p>
    <w:p>
      <w:pPr>
        <w:spacing w:before="360" w:after="120"/>
        <w:jc w:val="left"/>
      </w:pPr>
      <w:r>
        <w:rPr>
          <w:rFonts w:ascii="黑体" w:hAnsi="黑体" w:eastAsia="黑体"/>
          <w:b/>
          <w:sz w:val="26"/>
        </w:rPr>
        <w:t>6.4 可证伪准则</w:t>
      </w:r>
    </w:p>
    <w:p>
      <w:pPr>
        <w:ind w:firstLine="420"/>
        <w:jc w:val="both"/>
      </w:pPr>
      <w:r>
        <w:rPr>
          <w:rFonts w:ascii="宋体" w:hAnsi="宋体" w:eastAsia="宋体"/>
          <w:sz w:val="24"/>
        </w:rPr>
        <w:t>为确保科学严谨性，我们提出三项准则，框架应在未来实证工作中据此接受检验：</w:t>
      </w:r>
    </w:p>
    <w:p>
      <w:pPr>
        <w:ind w:firstLine="420"/>
        <w:jc w:val="both"/>
      </w:pPr>
      <w:r>
        <w:rPr>
          <w:rFonts w:ascii="宋体" w:hAnsi="宋体" w:eastAsia="宋体"/>
          <w:sz w:val="24"/>
        </w:rPr>
        <w:t>F1（ODD完备性）：如果采用MBD设计的ODD的水网在规定ODD边界内遇到运行故障（即ODD内被错误分类为"正常"的条件），则ODD定义方法论需要修正。建议阈值：投运后首个完整运行年内不超过2次ODD内误分类事件。</w:t>
      </w:r>
    </w:p>
    <w:p>
      <w:pPr>
        <w:ind w:firstLine="420"/>
        <w:jc w:val="both"/>
      </w:pPr>
      <w:r>
        <w:rPr>
          <w:rFonts w:ascii="宋体" w:hAnsi="宋体" w:eastAsia="宋体"/>
          <w:sz w:val="24"/>
        </w:rPr>
        <w:t>F2（xIL预测有效性）：如果HIL验证的控制策略在现场部署后的性能指标（调节时间、超调量、能耗）与HIL预测偏差超过30%（在可比ODD条件下），则建模方法论或验证链需要修正。该阈值参照汽车行业xIL实践中对真实-虚拟偏差的可接受范围，但可能需要根据水利工程经验进行校准。</w:t>
      </w:r>
    </w:p>
    <w:p>
      <w:pPr>
        <w:ind w:firstLine="420"/>
        <w:jc w:val="both"/>
      </w:pPr>
      <w:r>
        <w:rPr>
          <w:rFonts w:ascii="宋体" w:hAnsi="宋体" w:eastAsia="宋体"/>
          <w:sz w:val="24"/>
        </w:rPr>
        <w:t>F3（MAS可审计性）：如果一个自主调度决策不能在事件发生后24小时内通过MAS决策日志追溯到特定的ODD边界条件和智能体协商记录，则审计机制不足，需要结构性改进。</w:t>
      </w:r>
    </w:p>
    <w:p>
      <w:pPr>
        <w:spacing w:before="480" w:after="240"/>
        <w:jc w:val="left"/>
      </w:pPr>
      <w:r>
        <w:rPr>
          <w:rFonts w:ascii="黑体" w:hAnsi="黑体" w:eastAsia="黑体"/>
          <w:b/>
          <w:sz w:val="28"/>
        </w:rPr>
        <w:t>7. 结论</w:t>
      </w:r>
    </w:p>
    <w:p>
      <w:pPr>
        <w:ind w:firstLine="420"/>
        <w:jc w:val="both"/>
      </w:pPr>
      <w:r>
        <w:rPr>
          <w:rFonts w:ascii="宋体" w:hAnsi="宋体" w:eastAsia="宋体"/>
          <w:sz w:val="24"/>
        </w:rPr>
        <w:t>本文提出了面向自主运行水网的基于模型的定义（MBD）方法论与框架，旨在弥合现代大型水利基础设施中的设计-运行断裂。</w:t>
      </w:r>
    </w:p>
    <w:p>
      <w:pPr>
        <w:ind w:firstLine="420"/>
        <w:jc w:val="both"/>
      </w:pPr>
      <w:r>
        <w:rPr>
          <w:rFonts w:ascii="宋体" w:hAnsi="宋体" w:eastAsia="宋体"/>
          <w:sz w:val="24"/>
        </w:rPr>
        <w:t>（1）阐明了水网MBD的内涵：自主运行以ODD约束内的高自主度为目标，配合安全降级和可控的人工接管，MBD将运行设计域、模型、控制策略视为一等设计对象而非事后附加。</w:t>
      </w:r>
    </w:p>
    <w:p>
      <w:pPr>
        <w:ind w:firstLine="420"/>
        <w:jc w:val="both"/>
      </w:pPr>
      <w:r>
        <w:rPr>
          <w:rFonts w:ascii="宋体" w:hAnsi="宋体" w:eastAsia="宋体"/>
          <w:sz w:val="24"/>
        </w:rPr>
        <w:t>（2）构建了"四层一环"框架，将ODD定义、HDC/MAS决策、MIL–SIL–HIL验证和现场执行整合为闭环工程交付链。</w:t>
      </w:r>
    </w:p>
    <w:p>
      <w:pPr>
        <w:ind w:firstLine="420"/>
        <w:jc w:val="both"/>
      </w:pPr>
      <w:r>
        <w:rPr>
          <w:rFonts w:ascii="宋体" w:hAnsi="宋体" w:eastAsia="宋体"/>
          <w:sz w:val="24"/>
        </w:rPr>
        <w:t>（3）以串联泵站算例展示了结构化ODD规范（表3）和xIL验证设计的具体化过程，并以胶东调水和沙坪梯级水电工程的初步证据作为支撑。</w:t>
      </w:r>
    </w:p>
    <w:p>
      <w:pPr>
        <w:ind w:firstLine="420"/>
        <w:jc w:val="both"/>
      </w:pPr>
      <w:r>
        <w:rPr>
          <w:rFonts w:ascii="宋体" w:hAnsi="宋体" w:eastAsia="宋体"/>
          <w:sz w:val="24"/>
        </w:rPr>
        <w:t>（4）提出三项可证伪准则（ODD完备性、xIL预测有效性、MAS可审计性），使框架的核心主张可接受实证检验。</w:t>
      </w:r>
    </w:p>
    <w:p>
      <w:pPr>
        <w:ind w:firstLine="420"/>
        <w:jc w:val="both"/>
      </w:pPr>
      <w:r>
        <w:rPr>
          <w:rFonts w:ascii="宋体" w:hAnsi="宋体" w:eastAsia="宋体"/>
          <w:sz w:val="24"/>
        </w:rPr>
        <w:t>未来研究将聚焦于：（i）在代表性调水工程上试点实施完整MBD链；（ii）覆盖ODD场景空间的标准化测试用例库；（iii）MAS协调协议的形式化验证；（iv）适用于水利的xIL证据管理国际标准化。</w:t>
      </w:r>
    </w:p>
    <w:p>
      <w:pPr>
        <w:spacing w:before="480" w:after="240"/>
        <w:jc w:val="left"/>
      </w:pPr>
      <w:r>
        <w:rPr>
          <w:rFonts w:ascii="黑体" w:hAnsi="黑体" w:eastAsia="黑体"/>
          <w:b/>
          <w:sz w:val="28"/>
        </w:rPr>
        <w:t>参考文献</w:t>
      </w:r>
    </w:p>
    <w:p>
      <w:pPr>
        <w:spacing w:after="40"/>
        <w:ind w:left="283" w:hanging="283"/>
      </w:pPr>
      <w:r>
        <w:rPr>
          <w:rFonts w:ascii="Times New Roman" w:hAnsi="Times New Roman"/>
          <w:sz w:val="20"/>
        </w:rPr>
        <w:t>Åström, K.J., Murray, R.M., 2010. Feedback Systems: An Introduction for Scientists and Engineers. Princeton University Press, Princeton, NJ.</w:t>
      </w:r>
    </w:p>
    <w:p>
      <w:pPr>
        <w:spacing w:after="40"/>
        <w:ind w:left="283" w:hanging="283"/>
      </w:pPr>
      <w:r>
        <w:rPr>
          <w:rFonts w:ascii="Times New Roman" w:hAnsi="Times New Roman"/>
          <w:sz w:val="20"/>
        </w:rPr>
        <w:t>Bacic, M., 2005. On hardware-in-the-loop simulation. In: Proceedings of the 44th IEEE Conference on Decision and Control. IEEE, pp. 3194–3198.</w:t>
      </w:r>
    </w:p>
    <w:p>
      <w:pPr>
        <w:spacing w:after="40"/>
        <w:ind w:left="283" w:hanging="283"/>
      </w:pPr>
      <w:r>
        <w:rPr>
          <w:rFonts w:ascii="Times New Roman" w:hAnsi="Times New Roman"/>
          <w:sz w:val="20"/>
        </w:rPr>
        <w:t>Bringmann, E., Krämer, A., 2008. Model-based testing of automotive systems. In: 2008 1st International Conference on Software Testing, Verification, and Validation. IEEE, pp. 485–493.</w:t>
      </w:r>
    </w:p>
    <w:p>
      <w:pPr>
        <w:spacing w:after="40"/>
        <w:ind w:left="283" w:hanging="283"/>
      </w:pPr>
      <w:r>
        <w:rPr>
          <w:rFonts w:ascii="Times New Roman" w:hAnsi="Times New Roman"/>
          <w:sz w:val="20"/>
        </w:rPr>
        <w:t>Buyalski, C.P., Ehler, D.G., Falvey, H.T., Rogers, D.C., Serfozo, E.A., 1991. Canal Systems Automation Manual, Vol. 1. U.S. Bureau of Reclamation, Denver, CO.</w:t>
      </w:r>
    </w:p>
    <w:p>
      <w:pPr>
        <w:spacing w:after="40"/>
        <w:ind w:left="283" w:hanging="283"/>
      </w:pPr>
      <w:r>
        <w:rPr>
          <w:rFonts w:ascii="Times New Roman" w:hAnsi="Times New Roman"/>
          <w:sz w:val="20"/>
        </w:rPr>
        <w:t>Cantoni, M., Weyer, E., Li, Y., Ooi, S.K., Mareels, I., Ryan, M., 2007. Control of large-scale irrigation networks. Proceedings of the IEEE 95 (1), 75–91.</w:t>
      </w:r>
    </w:p>
    <w:p>
      <w:pPr>
        <w:spacing w:after="40"/>
        <w:ind w:left="283" w:hanging="283"/>
      </w:pPr>
      <w:r>
        <w:rPr>
          <w:rFonts w:ascii="Times New Roman" w:hAnsi="Times New Roman"/>
          <w:sz w:val="20"/>
        </w:rPr>
        <w:t>Chaudhry, M.H., 2008. Open-Channel Flow, second ed. Springer, New York.</w:t>
      </w:r>
    </w:p>
    <w:p>
      <w:pPr>
        <w:spacing w:after="40"/>
        <w:ind w:left="283" w:hanging="283"/>
      </w:pPr>
      <w:r>
        <w:rPr>
          <w:rFonts w:ascii="Times New Roman" w:hAnsi="Times New Roman"/>
          <w:sz w:val="20"/>
        </w:rPr>
        <w:t>Clemmens, A.J., Schuurmans, J., 2004. Simple optimal downstream feedback canal controllers: Theory. Journal of Irrigation and Drainage Engineering 130 (1), 26–34.</w:t>
      </w:r>
    </w:p>
    <w:p>
      <w:pPr>
        <w:spacing w:after="40"/>
        <w:ind w:left="283" w:hanging="283"/>
      </w:pPr>
      <w:r>
        <w:rPr>
          <w:rFonts w:ascii="Times New Roman" w:hAnsi="Times New Roman"/>
          <w:sz w:val="20"/>
        </w:rPr>
        <w:t>Conde, G., Quijano, N., Ocampo-Martinez, C., 2021. Modeling and control in open-channel irrigation systems: A review. Annual Reviews in Control 51, 153–171.</w:t>
      </w:r>
    </w:p>
    <w:p>
      <w:pPr>
        <w:spacing w:after="40"/>
        <w:ind w:left="283" w:hanging="283"/>
      </w:pPr>
      <w:r>
        <w:rPr>
          <w:rFonts w:ascii="Times New Roman" w:hAnsi="Times New Roman"/>
          <w:sz w:val="20"/>
        </w:rPr>
        <w:t>Czarnecki, K., 2018. Operational design domain for automated driving systems—taxonomy of basic terms. Technical Report, Waterloo Intelligent Systems Engineering Lab.</w:t>
      </w:r>
    </w:p>
    <w:p>
      <w:pPr>
        <w:spacing w:after="40"/>
        <w:ind w:left="283" w:hanging="283"/>
      </w:pPr>
      <w:r>
        <w:rPr>
          <w:rFonts w:ascii="Times New Roman" w:hAnsi="Times New Roman"/>
          <w:sz w:val="20"/>
        </w:rPr>
        <w:t>Fele, F., Maestre, J.M., Hashemy, S.M., Muñoz de la Peña, D., Camacho, E.F., 2014. Coalitional model predictive control of an irrigation canal. Journal of Process Control 24 (4), 314–325.</w:t>
      </w:r>
    </w:p>
    <w:p>
      <w:pPr>
        <w:spacing w:after="40"/>
        <w:ind w:left="283" w:hanging="283"/>
      </w:pPr>
      <w:r>
        <w:rPr>
          <w:rFonts w:ascii="Times New Roman" w:hAnsi="Times New Roman"/>
          <w:sz w:val="20"/>
        </w:rPr>
        <w:t>He, L.X., Shi, B.Y., Zhang, Z., et al., 2025. Design and implementation of hardware-in-the-loop test platform based on water diversion channel control system. South-to-North Water Transfers and Water Science &amp; Technology 23 (4), 794–801. (in Chinese)</w:t>
      </w:r>
    </w:p>
    <w:p>
      <w:pPr>
        <w:spacing w:after="40"/>
        <w:ind w:left="283" w:hanging="283"/>
      </w:pPr>
      <w:r>
        <w:rPr>
          <w:rFonts w:ascii="Times New Roman" w:hAnsi="Times New Roman"/>
          <w:sz w:val="20"/>
        </w:rPr>
        <w:t>Isermann, R., Schaffnit, J., Sinsel, S., 1999. Hardware-in-the-loop simulation for the design and testing of engine-management systems. Control Engineering Practice 7 (5), 643–653.</w:t>
      </w:r>
    </w:p>
    <w:p>
      <w:pPr>
        <w:spacing w:after="40"/>
        <w:ind w:left="283" w:hanging="283"/>
      </w:pPr>
      <w:r>
        <w:rPr>
          <w:rFonts w:ascii="Times New Roman" w:hAnsi="Times New Roman"/>
          <w:sz w:val="20"/>
        </w:rPr>
        <w:t>ISO, 2018. ISO 26262: Road Vehicles – Functional Safety. International Organization for Standardization, Geneva.</w:t>
      </w:r>
    </w:p>
    <w:p>
      <w:pPr>
        <w:spacing w:after="40"/>
        <w:ind w:left="283" w:hanging="283"/>
      </w:pPr>
      <w:r>
        <w:rPr>
          <w:rFonts w:ascii="Times New Roman" w:hAnsi="Times New Roman"/>
          <w:sz w:val="20"/>
        </w:rPr>
        <w:t>Kong, L., Li, Y., Tang, H., et al., 2023. Predictive control for the operation of cascade pumping stations in water supply canal systems considering energy consumption and costs. Applied Energy 341, 121090.</w:t>
      </w:r>
    </w:p>
    <w:p>
      <w:pPr>
        <w:spacing w:after="40"/>
        <w:ind w:left="283" w:hanging="283"/>
      </w:pPr>
      <w:r>
        <w:rPr>
          <w:rFonts w:ascii="Times New Roman" w:hAnsi="Times New Roman"/>
          <w:sz w:val="20"/>
        </w:rPr>
        <w:t>Koopman, P., Wagner, M., 2017. Autonomous vehicle safety: An interdisciplinary challenge. IEEE Intelligent Transportation Systems Magazine 9 (1), 90–96.</w:t>
      </w:r>
    </w:p>
    <w:p>
      <w:pPr>
        <w:spacing w:after="40"/>
        <w:ind w:left="283" w:hanging="283"/>
      </w:pPr>
      <w:r>
        <w:rPr>
          <w:rFonts w:ascii="Times New Roman" w:hAnsi="Times New Roman"/>
          <w:sz w:val="20"/>
        </w:rPr>
        <w:t>Lee, E.A., 2008. Cyber physical systems: Design challenges. In: 2008 11th IEEE International Symposium on Object and Component-Oriented Real-Time Distributed Computing (ISORC). IEEE, pp. 363–369.</w:t>
      </w:r>
    </w:p>
    <w:p>
      <w:pPr>
        <w:spacing w:after="40"/>
        <w:ind w:left="283" w:hanging="283"/>
      </w:pPr>
      <w:r>
        <w:rPr>
          <w:rFonts w:ascii="Times New Roman" w:hAnsi="Times New Roman"/>
          <w:sz w:val="20"/>
        </w:rPr>
        <w:t>Lei, X.H., Long, Y., Xu, H.M., et al., 2025a. Cybernetics of hydro systems: Background, technical framework and research paradigm. South-to-North Water Transfers and Water Science &amp; Technology 23 (4), 735–745. (in Chinese)</w:t>
      </w:r>
    </w:p>
    <w:p>
      <w:pPr>
        <w:spacing w:after="40"/>
        <w:ind w:left="283" w:hanging="283"/>
      </w:pPr>
      <w:r>
        <w:rPr>
          <w:rFonts w:ascii="Times New Roman" w:hAnsi="Times New Roman"/>
          <w:sz w:val="20"/>
        </w:rPr>
        <w:t>Lei, X.H., Su, C.G., Long, Y., et al., 2025b. Architecture and key technologies of next-generation autonomous smart water networks based on autonomous driving concepts. South-to-North Water Transfers and Water Science &amp; Technology 23 (4), 746–758. (in Chinese)</w:t>
      </w:r>
    </w:p>
    <w:p>
      <w:pPr>
        <w:spacing w:after="40"/>
        <w:ind w:left="283" w:hanging="283"/>
      </w:pPr>
      <w:r>
        <w:rPr>
          <w:rFonts w:ascii="Times New Roman" w:hAnsi="Times New Roman"/>
          <w:sz w:val="20"/>
        </w:rPr>
        <w:t>Lei, X.H., Zhang, Z., Su, C.G., et al., 2025c. In-the-loop testing framework for autonomous intelligent water networks. South-to-North Water Transfers and Water Science &amp; Technology 23 (4), 787–793. (in Chinese)</w:t>
      </w:r>
    </w:p>
    <w:p>
      <w:pPr>
        <w:spacing w:after="40"/>
        <w:ind w:left="283" w:hanging="283"/>
      </w:pPr>
      <w:r>
        <w:rPr>
          <w:rFonts w:ascii="Times New Roman" w:hAnsi="Times New Roman"/>
          <w:sz w:val="20"/>
        </w:rPr>
        <w:t>Lei, X.H., Chen, K.G., Long, Y., Wang, H., 2025d. Spanning three generations: A five-generation framework for autonomous water network operation. Environmental Modelling &amp; Software (submitted).</w:t>
      </w:r>
    </w:p>
    <w:p>
      <w:pPr>
        <w:spacing w:after="40"/>
        <w:ind w:left="283" w:hanging="283"/>
      </w:pPr>
      <w:r>
        <w:rPr>
          <w:rFonts w:ascii="Times New Roman" w:hAnsi="Times New Roman"/>
          <w:sz w:val="20"/>
        </w:rPr>
        <w:t>Lemos, J.M., Machado, F., Nogueira, N., Rato, L., Rijo, M., 2009. Adaptive and non-adaptive model predictive control of an irrigation channel. Networks and Heterogeneous Media 4 (2), 303–324.</w:t>
      </w:r>
    </w:p>
    <w:p>
      <w:pPr>
        <w:spacing w:after="40"/>
        <w:ind w:left="283" w:hanging="283"/>
      </w:pPr>
      <w:r>
        <w:rPr>
          <w:rFonts w:ascii="Times New Roman" w:hAnsi="Times New Roman"/>
          <w:sz w:val="20"/>
        </w:rPr>
        <w:t>Leveson, N.G., 2011. Engineering a Safer World: Systems Thinking Applied to Safety. MIT Press, Cambridge, MA.</w:t>
      </w:r>
    </w:p>
    <w:p>
      <w:pPr>
        <w:spacing w:after="40"/>
        <w:ind w:left="283" w:hanging="283"/>
      </w:pPr>
      <w:r>
        <w:rPr>
          <w:rFonts w:ascii="Times New Roman" w:hAnsi="Times New Roman"/>
          <w:sz w:val="20"/>
        </w:rPr>
        <w:t>Litrico, X., Fromion, V., 2004. Frequency modeling of open-channel flow. Journal of Hydraulic Engineering 130 (8), 806–815.</w:t>
      </w:r>
    </w:p>
    <w:p>
      <w:pPr>
        <w:spacing w:after="40"/>
        <w:ind w:left="283" w:hanging="283"/>
      </w:pPr>
      <w:r>
        <w:rPr>
          <w:rFonts w:ascii="Times New Roman" w:hAnsi="Times New Roman"/>
          <w:sz w:val="20"/>
        </w:rPr>
        <w:t>Litrico, X., Fromion, V., 2009. Modeling and Control of Hydrosystems: A Frequency Domain Approach. Springer, London.</w:t>
      </w:r>
    </w:p>
    <w:p>
      <w:pPr>
        <w:spacing w:after="40"/>
        <w:ind w:left="283" w:hanging="283"/>
      </w:pPr>
      <w:r>
        <w:rPr>
          <w:rFonts w:ascii="Times New Roman" w:hAnsi="Times New Roman"/>
          <w:sz w:val="20"/>
        </w:rPr>
        <w:t>Malaterre, P.O., Rogers, D.C., Schuurmans, J., 1998. Classification of canal control algorithms. Journal of Irrigation and Drainage Engineering 124 (1), 3–10.</w:t>
      </w:r>
    </w:p>
    <w:p>
      <w:pPr>
        <w:spacing w:after="40"/>
        <w:ind w:left="283" w:hanging="283"/>
      </w:pPr>
      <w:r>
        <w:rPr>
          <w:rFonts w:ascii="Times New Roman" w:hAnsi="Times New Roman"/>
          <w:sz w:val="20"/>
        </w:rPr>
        <w:t>Mareels, I., Weyer, E., Ooi, S.K., Cantoni, M., Li, Y., Nair, G., 2005. Systems engineering for irrigation systems: Successes and challenges. Annual Reviews in Control 29 (2), 191–204.</w:t>
      </w:r>
    </w:p>
    <w:p>
      <w:pPr>
        <w:spacing w:after="40"/>
        <w:ind w:left="283" w:hanging="283"/>
      </w:pPr>
      <w:r>
        <w:rPr>
          <w:rFonts w:ascii="Times New Roman" w:hAnsi="Times New Roman"/>
          <w:sz w:val="20"/>
        </w:rPr>
        <w:t>McArthur, S.D., Davidson, E.M., Catterson, V.M., et al., 2007a. Multi-agent systems for power engineering applications—Part I. IEEE Transactions on Power Systems 22 (4), 1743–1752.</w:t>
      </w:r>
    </w:p>
    <w:p>
      <w:pPr>
        <w:spacing w:after="40"/>
        <w:ind w:left="283" w:hanging="283"/>
      </w:pPr>
      <w:r>
        <w:rPr>
          <w:rFonts w:ascii="Times New Roman" w:hAnsi="Times New Roman"/>
          <w:sz w:val="20"/>
        </w:rPr>
        <w:t>McArthur, S.D., Davidson, E.M., Catterson, V.M., et al., 2007b. Multi-agent systems for power engineering applications—Part II. IEEE Transactions on Power Systems 22 (4), 1753–1759.</w:t>
      </w:r>
    </w:p>
    <w:p>
      <w:pPr>
        <w:spacing w:after="40"/>
        <w:ind w:left="283" w:hanging="283"/>
      </w:pPr>
      <w:r>
        <w:rPr>
          <w:rFonts w:ascii="Times New Roman" w:hAnsi="Times New Roman"/>
          <w:sz w:val="20"/>
        </w:rPr>
        <w:t>Negenborn, R.R., Van Overloop, P.J., Keviczky, T., De Schutter, B., 2009. Distributed model predictive control of irrigation canals. Networks and Heterogeneous Media 4 (2), 359–380.</w:t>
      </w:r>
    </w:p>
    <w:p>
      <w:pPr>
        <w:spacing w:after="40"/>
        <w:ind w:left="283" w:hanging="283"/>
      </w:pPr>
      <w:r>
        <w:rPr>
          <w:rFonts w:ascii="Times New Roman" w:hAnsi="Times New Roman"/>
          <w:sz w:val="20"/>
        </w:rPr>
        <w:t>Qin, S.J., Badgwell, T.A., 2003. A survey of industrial model predictive control technology. Control Engineering Practice 11 (7), 733–764.</w:t>
      </w:r>
    </w:p>
    <w:p>
      <w:pPr>
        <w:spacing w:after="40"/>
        <w:ind w:left="283" w:hanging="283"/>
      </w:pPr>
      <w:r>
        <w:rPr>
          <w:rFonts w:ascii="Times New Roman" w:hAnsi="Times New Roman"/>
          <w:sz w:val="20"/>
        </w:rPr>
        <w:t>Rajkumar, R., Lee, I., Sha, L., Stankovic, J., 2010. Cyber-physical systems: The next computing revolution. In: Proceedings of the 47th Design Automation Conference. ACM, pp. 731–736.</w:t>
      </w:r>
    </w:p>
    <w:p>
      <w:pPr>
        <w:spacing w:after="40"/>
        <w:ind w:left="283" w:hanging="283"/>
      </w:pPr>
      <w:r>
        <w:rPr>
          <w:rFonts w:ascii="Times New Roman" w:hAnsi="Times New Roman"/>
          <w:sz w:val="20"/>
        </w:rPr>
        <w:t>Rasheed, A., San, O., Kvamsdal, T., 2020. Digital twin: Values, challenges and enablers from a modeling perspective. IEEE Access 8, 21980–22012.</w:t>
      </w:r>
    </w:p>
    <w:p>
      <w:pPr>
        <w:spacing w:after="40"/>
        <w:ind w:left="283" w:hanging="283"/>
      </w:pPr>
      <w:r>
        <w:rPr>
          <w:rFonts w:ascii="Times New Roman" w:hAnsi="Times New Roman"/>
          <w:sz w:val="20"/>
        </w:rPr>
        <w:t>RTCA, 2012. DO-178C: Software Considerations in Airborne Systems and Equipment Certification. RTCA, Washington, DC.</w:t>
      </w:r>
    </w:p>
    <w:p>
      <w:pPr>
        <w:spacing w:after="40"/>
        <w:ind w:left="283" w:hanging="283"/>
      </w:pPr>
      <w:r>
        <w:rPr>
          <w:rFonts w:ascii="Times New Roman" w:hAnsi="Times New Roman"/>
          <w:sz w:val="20"/>
        </w:rPr>
        <w:t>SAE International, 2021. SAE J3016: Taxonomy and Definitions for Terms Related to Driving Automation Systems for On-Road Motor Vehicles. SAE International, Warrendale, PA.</w:t>
      </w:r>
    </w:p>
    <w:p>
      <w:pPr>
        <w:spacing w:after="40"/>
        <w:ind w:left="283" w:hanging="283"/>
      </w:pPr>
      <w:r>
        <w:rPr>
          <w:rFonts w:ascii="Times New Roman" w:hAnsi="Times New Roman"/>
          <w:sz w:val="20"/>
        </w:rPr>
        <w:t>Scattolini, R., 2009. Architectures for distributed and hierarchical model predictive control—A review. Journal of Process Control 19 (5), 723–731.</w:t>
      </w:r>
    </w:p>
    <w:p>
      <w:pPr>
        <w:spacing w:after="40"/>
        <w:ind w:left="283" w:hanging="283"/>
      </w:pPr>
      <w:r>
        <w:rPr>
          <w:rFonts w:ascii="Times New Roman" w:hAnsi="Times New Roman"/>
          <w:sz w:val="20"/>
        </w:rPr>
        <w:t>Schuurmans, J., Clemmens, A.J., Dijkstra, S., Hof, A., Brouwer, R., 1999. Modeling of irrigation and drainage canals for controller design. Journal of Irrigation and Drainage Engineering 125 (6), 338–344.</w:t>
      </w:r>
    </w:p>
    <w:p>
      <w:pPr>
        <w:spacing w:after="40"/>
        <w:ind w:left="283" w:hanging="283"/>
      </w:pPr>
      <w:r>
        <w:rPr>
          <w:rFonts w:ascii="Times New Roman" w:hAnsi="Times New Roman"/>
          <w:sz w:val="20"/>
        </w:rPr>
        <w:t>Van Overloop, P.J., 2006. Model Predictive Control on Open Water Systems. Ph.D. thesis, Delft University of Technology, Delft.</w:t>
      </w:r>
    </w:p>
    <w:p>
      <w:pPr>
        <w:spacing w:after="40"/>
        <w:ind w:left="283" w:hanging="283"/>
      </w:pPr>
      <w:r>
        <w:rPr>
          <w:rFonts w:ascii="Times New Roman" w:hAnsi="Times New Roman"/>
          <w:sz w:val="20"/>
        </w:rPr>
        <w:t>Van Overloop, P.J., Clemmens, A.J., Strand, R.J., Wagemaker, R.M., Bautista, E., 2010. Real-time implementation of model predictive control on Maricopa-Stanfield Irrigation and Drainage District's WM canal. Journal of Irrigation and Drainage Engineering 136 (11), 747–756.</w:t>
      </w:r>
    </w:p>
    <w:p>
      <w:pPr>
        <w:spacing w:after="40"/>
        <w:ind w:left="283" w:hanging="283"/>
      </w:pPr>
      <w:r>
        <w:rPr>
          <w:rFonts w:ascii="Times New Roman" w:hAnsi="Times New Roman"/>
          <w:sz w:val="20"/>
        </w:rPr>
        <w:t>Weyer, E., 2001. System identification of an open water channel. Control Engineering Practice 9 (12), 1289–1299.</w:t>
      </w:r>
    </w:p>
    <w:p>
      <w:pPr>
        <w:spacing w:after="40"/>
        <w:ind w:left="283" w:hanging="283"/>
      </w:pPr>
      <w:r>
        <w:rPr>
          <w:rFonts w:ascii="Times New Roman" w:hAnsi="Times New Roman"/>
          <w:sz w:val="20"/>
        </w:rPr>
        <w:t>Wylie, E.B., 1969. Control of transient free-surface flow. Journal of the Hydraulics Division, ASCE 95 (1), 347–362.</w:t>
      </w:r>
    </w:p>
    <w:p>
      <w:pPr>
        <w:spacing w:after="40"/>
        <w:ind w:left="283" w:hanging="283"/>
      </w:pPr>
      <w:r>
        <w:rPr>
          <w:rFonts w:ascii="Times New Roman" w:hAnsi="Times New Roman"/>
          <w:sz w:val="20"/>
        </w:rPr>
        <w:t>Xia, J., Chen, J., She, D.X., et al., 2023. Opportunities and challenges of national water network construction under changing environment. Acta Geographica Sinica 78 (7), 1608–1617. (in Chinese)</w:t>
      </w:r>
    </w:p>
    <w:p>
      <w:pPr>
        <w:spacing w:after="40"/>
        <w:ind w:left="283" w:hanging="283"/>
      </w:pPr>
      <w:r>
        <w:rPr>
          <w:rFonts w:ascii="Times New Roman" w:hAnsi="Times New Roman"/>
          <w:sz w:val="20"/>
        </w:rPr>
        <w:t>Yang, Y., Zhang, Z., Fei-Fei, L., Wu, J., 2024. Physical intelligence: connecting the physical world with AI. Nature Machine Intelligence 6, 1–3.</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