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line="480" w:lineRule="auto" w:after="480"/>
        <w:jc w:val="center"/>
      </w:pPr>
      <w:r>
        <w:rPr>
          <w:rFonts w:ascii="Times New Roman" w:hAnsi="Times New Roman"/>
          <w:b/>
          <w:i w:val="0"/>
          <w:sz w:val="32"/>
        </w:rPr>
        <w:t>Spanning Three Generations: A Five-Generation Framework for Autonomous Water Network Operation</w:t>
      </w:r>
    </w:p>
    <w:p>
      <w:pPr>
        <w:spacing w:line="480" w:lineRule="auto"/>
        <w:jc w:val="center"/>
      </w:pPr>
      <w:r>
        <w:rPr>
          <w:rFonts w:ascii="Times New Roman" w:hAnsi="Times New Roman"/>
          <w:b w:val="0"/>
          <w:i w:val="0"/>
          <w:sz w:val="24"/>
        </w:rPr>
        <w:t>Xiaohui Lei a,*, Kaige Chen a, Yan Long a, Hao Wang b</w:t>
      </w:r>
    </w:p>
    <w:p/>
    <w:p>
      <w:pPr>
        <w:spacing w:line="480" w:lineRule="auto"/>
        <w:jc w:val="center"/>
      </w:pPr>
      <w:r>
        <w:rPr>
          <w:rFonts w:ascii="Times New Roman" w:hAnsi="Times New Roman"/>
          <w:b w:val="0"/>
          <w:i/>
          <w:sz w:val="22"/>
        </w:rPr>
        <w:t>a School of Water Conservancy and Hydroelectric Power, Hebei University of Engineering, Handan 056038, China</w:t>
      </w:r>
    </w:p>
    <w:p/>
    <w:p>
      <w:pPr>
        <w:spacing w:line="480" w:lineRule="auto"/>
        <w:jc w:val="center"/>
      </w:pPr>
      <w:r>
        <w:rPr>
          <w:rFonts w:ascii="Times New Roman" w:hAnsi="Times New Roman"/>
          <w:b w:val="0"/>
          <w:i/>
          <w:sz w:val="22"/>
        </w:rPr>
        <w:t>b China Institute of Water Resources and Hydropower Research, Beijing 100038, China</w:t>
      </w:r>
    </w:p>
    <w:p/>
    <w:p>
      <w:pPr>
        <w:spacing w:line="480" w:lineRule="auto"/>
        <w:jc w:val="left"/>
      </w:pPr>
      <w:r>
        <w:rPr>
          <w:rFonts w:ascii="Times New Roman" w:hAnsi="Times New Roman"/>
          <w:b w:val="0"/>
          <w:i w:val="0"/>
          <w:sz w:val="22"/>
        </w:rPr>
        <w:t>* Corresponding author. E-mail: lxh@iwhr.com (X. Lei)</w:t>
      </w:r>
    </w:p>
    <w:p/>
    <w:p/>
    <w:p>
      <w:pPr>
        <w:spacing w:before="240" w:line="480" w:lineRule="auto"/>
      </w:pPr>
      <w:r>
        <w:rPr>
          <w:rFonts w:ascii="Times New Roman" w:hAnsi="Times New Roman"/>
          <w:b/>
          <w:sz w:val="24"/>
        </w:rPr>
        <w:t>Highlights</w:t>
      </w:r>
    </w:p>
    <w:p>
      <w:pPr>
        <w:spacing w:line="480" w:lineRule="auto"/>
      </w:pPr>
      <w:r>
        <w:rPr>
          <w:rFonts w:ascii="Times New Roman" w:hAnsi="Times New Roman"/>
          <w:sz w:val="24"/>
        </w:rPr>
        <w:t>• A five-generation framework classifies water network intelligence evolution by decision authority</w:t>
      </w:r>
    </w:p>
    <w:p>
      <w:pPr>
        <w:spacing w:line="480" w:lineRule="auto"/>
      </w:pPr>
      <w:r>
        <w:rPr>
          <w:rFonts w:ascii="Times New Roman" w:hAnsi="Times New Roman"/>
          <w:sz w:val="24"/>
        </w:rPr>
        <w:t>• MAS = HDC + ODD + Cognitive Intelligence defines the autonomous decision-making architecture</w:t>
      </w:r>
    </w:p>
    <w:p>
      <w:pPr>
        <w:spacing w:line="480" w:lineRule="auto"/>
      </w:pPr>
      <w:r>
        <w:rPr>
          <w:rFonts w:ascii="Times New Roman" w:hAnsi="Times New Roman"/>
          <w:sz w:val="24"/>
        </w:rPr>
        <w:t>• Verification infrastructure (xIL) must precede cognitive upgrades in safety-critical water systems</w:t>
      </w:r>
    </w:p>
    <w:p>
      <w:pPr>
        <w:spacing w:line="480" w:lineRule="auto"/>
      </w:pPr>
      <w:r>
        <w:rPr>
          <w:rFonts w:ascii="Times New Roman" w:hAnsi="Times New Roman"/>
          <w:sz w:val="24"/>
        </w:rPr>
        <w:t>• The framework constitutes domain-specific Physical AI for water network operation</w:t>
      </w:r>
    </w:p>
    <w:p>
      <w:pPr>
        <w:spacing w:line="480" w:lineRule="auto"/>
      </w:pPr>
      <w:r>
        <w:rPr>
          <w:rFonts w:ascii="Times New Roman" w:hAnsi="Times New Roman"/>
          <w:sz w:val="24"/>
        </w:rPr>
        <w:t>• Global water industry faces a three-generation leap from Generation 2 to Generation 5</w:t>
      </w:r>
    </w:p>
    <w:p>
      <w:pPr>
        <w:spacing w:before="240" w:line="480" w:lineRule="auto"/>
      </w:pPr>
      <w:r>
        <w:rPr>
          <w:rFonts w:ascii="Times New Roman" w:hAnsi="Times New Roman"/>
          <w:b/>
          <w:sz w:val="24"/>
        </w:rPr>
        <w:t>Abstract</w:t>
      </w:r>
    </w:p>
    <w:p>
      <w:pPr>
        <w:spacing w:line="480" w:lineRule="auto"/>
        <w:ind w:firstLine="720"/>
        <w:jc w:val="both"/>
      </w:pPr>
      <w:r>
        <w:rPr>
          <w:rFonts w:ascii="Times New Roman" w:hAnsi="Times New Roman"/>
          <w:sz w:val="24"/>
        </w:rPr>
        <w:t>The water industry stands at a critical juncture: decades of investment in SCADA and digital twin technologies have improved visibility and analytical capacity (Panguluri et al., 2012; Ulanicki et al., 2000), yet the final decision-maker remains the human operator. Drawing on the authors' engineering experience with SCADA-integrated automatic control in large-scale water transfer projects and on cross-industry analogies with automotive, aviation, and power systems, this paper proposes a five-generation conceptual framework for water network intelligence, defined by who decides and where the boundaries of decision-making capability lie. Generation 1 (SCADA) provides remote sensing and actuation. Generation 2 (SCADA+SIM) adds simulation-based decision support. Generation 3 (SCADA+SIM+HDC) introduces Hierarchical Distributed Control for automated execution within preset scenarios. Generation 4 (SCADA+SIM+HDC+xIL) establishes systematic verification through Software/Hardware-in-the-Loop testing. Generation 5 (SCADA+SIM+MAS(ODD)+xIL) achieves autonomous decision-making through Multi-Agent Systems operating within defined Operational Design Domains, underpinned by the xIL verification infrastructure. We argue that the global water industry currently operates at Generation 2, with few projects having partially explored Generation 3. The three-generation leap from Generation 2 to Generation 5 represents both an enormous challenge and a unique opportunity. We further demonstrate that this five-layer architecture constitutes a domain-specific Physical AI system for water network operation, discuss its relationship with emerging Artificial General Intelligence, and identify key limitations and research priorities for its realization.</w:t>
      </w:r>
    </w:p>
    <w:p/>
    <w:p>
      <w:pPr>
        <w:spacing w:line="480" w:lineRule="auto"/>
        <w:ind w:firstLine="720"/>
        <w:jc w:val="both"/>
      </w:pPr>
      <w:r>
        <w:rPr>
          <w:rFonts w:ascii="Times New Roman" w:hAnsi="Times New Roman"/>
          <w:sz w:val="24"/>
        </w:rPr>
        <w:t>Keywords: water network operation; autonomous control; hierarchical distributed control; multi-agent systems; operational design domain; software-in-the-loop; hardware-in-the-loop; physical AI; digital twin; SCADA</w:t>
      </w:r>
    </w:p>
    <w:p>
      <w:pPr>
        <w:spacing w:before="240" w:line="480" w:lineRule="auto"/>
      </w:pPr>
      <w:r>
        <w:rPr>
          <w:rFonts w:ascii="Times New Roman" w:hAnsi="Times New Roman"/>
          <w:b/>
          <w:sz w:val="24"/>
        </w:rPr>
        <w:t>1. Introduction</w:t>
      </w:r>
    </w:p>
    <w:p>
      <w:pPr>
        <w:spacing w:line="480" w:lineRule="auto"/>
        <w:ind w:firstLine="720"/>
        <w:jc w:val="both"/>
      </w:pPr>
      <w:r>
        <w:rPr>
          <w:rFonts w:ascii="Times New Roman" w:hAnsi="Times New Roman"/>
          <w:sz w:val="24"/>
        </w:rPr>
        <w:t>Over the past two decades, the global water industry has undergone a significant digital transformation. Supervisory Control and Data Acquisition (SCADA) systems have been widely deployed (Boyer, 2004; Panguluri et al., 2012), and digital twin platforms—integrating hydraulic simulation, 3D visualization, and real-time data fusion—have become the dominant paradigm for modern water infrastructure management (Rasheed et al., 2020; Bartos and Kerkez, 2021). These investments have greatly enhanced the visibility and analyzability of water networks.</w:t>
      </w:r>
    </w:p>
    <w:p>
      <w:pPr>
        <w:spacing w:line="480" w:lineRule="auto"/>
        <w:ind w:firstLine="720"/>
        <w:jc w:val="both"/>
      </w:pPr>
      <w:r>
        <w:rPr>
          <w:rFonts w:ascii="Times New Roman" w:hAnsi="Times New Roman"/>
          <w:sz w:val="24"/>
        </w:rPr>
        <w:t>Yet a fundamental limitation persists. Regardless of how sophisticated the digital twin becomes, the final decision-maker remains the human operator. The digital twin serves as an excellent advisor—it can simulate scenarios, compare strategies, and predict risks (Makropoulos and Savic, 2019)—but it does not reduce the cognitive burden on the dispatcher. Consider the South-to-North Water Diversion Middle Route Project in China: over 1,400 km of canal with 63 check gates and 97 diversion outlets, where sudden disturbances require the dispatcher to coordinate a cascade of coupled decisions within extremely short timeframes. This approaches, and sometimes exceeds, the boundaries of human cognitive capacity (Endsley, 1995).</w:t>
      </w:r>
    </w:p>
    <w:p>
      <w:pPr>
        <w:spacing w:line="480" w:lineRule="auto"/>
        <w:ind w:firstLine="720"/>
        <w:jc w:val="both"/>
      </w:pPr>
      <w:r>
        <w:rPr>
          <w:rFonts w:ascii="Times New Roman" w:hAnsi="Times New Roman"/>
          <w:sz w:val="24"/>
        </w:rPr>
        <w:t>Meanwhile, a more powerful external force is approaching. The water industry has long enjoyed a tacit sense of security: it is a closed, low-margin, high-barrier domain. But the rapid advancement of large-scale AI systems toward general-purpose capabilities (Bubeck et al., 2023; Brown et al., 2020) is eroding this assumption. When AI capabilities become cross-industry and self-improving, sector-specific barriers may no longer provide protection.</w:t>
      </w:r>
    </w:p>
    <w:p>
      <w:pPr>
        <w:spacing w:line="480" w:lineRule="auto"/>
        <w:ind w:firstLine="720"/>
        <w:jc w:val="both"/>
      </w:pPr>
      <w:r>
        <w:rPr>
          <w:rFonts w:ascii="Times New Roman" w:hAnsi="Times New Roman"/>
          <w:sz w:val="24"/>
        </w:rPr>
        <w:t>This paper addresses two intertwined questions. First, what is the systematic technological pathway from the current state of water infrastructure intelligence to autonomous operation? Second, how does this pathway relate to the broader trajectory of general-purpose AI and Physical AI (Yang et al., 2024)? We propose a five-generation framework (Fig. 1) that provides a structured answer to both questions, and argue that its construction is simultaneously an internal technical necessity and an external strategic imperative.</w:t>
      </w:r>
    </w:p>
    <w:p>
      <w:pPr>
        <w:spacing w:line="480" w:lineRule="auto"/>
        <w:ind w:firstLine="720"/>
        <w:jc w:val="both"/>
      </w:pPr>
      <w:r>
        <w:rPr>
          <w:rFonts w:ascii="Times New Roman" w:hAnsi="Times New Roman"/>
          <w:sz w:val="24"/>
        </w:rPr>
        <w:t xml:space="preserve">Before proceeding, we define key terms used throughout this paper. </w:t>
      </w:r>
      <w:r>
        <w:rPr>
          <w:rFonts w:ascii="Times New Roman" w:hAnsi="Times New Roman"/>
          <w:b/>
          <w:sz w:val="24"/>
        </w:rPr>
        <w:t>SCADA</w:t>
      </w:r>
      <w:r>
        <w:rPr>
          <w:rFonts w:ascii="Times New Roman" w:hAnsi="Times New Roman"/>
          <w:sz w:val="24"/>
        </w:rPr>
        <w:t xml:space="preserve"> (Supervisory Control and Data Acquisition): systems for remote monitoring and control of physical infrastructure. </w:t>
      </w:r>
      <w:r>
        <w:rPr>
          <w:rFonts w:ascii="Times New Roman" w:hAnsi="Times New Roman"/>
          <w:b/>
          <w:sz w:val="24"/>
        </w:rPr>
        <w:t>SIM</w:t>
      </w:r>
      <w:r>
        <w:rPr>
          <w:rFonts w:ascii="Times New Roman" w:hAnsi="Times New Roman"/>
          <w:sz w:val="24"/>
        </w:rPr>
        <w:t xml:space="preserve"> (Simulation): the digital twin layer comprising hydraulic models, water quality models, and data fusion. </w:t>
      </w:r>
      <w:r>
        <w:rPr>
          <w:rFonts w:ascii="Times New Roman" w:hAnsi="Times New Roman"/>
          <w:b/>
          <w:sz w:val="24"/>
        </w:rPr>
        <w:t>HDC</w:t>
      </w:r>
      <w:r>
        <w:rPr>
          <w:rFonts w:ascii="Times New Roman" w:hAnsi="Times New Roman"/>
          <w:sz w:val="24"/>
        </w:rPr>
        <w:t xml:space="preserve"> (Hierarchical Distributed Control): multi-level automatic control algorithms deployed across the SCADA hierarchy. </w:t>
      </w:r>
      <w:r>
        <w:rPr>
          <w:rFonts w:ascii="Times New Roman" w:hAnsi="Times New Roman"/>
          <w:b/>
          <w:sz w:val="24"/>
        </w:rPr>
        <w:t>xIL</w:t>
      </w:r>
      <w:r>
        <w:rPr>
          <w:rFonts w:ascii="Times New Roman" w:hAnsi="Times New Roman"/>
          <w:sz w:val="24"/>
        </w:rPr>
        <w:t xml:space="preserve"> (x-in-the-Loop): the combination of SIL (Software-in-the-Loop) and HIL (Hardware-in-the-Loop) testing for safety verification. </w:t>
      </w:r>
      <w:r>
        <w:rPr>
          <w:rFonts w:ascii="Times New Roman" w:hAnsi="Times New Roman"/>
          <w:b/>
          <w:sz w:val="24"/>
        </w:rPr>
        <w:t>MAS</w:t>
      </w:r>
      <w:r>
        <w:rPr>
          <w:rFonts w:ascii="Times New Roman" w:hAnsi="Times New Roman"/>
          <w:sz w:val="24"/>
        </w:rPr>
        <w:t xml:space="preserve"> (Multi-Agent System): autonomous agents with situation awareness, decision-making, and coordination capabilities. </w:t>
      </w:r>
      <w:r>
        <w:rPr>
          <w:rFonts w:ascii="Times New Roman" w:hAnsi="Times New Roman"/>
          <w:b/>
          <w:sz w:val="24"/>
        </w:rPr>
        <w:t>ODD</w:t>
      </w:r>
      <w:r>
        <w:rPr>
          <w:rFonts w:ascii="Times New Roman" w:hAnsi="Times New Roman"/>
          <w:sz w:val="24"/>
        </w:rPr>
        <w:t xml:space="preserve"> (Operational Design Domain): the specific conditions under which an autonomous system is designed to operate safely (SAE International, 2021; Czarnecki, 2018). </w:t>
      </w:r>
      <w:r>
        <w:rPr>
          <w:rFonts w:ascii="Times New Roman" w:hAnsi="Times New Roman"/>
          <w:b/>
          <w:sz w:val="24"/>
        </w:rPr>
        <w:t>Physical AI</w:t>
      </w:r>
      <w:r>
        <w:rPr>
          <w:rFonts w:ascii="Times New Roman" w:hAnsi="Times New Roman"/>
          <w:sz w:val="24"/>
        </w:rPr>
        <w:t>: AI capable of understanding physical laws, making decisions in physical environments, and executing physical actions (Yang et al., 2024).</w:t>
      </w:r>
    </w:p>
    <w:p>
      <w:pPr>
        <w:spacing w:line="480" w:lineRule="auto"/>
        <w:ind w:firstLine="720"/>
        <w:jc w:val="both"/>
      </w:pPr>
      <w:r>
        <w:rPr>
          <w:rFonts w:ascii="Times New Roman" w:hAnsi="Times New Roman"/>
          <w:sz w:val="24"/>
        </w:rPr>
        <w:t>[Figure 1. The five-generation framework for water network intelligence. Each generation accumulates upon previous layers: Gen 1 (SCADA), Gen 2 (+SIM), Gen 3 (+HDC), Gen 4 (+xIL), Gen 5 (+MAS/ODD). The defining criterion at each stage is the locus of decision authority.]</w:t>
      </w:r>
    </w:p>
    <w:p>
      <w:pPr>
        <w:spacing w:before="240" w:line="480" w:lineRule="auto"/>
      </w:pPr>
      <w:r>
        <w:rPr>
          <w:rFonts w:ascii="Times New Roman" w:hAnsi="Times New Roman"/>
          <w:b/>
          <w:sz w:val="24"/>
        </w:rPr>
        <w:t>2. A five-generation framework for water network intelligence</w:t>
      </w:r>
    </w:p>
    <w:p>
      <w:pPr>
        <w:spacing w:line="480" w:lineRule="auto"/>
        <w:ind w:firstLine="720"/>
        <w:jc w:val="both"/>
      </w:pPr>
      <w:r>
        <w:rPr>
          <w:rFonts w:ascii="Times New Roman" w:hAnsi="Times New Roman"/>
          <w:sz w:val="24"/>
        </w:rPr>
        <w:t>Examining the development trajectory of water infrastructure informatization, we identify five distinct generations. The defining criterion for each generation is: who makes decisions, and where do the boundaries of decision-making capability lie? This classification draws inspiration from analogous frameworks in autonomous driving (SAE International, 2021) and power systems (Amin and Wollenberg, 2005), but is adapted to the unique characteristics of water networks—large spatial scales, slow hydraulic dynamics, strong nonlinearity, and high operational uncertainty.</w:t>
      </w:r>
    </w:p>
    <w:p>
      <w:pPr>
        <w:spacing w:before="120" w:line="480" w:lineRule="auto"/>
      </w:pPr>
      <w:r>
        <w:rPr>
          <w:rFonts w:ascii="Times New Roman" w:hAnsi="Times New Roman"/>
          <w:b/>
          <w:i/>
          <w:sz w:val="24"/>
        </w:rPr>
        <w:t>2.1. Generation 1: SCADA — the remote control</w:t>
      </w:r>
    </w:p>
    <w:p>
      <w:pPr>
        <w:spacing w:line="480" w:lineRule="auto"/>
        <w:ind w:firstLine="720"/>
        <w:jc w:val="both"/>
      </w:pPr>
      <w:r>
        <w:rPr>
          <w:rFonts w:ascii="Times New Roman" w:hAnsi="Times New Roman"/>
          <w:sz w:val="24"/>
        </w:rPr>
        <w:t>The core contribution of SCADA is establishing the remote sense-act loop. Sensors collect data, communication networks transmit commands, and actuators execute operations (Boyer, 2004). The human operator's reach is extended, but not the operator's cognitive capacity. SCADA is, in essence, a sophisticated remote control.</w:t>
      </w:r>
    </w:p>
    <w:p>
      <w:pPr>
        <w:spacing w:line="480" w:lineRule="auto"/>
        <w:ind w:firstLine="720"/>
        <w:jc w:val="both"/>
      </w:pPr>
      <w:r>
        <w:rPr>
          <w:rFonts w:ascii="Times New Roman" w:hAnsi="Times New Roman"/>
          <w:sz w:val="24"/>
        </w:rPr>
        <w:t>Notably, SCADA systems have been inherently hierarchical and distributed from inception: central dispatch stations, regional substations, and field-level RTUs/PLCs form a top-down layered structure (Stouffer et al., 2011). This architecture is not an arbitrary design choice but a necessary mapping of the spatial distribution of water networks—and it establishes the physical topology foundation for all subsequent evolution. The vulnerability of SCADA systems to cyber threats has been extensively studied (Amin et al., 2013; Taormina et al., 2018), underscoring that physical infrastructure control requires robust safety frameworks.</w:t>
      </w:r>
    </w:p>
    <w:p>
      <w:pPr>
        <w:spacing w:before="120" w:line="480" w:lineRule="auto"/>
      </w:pPr>
      <w:r>
        <w:rPr>
          <w:rFonts w:ascii="Times New Roman" w:hAnsi="Times New Roman"/>
          <w:b/>
          <w:i/>
          <w:sz w:val="24"/>
        </w:rPr>
        <w:t>2.2. Generation 2: SCADA + SIM — the advisor</w:t>
      </w:r>
    </w:p>
    <w:p>
      <w:pPr>
        <w:spacing w:line="480" w:lineRule="auto"/>
        <w:ind w:firstLine="720"/>
        <w:jc w:val="both"/>
      </w:pPr>
      <w:r>
        <w:rPr>
          <w:rFonts w:ascii="Times New Roman" w:hAnsi="Times New Roman"/>
          <w:sz w:val="24"/>
        </w:rPr>
        <w:t>The SIM layer overlays SCADA with what is commonly called the digital twin. Its core comprises hydraulic models based on the Saint-Venant equations for open channels (Chaudhry, 2008) or pipe network hydraulics (Rossman, 2000), augmented by water quality models, equipment state models, 3D visualization, and data fusion (Rasheed et al., 2020). SIM solves the problem of computing and visualizing—engineers can rehearse operational plans, compare control strategies, and anticipate risks in a virtual environment (Makropoulos and Savic, 2019). However, SIM's output remains recommendations and reports. It is an excellent advisor, not a commander. All decisions rest with the human operator.</w:t>
      </w:r>
    </w:p>
    <w:p>
      <w:pPr>
        <w:spacing w:before="120" w:line="480" w:lineRule="auto"/>
      </w:pPr>
      <w:r>
        <w:rPr>
          <w:rFonts w:ascii="Times New Roman" w:hAnsi="Times New Roman"/>
          <w:b/>
          <w:i/>
          <w:sz w:val="24"/>
        </w:rPr>
        <w:t>2.3. Generation 3: SCADA + SIM + HDC — the autopilot</w:t>
      </w:r>
    </w:p>
    <w:p>
      <w:pPr>
        <w:spacing w:line="480" w:lineRule="auto"/>
        <w:ind w:firstLine="720"/>
        <w:jc w:val="both"/>
      </w:pPr>
      <w:r>
        <w:rPr>
          <w:rFonts w:ascii="Times New Roman" w:hAnsi="Times New Roman"/>
          <w:sz w:val="24"/>
        </w:rPr>
        <w:t>HDC deploys automatic control algorithms at every level of the SCADA hierarchy: PID and feedforward control at the field level (Litrico and Fromion, 2009; Malaterre et al., 1998), cascade and coordinated control at the regional level (Cantoni et al., 2007), and optimization scheduling algorithms at the global level (Negenborn et al., 2009), forming multi-level closed-loop control circuits. The system acquires the ability to execute control actions automatically within preset operating conditions—analogous to an aircraft autopilot that maintains heading and altitude under normal flight conditions but requires pilot intervention for unexpected situations (Billings, 1997).</w:t>
      </w:r>
    </w:p>
    <w:p>
      <w:pPr>
        <w:spacing w:line="480" w:lineRule="auto"/>
        <w:ind w:firstLine="720"/>
        <w:jc w:val="both"/>
      </w:pPr>
      <w:r>
        <w:rPr>
          <w:rFonts w:ascii="Times New Roman" w:hAnsi="Times New Roman"/>
          <w:sz w:val="24"/>
        </w:rPr>
        <w:t>The essential advance of HDC over SIM is the shift from "human decides, system executes" to "system executes autonomously within preset conditions, human handles exceptions." However, its limitation is equally clear: all control strategies are designed for predefined scenarios. The judgment of "what condition are we currently in" and the decision of "how to switch between conditions" still depend entirely on human operators (Scattolini, 2009). The system possesses distributed execution capability but lacks distributed judgment capability.</w:t>
      </w:r>
    </w:p>
    <w:p>
      <w:pPr>
        <w:spacing w:before="120" w:line="480" w:lineRule="auto"/>
      </w:pPr>
      <w:r>
        <w:rPr>
          <w:rFonts w:ascii="Times New Roman" w:hAnsi="Times New Roman"/>
          <w:b/>
          <w:i/>
          <w:sz w:val="24"/>
        </w:rPr>
        <w:t>2.4. Generation 4: SCADA + SIM + HDC + xIL — the certified autopilot</w:t>
      </w:r>
    </w:p>
    <w:p>
      <w:pPr>
        <w:spacing w:line="480" w:lineRule="auto"/>
        <w:ind w:firstLine="720"/>
        <w:jc w:val="both"/>
      </w:pPr>
      <w:r>
        <w:rPr>
          <w:rFonts w:ascii="Times New Roman" w:hAnsi="Times New Roman"/>
          <w:sz w:val="24"/>
        </w:rPr>
        <w:t>Generation 3 establishes control capability, but a critical question remains: are these control algorithms safe under extreme conditions? In safety-critical domains such as water infrastructure, no regulatory body would authorize the deployment of unverified automatic control (Leveson, 2011). Generation 4 introduces xIL—the combination of SIL and HIL testing—to establish systematic safety verification and certification for HDC algorithms.</w:t>
      </w:r>
    </w:p>
    <w:p>
      <w:pPr>
        <w:spacing w:line="480" w:lineRule="auto"/>
        <w:ind w:firstLine="720"/>
        <w:jc w:val="both"/>
      </w:pPr>
      <w:r>
        <w:rPr>
          <w:rFonts w:ascii="Times New Roman" w:hAnsi="Times New Roman"/>
          <w:sz w:val="24"/>
        </w:rPr>
        <w:t>The analogy is direct: an aircraft autopilot must pass rigorous airworthiness certification before operational deployment—verified exhaustively in ground-based simulators and test benches before being entrusted with flight (RTCA, 2012). xIL serves as the water industry's equivalent. SIL systematically verifies HDC algorithms in a purely digital environment—particularly at design boundaries: does the controller remain stable as water levels approach safety limits? Do multi-gate coordination schemes exhibit oscillation? Are degradation strategies safe under communication failures? HIL integrates real hardware into the simulation loop, validating software-hardware interaction under real-world factors such as communication latency, actuator response times, and sensor noise (Isermann et al., 1999; Bacic, 2005).</w:t>
      </w:r>
    </w:p>
    <w:p>
      <w:pPr>
        <w:spacing w:line="480" w:lineRule="auto"/>
        <w:ind w:firstLine="720"/>
        <w:jc w:val="both"/>
      </w:pPr>
      <w:r>
        <w:rPr>
          <w:rFonts w:ascii="Times New Roman" w:hAnsi="Times New Roman"/>
          <w:sz w:val="24"/>
        </w:rPr>
        <w:t>xIL is not merely a testing tool but a safety certification framework—analogous to DO-178C in aviation (RTCA, 2012) and ISO 26262 in automotive (ISO, 2018). The principle of model-based verification has been well established in automotive (Bringmann and Krämer, 2008) and aerospace (Mengist et al., 2021) engineering. The water industry has never had such a framework. With xIL, HDC transitions from laboratory technology to deployable engineering technology.</w:t>
      </w:r>
    </w:p>
    <w:p>
      <w:pPr>
        <w:spacing w:before="120" w:line="480" w:lineRule="auto"/>
      </w:pPr>
      <w:r>
        <w:rPr>
          <w:rFonts w:ascii="Times New Roman" w:hAnsi="Times New Roman"/>
          <w:b/>
          <w:i/>
          <w:sz w:val="24"/>
        </w:rPr>
        <w:t>2.5. Generation 5: SCADA + SIM + MAS(ODD) + xIL — the certified commander</w:t>
      </w:r>
    </w:p>
    <w:p>
      <w:pPr>
        <w:spacing w:line="480" w:lineRule="auto"/>
        <w:ind w:firstLine="720"/>
        <w:jc w:val="both"/>
      </w:pPr>
      <w:r>
        <w:rPr>
          <w:rFonts w:ascii="Times New Roman" w:hAnsi="Times New Roman"/>
          <w:sz w:val="24"/>
        </w:rPr>
        <w:t>Generation 4 resolves the question of whether automatic control is safe and reliable. Generation 5 builds upon this foundation to achieve the critical cognitive leap. MAS does not replace HDC but augments it with two essential capabilities: ODD and cognitive intelligence—situation awareness plus autonomous decision-making (Wooldridge, 2009; Dorri et al., 2018). This relationship can be expressed precisely as: MAS = HDC + ODD + Cognitive Intelligence.</w:t>
      </w:r>
    </w:p>
    <w:p>
      <w:pPr>
        <w:spacing w:line="480" w:lineRule="auto"/>
        <w:ind w:firstLine="720"/>
        <w:jc w:val="both"/>
      </w:pPr>
      <w:r>
        <w:rPr>
          <w:rFonts w:ascii="Times New Roman" w:hAnsi="Times New Roman"/>
          <w:sz w:val="24"/>
        </w:rPr>
        <w:t>The crucial point is that Generation 5's MAS operates under the protective umbrella of the xIL infrastructure from its inception. This stands in stark contrast to Generation 3's HDC, which initially operated without systematic verification. Every new cognitive capability introduced by MAS—situation awareness, autonomous decision-making, ODD boundary judgment—must first pass SIL verification, then HIL validation, before deployment to operational infrastructure. xIL provides MAS with a safe evolution space: new capabilities can be explored because systematic verification provides a safety net (Koopman and Wagner, 2017).</w:t>
      </w:r>
    </w:p>
    <w:p>
      <w:pPr>
        <w:spacing w:line="480" w:lineRule="auto"/>
        <w:ind w:firstLine="720"/>
        <w:jc w:val="both"/>
      </w:pPr>
      <w:r>
        <w:rPr>
          <w:rFonts w:ascii="Times New Roman" w:hAnsi="Times New Roman"/>
          <w:sz w:val="24"/>
        </w:rPr>
        <w:t>Generation 5 is thus the certified commander: not only capable of autonomous decision-making, but with every autonomous capability systematically verified through xIL. The human transitions from operator to supervisor. The paradigm shift from Generation 4 to Generation 5 is from trusted automatic control to trusted autonomous decision-making—not building capability first and verifying afterward, but establishing the verification infrastructure first and progressively upgrading cognitive capability under its protection.</w:t>
      </w:r>
    </w:p>
    <w:p>
      <w:pPr>
        <w:spacing w:before="120" w:line="480" w:lineRule="auto"/>
      </w:pPr>
      <w:r>
        <w:rPr>
          <w:rFonts w:ascii="Times New Roman" w:hAnsi="Times New Roman"/>
          <w:b/>
          <w:i/>
          <w:sz w:val="24"/>
        </w:rPr>
        <w:t>2.6. Summary</w:t>
      </w:r>
    </w:p>
    <w:p>
      <w:pPr>
        <w:spacing w:line="480" w:lineRule="auto"/>
        <w:ind w:firstLine="720"/>
        <w:jc w:val="both"/>
      </w:pPr>
      <w:r>
        <w:rPr>
          <w:rFonts w:ascii="Times New Roman" w:hAnsi="Times New Roman"/>
          <w:sz w:val="24"/>
        </w:rPr>
        <w:t>Table 1 presents the five generations in comparative perspective. Table 2 reveals strikingly similar five-stage progressions across safety-critical industries. The automotive industry's L2 driver assistance did not reach mass production before the establishment of V&amp;V frameworks such as Euro NCAP and IIHS testing (Van Ratingen et al., 2016). With mature test certification infrastructure in place, the industry could then pursue L4 autonomy (Yurtsever et al., 2020). The power industry followed a parallel path: IEC 61850 standards and wide-area monitoring preceded large-scale deployment of distributed autonomous generation (Mackiewicz, 2006; Amin and Wollenberg, 2005).</w:t>
      </w:r>
    </w:p>
    <w:p>
      <w:pPr>
        <w:spacing w:before="240" w:line="480" w:lineRule="auto"/>
      </w:pPr>
      <w:r>
        <w:rPr>
          <w:rFonts w:ascii="Times New Roman" w:hAnsi="Times New Roman"/>
          <w:b/>
          <w:sz w:val="24"/>
        </w:rPr>
        <w:t>Table 1. Five-generation framework for water network intelligence.</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2340"/>
        <w:gridCol w:w="2340"/>
        <w:gridCol w:w="2340"/>
        <w:gridCol w:w="2340"/>
      </w:tblGrid>
      <w:tr>
        <w:trPr>
          <w:cantSplit/>
        </w:trPr>
        <w:tc>
          <w:tcPr>
            <w:tcW w:type="dxa" w:w="2340"/>
            <w:tcBorders>
              <w:bottom w:val="single" w:sz="6" w:space="0" w:color="000000"/>
            </w:tcBorders>
          </w:tcPr>
          <w:p>
            <w:pPr>
              <w:spacing w:line="240" w:lineRule="auto" w:before="40" w:after="40"/>
              <w:jc w:val="left"/>
            </w:pPr>
            <w:r/>
            <w:r>
              <w:rPr>
                <w:rFonts w:ascii="Times New Roman" w:hAnsi="Times New Roman"/>
                <w:b/>
                <w:sz w:val="20"/>
              </w:rPr>
              <w:t>Generation</w:t>
            </w:r>
          </w:p>
        </w:tc>
        <w:tc>
          <w:tcPr>
            <w:tcW w:type="dxa" w:w="2340"/>
            <w:tcBorders>
              <w:bottom w:val="single" w:sz="6" w:space="0" w:color="000000"/>
            </w:tcBorders>
          </w:tcPr>
          <w:p>
            <w:pPr>
              <w:spacing w:line="240" w:lineRule="auto" w:before="40" w:after="40"/>
              <w:jc w:val="left"/>
            </w:pPr>
            <w:r/>
            <w:r>
              <w:rPr>
                <w:rFonts w:ascii="Times New Roman" w:hAnsi="Times New Roman"/>
                <w:b/>
                <w:sz w:val="20"/>
              </w:rPr>
              <w:t>Technology Stack</w:t>
            </w:r>
          </w:p>
        </w:tc>
        <w:tc>
          <w:tcPr>
            <w:tcW w:type="dxa" w:w="2340"/>
            <w:tcBorders>
              <w:bottom w:val="single" w:sz="6" w:space="0" w:color="000000"/>
            </w:tcBorders>
          </w:tcPr>
          <w:p>
            <w:pPr>
              <w:spacing w:line="240" w:lineRule="auto" w:before="40" w:after="40"/>
              <w:jc w:val="left"/>
            </w:pPr>
            <w:r/>
            <w:r>
              <w:rPr>
                <w:rFonts w:ascii="Times New Roman" w:hAnsi="Times New Roman"/>
                <w:b/>
                <w:sz w:val="20"/>
              </w:rPr>
              <w:t>Decision Mode</w:t>
            </w:r>
          </w:p>
        </w:tc>
        <w:tc>
          <w:tcPr>
            <w:tcW w:type="dxa" w:w="2340"/>
            <w:tcBorders>
              <w:bottom w:val="single" w:sz="6" w:space="0" w:color="000000"/>
            </w:tcBorders>
          </w:tcPr>
          <w:p>
            <w:pPr>
              <w:spacing w:line="240" w:lineRule="auto" w:before="40" w:after="40"/>
              <w:jc w:val="left"/>
            </w:pPr>
            <w:r/>
            <w:r>
              <w:rPr>
                <w:rFonts w:ascii="Times New Roman" w:hAnsi="Times New Roman"/>
                <w:b/>
                <w:sz w:val="20"/>
              </w:rPr>
              <w:t>Analogy</w:t>
            </w:r>
          </w:p>
        </w:tc>
      </w:tr>
      <w:tr>
        <w:trPr>
          <w:cantSplit/>
        </w:trPr>
        <w:tc>
          <w:tcPr>
            <w:tcW w:type="dxa" w:w="2340"/>
          </w:tcPr>
          <w:p>
            <w:pPr>
              <w:spacing w:line="240" w:lineRule="auto" w:before="40" w:after="40"/>
              <w:jc w:val="left"/>
            </w:pPr>
            <w:r/>
            <w:r>
              <w:rPr>
                <w:rFonts w:ascii="Times New Roman" w:hAnsi="Times New Roman"/>
                <w:b w:val="0"/>
                <w:sz w:val="20"/>
              </w:rPr>
              <w:t>Gen 1</w:t>
            </w:r>
          </w:p>
        </w:tc>
        <w:tc>
          <w:tcPr>
            <w:tcW w:type="dxa" w:w="2340"/>
          </w:tcPr>
          <w:p>
            <w:pPr>
              <w:spacing w:line="240" w:lineRule="auto" w:before="40" w:after="40"/>
              <w:jc w:val="left"/>
            </w:pPr>
            <w:r/>
            <w:r>
              <w:rPr>
                <w:rFonts w:ascii="Times New Roman" w:hAnsi="Times New Roman"/>
                <w:b w:val="0"/>
                <w:sz w:val="20"/>
              </w:rPr>
              <w:t>SCADA</w:t>
            </w:r>
          </w:p>
        </w:tc>
        <w:tc>
          <w:tcPr>
            <w:tcW w:type="dxa" w:w="2340"/>
          </w:tcPr>
          <w:p>
            <w:pPr>
              <w:spacing w:line="240" w:lineRule="auto" w:before="40" w:after="40"/>
              <w:jc w:val="left"/>
            </w:pPr>
            <w:r/>
            <w:r>
              <w:rPr>
                <w:rFonts w:ascii="Times New Roman" w:hAnsi="Times New Roman"/>
                <w:b w:val="0"/>
                <w:sz w:val="20"/>
              </w:rPr>
              <w:t>Human senses, decides, executes (remotely)</w:t>
            </w:r>
          </w:p>
        </w:tc>
        <w:tc>
          <w:tcPr>
            <w:tcW w:type="dxa" w:w="2340"/>
          </w:tcPr>
          <w:p>
            <w:pPr>
              <w:spacing w:line="240" w:lineRule="auto" w:before="40" w:after="40"/>
              <w:jc w:val="left"/>
            </w:pPr>
            <w:r/>
            <w:r>
              <w:rPr>
                <w:rFonts w:ascii="Times New Roman" w:hAnsi="Times New Roman"/>
                <w:b w:val="0"/>
                <w:sz w:val="20"/>
              </w:rPr>
              <w:t>Remote Control</w:t>
            </w:r>
          </w:p>
        </w:tc>
      </w:tr>
      <w:tr>
        <w:trPr>
          <w:cantSplit/>
        </w:trPr>
        <w:tc>
          <w:tcPr>
            <w:tcW w:type="dxa" w:w="2340"/>
          </w:tcPr>
          <w:p>
            <w:pPr>
              <w:spacing w:line="240" w:lineRule="auto" w:before="40" w:after="40"/>
              <w:jc w:val="left"/>
            </w:pPr>
            <w:r/>
            <w:r>
              <w:rPr>
                <w:rFonts w:ascii="Times New Roman" w:hAnsi="Times New Roman"/>
                <w:b w:val="0"/>
                <w:sz w:val="20"/>
              </w:rPr>
              <w:t>Gen 2</w:t>
            </w:r>
          </w:p>
        </w:tc>
        <w:tc>
          <w:tcPr>
            <w:tcW w:type="dxa" w:w="2340"/>
          </w:tcPr>
          <w:p>
            <w:pPr>
              <w:spacing w:line="240" w:lineRule="auto" w:before="40" w:after="40"/>
              <w:jc w:val="left"/>
            </w:pPr>
            <w:r/>
            <w:r>
              <w:rPr>
                <w:rFonts w:ascii="Times New Roman" w:hAnsi="Times New Roman"/>
                <w:b w:val="0"/>
                <w:sz w:val="20"/>
              </w:rPr>
              <w:t>SCADA + SIM</w:t>
            </w:r>
          </w:p>
        </w:tc>
        <w:tc>
          <w:tcPr>
            <w:tcW w:type="dxa" w:w="2340"/>
          </w:tcPr>
          <w:p>
            <w:pPr>
              <w:spacing w:line="240" w:lineRule="auto" w:before="40" w:after="40"/>
              <w:jc w:val="left"/>
            </w:pPr>
            <w:r/>
            <w:r>
              <w:rPr>
                <w:rFonts w:ascii="Times New Roman" w:hAnsi="Times New Roman"/>
                <w:b w:val="0"/>
                <w:sz w:val="20"/>
              </w:rPr>
              <w:t>System assists analysis; human decides all</w:t>
            </w:r>
          </w:p>
        </w:tc>
        <w:tc>
          <w:tcPr>
            <w:tcW w:type="dxa" w:w="2340"/>
          </w:tcPr>
          <w:p>
            <w:pPr>
              <w:spacing w:line="240" w:lineRule="auto" w:before="40" w:after="40"/>
              <w:jc w:val="left"/>
            </w:pPr>
            <w:r/>
            <w:r>
              <w:rPr>
                <w:rFonts w:ascii="Times New Roman" w:hAnsi="Times New Roman"/>
                <w:b w:val="0"/>
                <w:sz w:val="20"/>
              </w:rPr>
              <w:t>Advisor</w:t>
            </w:r>
          </w:p>
        </w:tc>
      </w:tr>
      <w:tr>
        <w:trPr>
          <w:cantSplit/>
        </w:trPr>
        <w:tc>
          <w:tcPr>
            <w:tcW w:type="dxa" w:w="2340"/>
          </w:tcPr>
          <w:p>
            <w:pPr>
              <w:spacing w:line="240" w:lineRule="auto" w:before="40" w:after="40"/>
              <w:jc w:val="left"/>
            </w:pPr>
            <w:r/>
            <w:r>
              <w:rPr>
                <w:rFonts w:ascii="Times New Roman" w:hAnsi="Times New Roman"/>
                <w:b w:val="0"/>
                <w:sz w:val="20"/>
              </w:rPr>
              <w:t>Gen 3</w:t>
            </w:r>
          </w:p>
        </w:tc>
        <w:tc>
          <w:tcPr>
            <w:tcW w:type="dxa" w:w="2340"/>
          </w:tcPr>
          <w:p>
            <w:pPr>
              <w:spacing w:line="240" w:lineRule="auto" w:before="40" w:after="40"/>
              <w:jc w:val="left"/>
            </w:pPr>
            <w:r/>
            <w:r>
              <w:rPr>
                <w:rFonts w:ascii="Times New Roman" w:hAnsi="Times New Roman"/>
                <w:b w:val="0"/>
                <w:sz w:val="20"/>
              </w:rPr>
              <w:t>SCADA + SIM + HDC</w:t>
            </w:r>
          </w:p>
        </w:tc>
        <w:tc>
          <w:tcPr>
            <w:tcW w:type="dxa" w:w="2340"/>
          </w:tcPr>
          <w:p>
            <w:pPr>
              <w:spacing w:line="240" w:lineRule="auto" w:before="40" w:after="40"/>
              <w:jc w:val="left"/>
            </w:pPr>
            <w:r/>
            <w:r>
              <w:rPr>
                <w:rFonts w:ascii="Times New Roman" w:hAnsi="Times New Roman"/>
                <w:b w:val="0"/>
                <w:sz w:val="20"/>
              </w:rPr>
              <w:t>Auto-execution within presets; human handles exceptions</w:t>
            </w:r>
          </w:p>
        </w:tc>
        <w:tc>
          <w:tcPr>
            <w:tcW w:type="dxa" w:w="2340"/>
          </w:tcPr>
          <w:p>
            <w:pPr>
              <w:spacing w:line="240" w:lineRule="auto" w:before="40" w:after="40"/>
              <w:jc w:val="left"/>
            </w:pPr>
            <w:r/>
            <w:r>
              <w:rPr>
                <w:rFonts w:ascii="Times New Roman" w:hAnsi="Times New Roman"/>
                <w:b w:val="0"/>
                <w:sz w:val="20"/>
              </w:rPr>
              <w:t>Autopilot</w:t>
            </w:r>
          </w:p>
        </w:tc>
      </w:tr>
      <w:tr>
        <w:trPr>
          <w:cantSplit/>
        </w:trPr>
        <w:tc>
          <w:tcPr>
            <w:tcW w:type="dxa" w:w="2340"/>
          </w:tcPr>
          <w:p>
            <w:pPr>
              <w:spacing w:line="240" w:lineRule="auto" w:before="40" w:after="40"/>
              <w:jc w:val="left"/>
            </w:pPr>
            <w:r/>
            <w:r>
              <w:rPr>
                <w:rFonts w:ascii="Times New Roman" w:hAnsi="Times New Roman"/>
                <w:b w:val="0"/>
                <w:sz w:val="20"/>
              </w:rPr>
              <w:t>Gen 4</w:t>
            </w:r>
          </w:p>
        </w:tc>
        <w:tc>
          <w:tcPr>
            <w:tcW w:type="dxa" w:w="2340"/>
          </w:tcPr>
          <w:p>
            <w:pPr>
              <w:spacing w:line="240" w:lineRule="auto" w:before="40" w:after="40"/>
              <w:jc w:val="left"/>
            </w:pPr>
            <w:r/>
            <w:r>
              <w:rPr>
                <w:rFonts w:ascii="Times New Roman" w:hAnsi="Times New Roman"/>
                <w:b w:val="0"/>
                <w:sz w:val="20"/>
              </w:rPr>
              <w:t>SCADA + SIM + HDC + xIL</w:t>
            </w:r>
          </w:p>
        </w:tc>
        <w:tc>
          <w:tcPr>
            <w:tcW w:type="dxa" w:w="2340"/>
          </w:tcPr>
          <w:p>
            <w:pPr>
              <w:spacing w:line="240" w:lineRule="auto" w:before="40" w:after="40"/>
              <w:jc w:val="left"/>
            </w:pPr>
            <w:r/>
            <w:r>
              <w:rPr>
                <w:rFonts w:ascii="Times New Roman" w:hAnsi="Times New Roman"/>
                <w:b w:val="0"/>
                <w:sz w:val="20"/>
              </w:rPr>
              <w:t>Verified automatic control; human oversees</w:t>
            </w:r>
          </w:p>
        </w:tc>
        <w:tc>
          <w:tcPr>
            <w:tcW w:type="dxa" w:w="2340"/>
          </w:tcPr>
          <w:p>
            <w:pPr>
              <w:spacing w:line="240" w:lineRule="auto" w:before="40" w:after="40"/>
              <w:jc w:val="left"/>
            </w:pPr>
            <w:r/>
            <w:r>
              <w:rPr>
                <w:rFonts w:ascii="Times New Roman" w:hAnsi="Times New Roman"/>
                <w:b w:val="0"/>
                <w:sz w:val="20"/>
              </w:rPr>
              <w:t>Certified Autopilot</w:t>
            </w:r>
          </w:p>
        </w:tc>
      </w:tr>
      <w:tr>
        <w:trPr>
          <w:cantSplit/>
        </w:trPr>
        <w:tc>
          <w:tcPr>
            <w:tcW w:type="dxa" w:w="2340"/>
          </w:tcPr>
          <w:p>
            <w:pPr>
              <w:spacing w:line="240" w:lineRule="auto" w:before="40" w:after="40"/>
              <w:jc w:val="left"/>
            </w:pPr>
            <w:r/>
            <w:r>
              <w:rPr>
                <w:rFonts w:ascii="Times New Roman" w:hAnsi="Times New Roman"/>
                <w:b w:val="0"/>
                <w:sz w:val="20"/>
              </w:rPr>
              <w:t>Gen 5</w:t>
            </w:r>
          </w:p>
        </w:tc>
        <w:tc>
          <w:tcPr>
            <w:tcW w:type="dxa" w:w="2340"/>
          </w:tcPr>
          <w:p>
            <w:pPr>
              <w:spacing w:line="240" w:lineRule="auto" w:before="40" w:after="40"/>
              <w:jc w:val="left"/>
            </w:pPr>
            <w:r/>
            <w:r>
              <w:rPr>
                <w:rFonts w:ascii="Times New Roman" w:hAnsi="Times New Roman"/>
                <w:b w:val="0"/>
                <w:sz w:val="20"/>
              </w:rPr>
              <w:t>SCADA + SIM + MAS(ODD) + xIL</w:t>
            </w:r>
          </w:p>
        </w:tc>
        <w:tc>
          <w:tcPr>
            <w:tcW w:type="dxa" w:w="2340"/>
          </w:tcPr>
          <w:p>
            <w:pPr>
              <w:spacing w:line="240" w:lineRule="auto" w:before="40" w:after="40"/>
              <w:jc w:val="left"/>
            </w:pPr>
            <w:r/>
            <w:r>
              <w:rPr>
                <w:rFonts w:ascii="Times New Roman" w:hAnsi="Times New Roman"/>
                <w:b w:val="0"/>
                <w:sz w:val="20"/>
              </w:rPr>
              <w:t>Verified autonomous decisions; human supervises</w:t>
            </w:r>
          </w:p>
        </w:tc>
        <w:tc>
          <w:tcPr>
            <w:tcW w:type="dxa" w:w="2340"/>
          </w:tcPr>
          <w:p>
            <w:pPr>
              <w:spacing w:line="240" w:lineRule="auto" w:before="40" w:after="40"/>
              <w:jc w:val="left"/>
            </w:pPr>
            <w:r/>
            <w:r>
              <w:rPr>
                <w:rFonts w:ascii="Times New Roman" w:hAnsi="Times New Roman"/>
                <w:b w:val="0"/>
                <w:sz w:val="20"/>
              </w:rPr>
              <w:t>Certified Commander</w:t>
            </w:r>
          </w:p>
        </w:tc>
      </w:tr>
    </w:tbl>
    <w:p>
      <w:pPr>
        <w:spacing w:before="240" w:line="480" w:lineRule="auto"/>
      </w:pPr>
      <w:r>
        <w:rPr>
          <w:rFonts w:ascii="Times New Roman" w:hAnsi="Times New Roman"/>
          <w:b/>
          <w:sz w:val="24"/>
        </w:rPr>
        <w:t>Table 2. Cross-industry comparison of the five-generation evolution.</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2340"/>
        <w:gridCol w:w="2340"/>
        <w:gridCol w:w="2340"/>
        <w:gridCol w:w="2340"/>
      </w:tblGrid>
      <w:tr>
        <w:trPr>
          <w:cantSplit/>
        </w:trPr>
        <w:tc>
          <w:tcPr>
            <w:tcW w:type="dxa" w:w="2340"/>
            <w:tcBorders>
              <w:bottom w:val="single" w:sz="6" w:space="0" w:color="000000"/>
            </w:tcBorders>
          </w:tcPr>
          <w:p>
            <w:pPr>
              <w:spacing w:line="240" w:lineRule="auto" w:before="40" w:after="40"/>
              <w:jc w:val="left"/>
            </w:pPr>
            <w:r/>
            <w:r>
              <w:rPr>
                <w:rFonts w:ascii="Times New Roman" w:hAnsi="Times New Roman"/>
                <w:b/>
                <w:sz w:val="20"/>
              </w:rPr>
              <w:t>Generation</w:t>
            </w:r>
          </w:p>
        </w:tc>
        <w:tc>
          <w:tcPr>
            <w:tcW w:type="dxa" w:w="2340"/>
            <w:tcBorders>
              <w:bottom w:val="single" w:sz="6" w:space="0" w:color="000000"/>
            </w:tcBorders>
          </w:tcPr>
          <w:p>
            <w:pPr>
              <w:spacing w:line="240" w:lineRule="auto" w:before="40" w:after="40"/>
              <w:jc w:val="left"/>
            </w:pPr>
            <w:r/>
            <w:r>
              <w:rPr>
                <w:rFonts w:ascii="Times New Roman" w:hAnsi="Times New Roman"/>
                <w:b/>
                <w:sz w:val="20"/>
              </w:rPr>
              <w:t>Automotive</w:t>
            </w:r>
          </w:p>
        </w:tc>
        <w:tc>
          <w:tcPr>
            <w:tcW w:type="dxa" w:w="2340"/>
            <w:tcBorders>
              <w:bottom w:val="single" w:sz="6" w:space="0" w:color="000000"/>
            </w:tcBorders>
          </w:tcPr>
          <w:p>
            <w:pPr>
              <w:spacing w:line="240" w:lineRule="auto" w:before="40" w:after="40"/>
              <w:jc w:val="left"/>
            </w:pPr>
            <w:r/>
            <w:r>
              <w:rPr>
                <w:rFonts w:ascii="Times New Roman" w:hAnsi="Times New Roman"/>
                <w:b/>
                <w:sz w:val="20"/>
              </w:rPr>
              <w:t>Electric Power</w:t>
            </w:r>
          </w:p>
        </w:tc>
        <w:tc>
          <w:tcPr>
            <w:tcW w:type="dxa" w:w="2340"/>
            <w:tcBorders>
              <w:bottom w:val="single" w:sz="6" w:space="0" w:color="000000"/>
            </w:tcBorders>
          </w:tcPr>
          <w:p>
            <w:pPr>
              <w:spacing w:line="240" w:lineRule="auto" w:before="40" w:after="40"/>
              <w:jc w:val="left"/>
            </w:pPr>
            <w:r/>
            <w:r>
              <w:rPr>
                <w:rFonts w:ascii="Times New Roman" w:hAnsi="Times New Roman"/>
                <w:b/>
                <w:sz w:val="20"/>
              </w:rPr>
              <w:t>Water</w:t>
            </w:r>
          </w:p>
        </w:tc>
      </w:tr>
      <w:tr>
        <w:trPr>
          <w:cantSplit/>
        </w:trPr>
        <w:tc>
          <w:tcPr>
            <w:tcW w:type="dxa" w:w="2340"/>
          </w:tcPr>
          <w:p>
            <w:pPr>
              <w:spacing w:line="240" w:lineRule="auto" w:before="40" w:after="40"/>
              <w:jc w:val="left"/>
            </w:pPr>
            <w:r/>
            <w:r>
              <w:rPr>
                <w:rFonts w:ascii="Times New Roman" w:hAnsi="Times New Roman"/>
                <w:b w:val="0"/>
                <w:sz w:val="20"/>
              </w:rPr>
              <w:t>Gen 1</w:t>
            </w:r>
          </w:p>
        </w:tc>
        <w:tc>
          <w:tcPr>
            <w:tcW w:type="dxa" w:w="2340"/>
          </w:tcPr>
          <w:p>
            <w:pPr>
              <w:spacing w:line="240" w:lineRule="auto" w:before="40" w:after="40"/>
              <w:jc w:val="left"/>
            </w:pPr>
            <w:r/>
            <w:r>
              <w:rPr>
                <w:rFonts w:ascii="Times New Roman" w:hAnsi="Times New Roman"/>
                <w:b w:val="0"/>
                <w:sz w:val="20"/>
              </w:rPr>
              <w:t>Cruise control</w:t>
            </w:r>
          </w:p>
        </w:tc>
        <w:tc>
          <w:tcPr>
            <w:tcW w:type="dxa" w:w="2340"/>
          </w:tcPr>
          <w:p>
            <w:pPr>
              <w:spacing w:line="240" w:lineRule="auto" w:before="40" w:after="40"/>
              <w:jc w:val="left"/>
            </w:pPr>
            <w:r/>
            <w:r>
              <w:rPr>
                <w:rFonts w:ascii="Times New Roman" w:hAnsi="Times New Roman"/>
                <w:b w:val="0"/>
                <w:sz w:val="20"/>
              </w:rPr>
              <w:t>Grid SCADA</w:t>
            </w:r>
          </w:p>
        </w:tc>
        <w:tc>
          <w:tcPr>
            <w:tcW w:type="dxa" w:w="2340"/>
          </w:tcPr>
          <w:p>
            <w:pPr>
              <w:spacing w:line="240" w:lineRule="auto" w:before="40" w:after="40"/>
              <w:jc w:val="left"/>
            </w:pPr>
            <w:r/>
            <w:r>
              <w:rPr>
                <w:rFonts w:ascii="Times New Roman" w:hAnsi="Times New Roman"/>
                <w:b w:val="0"/>
                <w:sz w:val="20"/>
              </w:rPr>
              <w:t>SCADA</w:t>
            </w:r>
          </w:p>
        </w:tc>
      </w:tr>
      <w:tr>
        <w:trPr>
          <w:cantSplit/>
        </w:trPr>
        <w:tc>
          <w:tcPr>
            <w:tcW w:type="dxa" w:w="2340"/>
          </w:tcPr>
          <w:p>
            <w:pPr>
              <w:spacing w:line="240" w:lineRule="auto" w:before="40" w:after="40"/>
              <w:jc w:val="left"/>
            </w:pPr>
            <w:r/>
            <w:r>
              <w:rPr>
                <w:rFonts w:ascii="Times New Roman" w:hAnsi="Times New Roman"/>
                <w:b w:val="0"/>
                <w:sz w:val="20"/>
              </w:rPr>
              <w:t>Gen 2</w:t>
            </w:r>
          </w:p>
        </w:tc>
        <w:tc>
          <w:tcPr>
            <w:tcW w:type="dxa" w:w="2340"/>
          </w:tcPr>
          <w:p>
            <w:pPr>
              <w:spacing w:line="240" w:lineRule="auto" w:before="40" w:after="40"/>
              <w:jc w:val="left"/>
            </w:pPr>
            <w:r/>
            <w:r>
              <w:rPr>
                <w:rFonts w:ascii="Times New Roman" w:hAnsi="Times New Roman"/>
                <w:b w:val="0"/>
                <w:sz w:val="20"/>
              </w:rPr>
              <w:t>ADAS + simulation</w:t>
            </w:r>
          </w:p>
        </w:tc>
        <w:tc>
          <w:tcPr>
            <w:tcW w:type="dxa" w:w="2340"/>
          </w:tcPr>
          <w:p>
            <w:pPr>
              <w:spacing w:line="240" w:lineRule="auto" w:before="40" w:after="40"/>
              <w:jc w:val="left"/>
            </w:pPr>
            <w:r/>
            <w:r>
              <w:rPr>
                <w:rFonts w:ascii="Times New Roman" w:hAnsi="Times New Roman"/>
                <w:b w:val="0"/>
                <w:sz w:val="20"/>
              </w:rPr>
              <w:t>Grid digital twin</w:t>
            </w:r>
          </w:p>
        </w:tc>
        <w:tc>
          <w:tcPr>
            <w:tcW w:type="dxa" w:w="2340"/>
          </w:tcPr>
          <w:p>
            <w:pPr>
              <w:spacing w:line="240" w:lineRule="auto" w:before="40" w:after="40"/>
              <w:jc w:val="left"/>
            </w:pPr>
            <w:r/>
            <w:r>
              <w:rPr>
                <w:rFonts w:ascii="Times New Roman" w:hAnsi="Times New Roman"/>
                <w:b w:val="0"/>
                <w:sz w:val="20"/>
              </w:rPr>
              <w:t>SCADA + SIM</w:t>
            </w:r>
          </w:p>
        </w:tc>
      </w:tr>
      <w:tr>
        <w:trPr>
          <w:cantSplit/>
        </w:trPr>
        <w:tc>
          <w:tcPr>
            <w:tcW w:type="dxa" w:w="2340"/>
          </w:tcPr>
          <w:p>
            <w:pPr>
              <w:spacing w:line="240" w:lineRule="auto" w:before="40" w:after="40"/>
              <w:jc w:val="left"/>
            </w:pPr>
            <w:r/>
            <w:r>
              <w:rPr>
                <w:rFonts w:ascii="Times New Roman" w:hAnsi="Times New Roman"/>
                <w:b w:val="0"/>
                <w:sz w:val="20"/>
              </w:rPr>
              <w:t>Gen 3</w:t>
            </w:r>
          </w:p>
        </w:tc>
        <w:tc>
          <w:tcPr>
            <w:tcW w:type="dxa" w:w="2340"/>
          </w:tcPr>
          <w:p>
            <w:pPr>
              <w:spacing w:line="240" w:lineRule="auto" w:before="40" w:after="40"/>
              <w:jc w:val="left"/>
            </w:pPr>
            <w:r/>
            <w:r>
              <w:rPr>
                <w:rFonts w:ascii="Times New Roman" w:hAnsi="Times New Roman"/>
                <w:b w:val="0"/>
                <w:sz w:val="20"/>
              </w:rPr>
              <w:t>L2 driver assist</w:t>
            </w:r>
          </w:p>
        </w:tc>
        <w:tc>
          <w:tcPr>
            <w:tcW w:type="dxa" w:w="2340"/>
          </w:tcPr>
          <w:p>
            <w:pPr>
              <w:spacing w:line="240" w:lineRule="auto" w:before="40" w:after="40"/>
              <w:jc w:val="left"/>
            </w:pPr>
            <w:r/>
            <w:r>
              <w:rPr>
                <w:rFonts w:ascii="Times New Roman" w:hAnsi="Times New Roman"/>
                <w:b w:val="0"/>
                <w:sz w:val="20"/>
              </w:rPr>
              <w:t>AGC</w:t>
            </w:r>
          </w:p>
        </w:tc>
        <w:tc>
          <w:tcPr>
            <w:tcW w:type="dxa" w:w="2340"/>
          </w:tcPr>
          <w:p>
            <w:pPr>
              <w:spacing w:line="240" w:lineRule="auto" w:before="40" w:after="40"/>
              <w:jc w:val="left"/>
            </w:pPr>
            <w:r/>
            <w:r>
              <w:rPr>
                <w:rFonts w:ascii="Times New Roman" w:hAnsi="Times New Roman"/>
                <w:b w:val="0"/>
                <w:sz w:val="20"/>
              </w:rPr>
              <w:t>SCADA + SIM + HDC</w:t>
            </w:r>
          </w:p>
        </w:tc>
      </w:tr>
      <w:tr>
        <w:trPr>
          <w:cantSplit/>
        </w:trPr>
        <w:tc>
          <w:tcPr>
            <w:tcW w:type="dxa" w:w="2340"/>
          </w:tcPr>
          <w:p>
            <w:pPr>
              <w:spacing w:line="240" w:lineRule="auto" w:before="40" w:after="40"/>
              <w:jc w:val="left"/>
            </w:pPr>
            <w:r/>
            <w:r>
              <w:rPr>
                <w:rFonts w:ascii="Times New Roman" w:hAnsi="Times New Roman"/>
                <w:b w:val="0"/>
                <w:sz w:val="20"/>
              </w:rPr>
              <w:t>Gen 4</w:t>
            </w:r>
          </w:p>
        </w:tc>
        <w:tc>
          <w:tcPr>
            <w:tcW w:type="dxa" w:w="2340"/>
          </w:tcPr>
          <w:p>
            <w:pPr>
              <w:spacing w:line="240" w:lineRule="auto" w:before="40" w:after="40"/>
              <w:jc w:val="left"/>
            </w:pPr>
            <w:r/>
            <w:r>
              <w:rPr>
                <w:rFonts w:ascii="Times New Roman" w:hAnsi="Times New Roman"/>
                <w:b w:val="0"/>
                <w:sz w:val="20"/>
              </w:rPr>
              <w:t>L2 + V&amp;V certification</w:t>
            </w:r>
          </w:p>
        </w:tc>
        <w:tc>
          <w:tcPr>
            <w:tcW w:type="dxa" w:w="2340"/>
          </w:tcPr>
          <w:p>
            <w:pPr>
              <w:spacing w:line="240" w:lineRule="auto" w:before="40" w:after="40"/>
              <w:jc w:val="left"/>
            </w:pPr>
            <w:r/>
            <w:r>
              <w:rPr>
                <w:rFonts w:ascii="Times New Roman" w:hAnsi="Times New Roman"/>
                <w:b w:val="0"/>
                <w:sz w:val="20"/>
              </w:rPr>
              <w:t>AGC + grid testing (IEC 61850)</w:t>
            </w:r>
          </w:p>
        </w:tc>
        <w:tc>
          <w:tcPr>
            <w:tcW w:type="dxa" w:w="2340"/>
          </w:tcPr>
          <w:p>
            <w:pPr>
              <w:spacing w:line="240" w:lineRule="auto" w:before="40" w:after="40"/>
              <w:jc w:val="left"/>
            </w:pPr>
            <w:r/>
            <w:r>
              <w:rPr>
                <w:rFonts w:ascii="Times New Roman" w:hAnsi="Times New Roman"/>
                <w:b w:val="0"/>
                <w:sz w:val="20"/>
              </w:rPr>
              <w:t>SCADA + SIM + HDC + xIL</w:t>
            </w:r>
          </w:p>
        </w:tc>
      </w:tr>
      <w:tr>
        <w:trPr>
          <w:cantSplit/>
        </w:trPr>
        <w:tc>
          <w:tcPr>
            <w:tcW w:type="dxa" w:w="2340"/>
          </w:tcPr>
          <w:p>
            <w:pPr>
              <w:spacing w:line="240" w:lineRule="auto" w:before="40" w:after="40"/>
              <w:jc w:val="left"/>
            </w:pPr>
            <w:r/>
            <w:r>
              <w:rPr>
                <w:rFonts w:ascii="Times New Roman" w:hAnsi="Times New Roman"/>
                <w:b w:val="0"/>
                <w:sz w:val="20"/>
              </w:rPr>
              <w:t>Gen 5</w:t>
            </w:r>
          </w:p>
        </w:tc>
        <w:tc>
          <w:tcPr>
            <w:tcW w:type="dxa" w:w="2340"/>
          </w:tcPr>
          <w:p>
            <w:pPr>
              <w:spacing w:line="240" w:lineRule="auto" w:before="40" w:after="40"/>
              <w:jc w:val="left"/>
            </w:pPr>
            <w:r/>
            <w:r>
              <w:rPr>
                <w:rFonts w:ascii="Times New Roman" w:hAnsi="Times New Roman"/>
                <w:b w:val="0"/>
                <w:sz w:val="20"/>
              </w:rPr>
              <w:t>L4 autonomous (ODD) + V&amp;V</w:t>
            </w:r>
          </w:p>
        </w:tc>
        <w:tc>
          <w:tcPr>
            <w:tcW w:type="dxa" w:w="2340"/>
          </w:tcPr>
          <w:p>
            <w:pPr>
              <w:spacing w:line="240" w:lineRule="auto" w:before="40" w:after="40"/>
              <w:jc w:val="left"/>
            </w:pPr>
            <w:r/>
            <w:r>
              <w:rPr>
                <w:rFonts w:ascii="Times New Roman" w:hAnsi="Times New Roman"/>
                <w:b w:val="0"/>
                <w:sz w:val="20"/>
              </w:rPr>
              <w:t>Distributed autonomy + certification</w:t>
            </w:r>
          </w:p>
        </w:tc>
        <w:tc>
          <w:tcPr>
            <w:tcW w:type="dxa" w:w="2340"/>
          </w:tcPr>
          <w:p>
            <w:pPr>
              <w:spacing w:line="240" w:lineRule="auto" w:before="40" w:after="40"/>
              <w:jc w:val="left"/>
            </w:pPr>
            <w:r/>
            <w:r>
              <w:rPr>
                <w:rFonts w:ascii="Times New Roman" w:hAnsi="Times New Roman"/>
                <w:b w:val="0"/>
                <w:sz w:val="20"/>
              </w:rPr>
              <w:t>SCADA + SIM + MAS(ODD) + xIL</w:t>
            </w:r>
          </w:p>
        </w:tc>
      </w:tr>
    </w:tbl>
    <w:p>
      <w:pPr>
        <w:spacing w:line="480" w:lineRule="auto"/>
        <w:ind w:firstLine="720"/>
        <w:jc w:val="both"/>
      </w:pPr>
      <w:r>
        <w:rPr>
          <w:rFonts w:ascii="Times New Roman" w:hAnsi="Times New Roman"/>
          <w:sz w:val="24"/>
        </w:rPr>
        <w:t>The vast majority of water infrastructure projects worldwide remain at Generation 2, with only a handful of pioneering projects having partially explored Generation 3 (Mareels et al., 2005; Van Overloop, 2006)—none achieving full operational-envelope coverage. This means the water industry faces a leap from Generation 2 directly to Generation 5—spanning three complete technological generations.</w:t>
      </w:r>
    </w:p>
    <w:p>
      <w:pPr>
        <w:spacing w:before="240" w:line="480" w:lineRule="auto"/>
      </w:pPr>
      <w:r>
        <w:rPr>
          <w:rFonts w:ascii="Times New Roman" w:hAnsi="Times New Roman"/>
          <w:b/>
          <w:sz w:val="24"/>
        </w:rPr>
        <w:t>3. MAS = HDC + ODD + Cognitive Intelligence</w:t>
      </w:r>
    </w:p>
    <w:p>
      <w:pPr>
        <w:spacing w:line="480" w:lineRule="auto"/>
        <w:ind w:firstLine="720"/>
        <w:jc w:val="both"/>
      </w:pPr>
      <w:r>
        <w:rPr>
          <w:rFonts w:ascii="Times New Roman" w:hAnsi="Times New Roman"/>
          <w:sz w:val="24"/>
        </w:rPr>
        <w:t>The transition from Generation 3 to Generation 5—from HDC to MAS—represents the most critical cognitive leap in the entire five-generation evolution. Generation 4's xIL infrastructure, established in advance, is precisely what enables this leap to occur safely. Understanding this requires first examining why even Generation 3 (HDC) has not been widely adopted in the water industry.</w:t>
      </w:r>
    </w:p>
    <w:p>
      <w:pPr>
        <w:spacing w:before="120" w:line="480" w:lineRule="auto"/>
      </w:pPr>
      <w:r>
        <w:rPr>
          <w:rFonts w:ascii="Times New Roman" w:hAnsi="Times New Roman"/>
          <w:b/>
          <w:i/>
          <w:sz w:val="24"/>
        </w:rPr>
        <w:t>3.1. HDC: a threshold not yet crossed</w:t>
      </w:r>
    </w:p>
    <w:p>
      <w:pPr>
        <w:spacing w:line="480" w:lineRule="auto"/>
        <w:ind w:firstLine="720"/>
        <w:jc w:val="both"/>
      </w:pPr>
      <w:r>
        <w:rPr>
          <w:rFonts w:ascii="Times New Roman" w:hAnsi="Times New Roman"/>
          <w:sz w:val="24"/>
        </w:rPr>
        <w:t>The majority of water infrastructure projects remain at Generation 2. HDC remains, for most projects, a vision rather than an operational reality. Only a small number of projects have undertaken substantive HDC exploration. In China, Wang Zhongjing's team at Tsinghua University conducted automatic control experiments in Ningxia and Gansu irrigation districts (Zheng et al., 2019b; Liu et al., 2023b), and Guan Guanghua's team at Wuhan University implemented canal automatic control in various irrigation schemes (Guan et al., 2025; Zhu et al., 2023). The present authors deployed SCADA-integrated HDC algorithms in the Jiaodong Water Diversion Project (Zhang et al., 2019; Yan et al., 2022) and the Dadu River cascade hydropower system (Ye et al., 2023; Lei et al., 2025b), achieving automatic control for a defined subset of operational scenarios with model-in-the-loop (MIL) verification—but not yet a full xIL certification framework. Internationally, the Australian Goulburn-Murray Water modernization project (Mareels et al., 2005; Cantoni et al., 2007) represents one of the most ambitious automation efforts. However, even in these frontier explorations, a common pattern is evident: HDC has been implemented for predetermined scenarios, but systematic verification across the full operational envelope and cognitive capabilities for unforeseen situations remain absent.</w:t>
      </w:r>
    </w:p>
    <w:p>
      <w:pPr>
        <w:spacing w:before="120" w:line="480" w:lineRule="auto"/>
      </w:pPr>
      <w:r>
        <w:rPr>
          <w:rFonts w:ascii="Times New Roman" w:hAnsi="Times New Roman"/>
          <w:b/>
          <w:i/>
          <w:sz w:val="24"/>
        </w:rPr>
        <w:t>3.2. Control theory in water systems: an unfinished journey</w:t>
      </w:r>
    </w:p>
    <w:p>
      <w:pPr>
        <w:spacing w:line="480" w:lineRule="auto"/>
        <w:ind w:firstLine="720"/>
        <w:jc w:val="both"/>
      </w:pPr>
      <w:r>
        <w:rPr>
          <w:rFonts w:ascii="Times New Roman" w:hAnsi="Times New Roman"/>
          <w:sz w:val="24"/>
        </w:rPr>
        <w:t>The application of control theory to water systems can be traced to the late 1960s, when Wylie (1969) introduced gate stroking—the first formal control methodology for open-channel transient flow—and SOGREAH pioneered automatic canal water level regulation in France (Malaterre, 1995). The U.S. Bureau of Reclamation subsequently codified decades of operational experience in its Canal Systems Automation Manual (Buyalski et al., 1991), establishing a foundational reference for the field. From these origins, three main research streams emerged: (a) classical and modern control approaches—PID, LQR (Balogun et al., 1988), integrator-delay modeling for controller design (Schuurmans et al., 1999), optimal feedback control (Clemmens and Schuurmans, 2004), and volume compensation (Bautista and Clemmens, 2005; Wahlin and Clemmens, 2006); (b) model predictive control (MPC)—Van Overloop (2006) systematically configured MPC for open water systems in his landmark doctoral work at Delft and subsequently achieved the first real-time field implementation on the WM Canal in Arizona (Van Overloop et al., 2010), spawning a productive line of distributed and hierarchical MPC research (Negenborn et al., 2009; Lemos et al., 2009; Scattolini, 2009; Fele et al., 2014); and (c) frequency-domain frameworks linking hydraulic modeling with control design (Litrico and Fromion, 2004, 2009). The University of Melbourne's sustained program on large-scale irrigation network control stands out as a rare example of systems-engineering-oriented research (Cantoni et al., 2007; Mareels et al., 2005). Conde et al. (2021) provide a comprehensive review of these developments.</w:t>
      </w:r>
    </w:p>
    <w:p>
      <w:pPr>
        <w:spacing w:line="480" w:lineRule="auto"/>
        <w:ind w:firstLine="720"/>
        <w:jc w:val="both"/>
      </w:pPr>
      <w:r>
        <w:rPr>
          <w:rFonts w:ascii="Times New Roman" w:hAnsi="Times New Roman"/>
          <w:sz w:val="24"/>
        </w:rPr>
        <w:t>However, this body of work has remained almost entirely within the domains of academic research and small-scale experimentation. The reasons are multifaceted: water systems operate at spatiotemporal scales far exceeding those of industrial control objects (Clemmens et al., 1998), model uncertainties are high (Weyer, 2001), real-time requirements conflict with communication constraints (Li and De Schutter, 2012), and the computational burden of online MPC for large-scale networks with hundreds of control variables remains a significant barrier (Qin and Badgwell, 2003; Zheng et al., 2023). The water sector has also historically developed a knowledge system centered on design rather than operation, creating a disciplinary divide between water engineers and control engineers (Garcia et al., 2020).</w:t>
      </w:r>
    </w:p>
    <w:p>
      <w:pPr>
        <w:spacing w:line="480" w:lineRule="auto"/>
        <w:ind w:firstLine="720"/>
        <w:jc w:val="both"/>
      </w:pPr>
      <w:r>
        <w:rPr>
          <w:rFonts w:ascii="Times New Roman" w:hAnsi="Times New Roman"/>
          <w:sz w:val="24"/>
        </w:rPr>
        <w:t>In China, systematic introduction of control concepts began in the early 2000s, driven by the South-to-North Water Diversion Project. The present authors' Jiaodong and Dadu River projects (Zhang et al., 2019; Ye et al., 2023) implemented SCADA-integrated HDC with partial-scenario MIL verification, representing early attempts to move beyond Generation 2. It was precisely the limitations encountered in these projects—the absence of a systematic verification framework, the inability to handle scenarios beyond the design envelope, and the difficulty of scaling partial automation to full operational coverage—that motivated the development of the five-generation framework proposed in this paper. The progression from practical experience to theoretical framework followed an inductive path: engineering deployment of HDC in selected scenarios, reflection on the gap between partial automation and trusted autonomous operation, and subsequent formulation of the xIL and MAS concepts as the missing layers (Lei et al., 2025a, 2025b, 2025c). Overall, the Chinese water industry's systematic adoption of control theory lags the international community by approximately two to three decades.</w:t>
      </w:r>
    </w:p>
    <w:p>
      <w:pPr>
        <w:spacing w:line="480" w:lineRule="auto"/>
        <w:ind w:firstLine="720"/>
        <w:jc w:val="both"/>
      </w:pPr>
      <w:r>
        <w:rPr>
          <w:rFonts w:ascii="Times New Roman" w:hAnsi="Times New Roman"/>
          <w:sz w:val="24"/>
        </w:rPr>
        <w:t>At a deeper level, control theory application in water systems has long been confined to transplanting established methods—importing classical PID or modern MPC from industrial control into water scenarios (Qin and Badgwell, 2003)—rather than developing control theory frameworks native to water network characteristics. The need for a dedicated disciplinary framework—a cybernetics of hydro systems—has been articulated as a prerequisite for genuine paradigm transformation (Lei et al., 2025a). Water networks are large-scale distributed-parameter systems characterized by strong nonlinearity, strong coupling, multiple time scales, and high uncertainty (Litrico and Fromion, 2009). This explains why HDC, despite half a century of study, has never achieved large-scale deployment in water engineering.</w:t>
      </w:r>
    </w:p>
    <w:p>
      <w:pPr>
        <w:spacing w:before="120" w:line="480" w:lineRule="auto"/>
      </w:pPr>
      <w:r>
        <w:rPr>
          <w:rFonts w:ascii="Times New Roman" w:hAnsi="Times New Roman"/>
          <w:b/>
          <w:i/>
          <w:sz w:val="24"/>
        </w:rPr>
        <w:t>3.3. HDC's ceiling and MAS's three incremental capabilities</w:t>
      </w:r>
    </w:p>
    <w:p>
      <w:pPr>
        <w:spacing w:line="480" w:lineRule="auto"/>
        <w:ind w:firstLine="720"/>
        <w:jc w:val="both"/>
      </w:pPr>
      <w:r>
        <w:rPr>
          <w:rFonts w:ascii="Times New Roman" w:hAnsi="Times New Roman"/>
          <w:sz w:val="24"/>
        </w:rPr>
        <w:t>Regardless of algorithmic sophistication, HDC control algorithms are fundamentally stimulus-response systems: given a setpoint and a process variable, compute the error, output a control action. They answer: given a target, how do I optimally reach it? But they cannot answer three more fundamental questions. First, what scenario am I currently in? HDC does not perceive scenarios. Second, what objective should I pursue? HDC executes preset objectives and cannot dynamically adapt its goal hierarchy. Third, where are the boundaries of my competence? HDC does not know what it does not know—when conditions exceed the design envelope, it continues executing existing control laws, potentially with dangerous consequences (Leveson, 2011; Rasmussen, 1997).</w:t>
      </w:r>
    </w:p>
    <w:p>
      <w:pPr>
        <w:spacing w:line="480" w:lineRule="auto"/>
        <w:ind w:firstLine="720"/>
        <w:jc w:val="both"/>
      </w:pPr>
      <w:r>
        <w:rPr>
          <w:rFonts w:ascii="Times New Roman" w:hAnsi="Times New Roman"/>
          <w:sz w:val="24"/>
        </w:rPr>
        <w:t xml:space="preserve">MAS adds three capabilities that directly address these deficits (Wooldridge, 2009; Jennings et al., 1998). </w:t>
      </w:r>
      <w:r>
        <w:rPr>
          <w:rFonts w:ascii="Times New Roman" w:hAnsi="Times New Roman"/>
          <w:b/>
          <w:sz w:val="24"/>
        </w:rPr>
        <w:t>Increment 1: Situation Awareness.</w:t>
      </w:r>
      <w:r>
        <w:rPr>
          <w:rFonts w:ascii="Times New Roman" w:hAnsi="Times New Roman"/>
          <w:sz w:val="24"/>
        </w:rPr>
        <w:t xml:space="preserve"> Agents perceive the current system state and determine what scenario they are in—not simple threshold alarms, but holistic understanding of system-level conditions (Endsley, 1995; Stanton et al., 2001). </w:t>
      </w:r>
      <w:r>
        <w:rPr>
          <w:rFonts w:ascii="Times New Roman" w:hAnsi="Times New Roman"/>
          <w:b/>
          <w:sz w:val="24"/>
        </w:rPr>
        <w:t>Increment 2: Autonomous Decision-Making.</w:t>
      </w:r>
      <w:r>
        <w:rPr>
          <w:rFonts w:ascii="Times New Roman" w:hAnsi="Times New Roman"/>
          <w:sz w:val="24"/>
        </w:rPr>
        <w:t xml:space="preserve"> Upon recognizing the scenario, agents autonomously select or generate appropriate control strategies, delegating the cognition-decision function that HDC leaves to humans down to each hierarchical level (Russell and Norvig, 2021). </w:t>
      </w:r>
      <w:r>
        <w:rPr>
          <w:rFonts w:ascii="Times New Roman" w:hAnsi="Times New Roman"/>
          <w:b/>
          <w:sz w:val="24"/>
        </w:rPr>
        <w:t>Increment 3: Operational Design Domain (ODD).</w:t>
      </w:r>
      <w:r>
        <w:rPr>
          <w:rFonts w:ascii="Times New Roman" w:hAnsi="Times New Roman"/>
          <w:sz w:val="24"/>
        </w:rPr>
        <w:t xml:space="preserve"> Borrowed from the autonomous driving domain (SAE International, 2021; Czarnecki, 2018), ODD precisely defines the conditions under which the autonomous system can operate safely. It makes MAS's autonomy measurable—not vaguely claiming the system is intelligent but precisely specifying under what conditions it can autonomously complete what tasks.</w:t>
      </w:r>
    </w:p>
    <w:p>
      <w:pPr>
        <w:spacing w:line="480" w:lineRule="auto"/>
        <w:ind w:firstLine="720"/>
        <w:jc w:val="both"/>
      </w:pPr>
      <w:r>
        <w:rPr>
          <w:rFonts w:ascii="Times New Roman" w:hAnsi="Times New Roman"/>
          <w:sz w:val="24"/>
        </w:rPr>
        <w:t>[Figure 2. The three-transition dependency chain from Generation 2 to Generation 5. Transition 1: Control (Gen 2→Gen 3). Transition 2: Trust (Gen 3→Gen 4). Transition 3: Cognition (Gen 4→Gen 5). The strict sequential logic: Control → Trust → Cognition, not Control → Cognition → Trust.]</w:t>
      </w:r>
    </w:p>
    <w:p>
      <w:pPr>
        <w:spacing w:line="480" w:lineRule="auto"/>
        <w:ind w:firstLine="720"/>
        <w:jc w:val="both"/>
      </w:pPr>
      <w:r>
        <w:rPr>
          <w:rFonts w:ascii="Times New Roman" w:hAnsi="Times New Roman"/>
          <w:sz w:val="24"/>
        </w:rPr>
        <w:t>The value of the xIL framework is realized precisely here. Every new cognitive capability of MAS—accuracy of situation awareness, reasonableness of autonomous decisions, reliability of ODD boundary judgments—requires systematic testing and verification in SIL and HIL environments (Bacic, 2005; Isermann et al., 1999; Lei et al., 2025c). Without the xIL infrastructure established in Generation 4, these cognitive capabilities could never be validated as trustworthy, and could never be deployed in operational engineering.</w:t>
      </w:r>
    </w:p>
    <w:p>
      <w:pPr>
        <w:spacing w:before="240" w:line="480" w:lineRule="auto"/>
      </w:pPr>
      <w:r>
        <w:rPr>
          <w:rFonts w:ascii="Times New Roman" w:hAnsi="Times New Roman"/>
          <w:b/>
          <w:sz w:val="24"/>
        </w:rPr>
        <w:t>4. Why three generations must be spanned</w:t>
      </w:r>
    </w:p>
    <w:p>
      <w:pPr>
        <w:spacing w:line="480" w:lineRule="auto"/>
        <w:ind w:firstLine="720"/>
        <w:jc w:val="both"/>
      </w:pPr>
      <w:r>
        <w:rPr>
          <w:rFonts w:ascii="Times New Roman" w:hAnsi="Times New Roman"/>
          <w:sz w:val="24"/>
        </w:rPr>
        <w:t>From Generation 2 (SCADA+SIM) to Generation 5 (SCADA+SIM+MAS(ODD)+xIL), three complete technological generations must be traversed. These three transitions differ in nature but are tightly interlinked, with a strict sequential logic.</w:t>
      </w:r>
    </w:p>
    <w:p>
      <w:pPr>
        <w:spacing w:before="120" w:line="480" w:lineRule="auto"/>
      </w:pPr>
      <w:r>
        <w:rPr>
          <w:rFonts w:ascii="Times New Roman" w:hAnsi="Times New Roman"/>
          <w:b/>
          <w:i/>
          <w:sz w:val="24"/>
        </w:rPr>
        <w:t>4.1. Transition 1: the control transition (Gen 2 → Gen 3)</w:t>
      </w:r>
    </w:p>
    <w:p>
      <w:pPr>
        <w:spacing w:line="480" w:lineRule="auto"/>
        <w:ind w:firstLine="720"/>
        <w:jc w:val="both"/>
      </w:pPr>
      <w:r>
        <w:rPr>
          <w:rFonts w:ascii="Times New Roman" w:hAnsi="Times New Roman"/>
          <w:sz w:val="24"/>
        </w:rPr>
        <w:t>The shift from SCADA+SIM to SCADA+SIM+HDC represents the transition from human makes all decisions to automatic execution within preset conditions. This transition is technically mature—industrial control has accumulated half a century of theory and practice (Åström and Murray, 2010)—but its implementation in the water sector has proven far more difficult than anticipated, remaining an exploration confined to a small number of pioneering projects (Mareels et al., 2005; Van Overloop et al., 2010).</w:t>
      </w:r>
    </w:p>
    <w:p>
      <w:pPr>
        <w:spacing w:before="120" w:line="480" w:lineRule="auto"/>
      </w:pPr>
      <w:r>
        <w:rPr>
          <w:rFonts w:ascii="Times New Roman" w:hAnsi="Times New Roman"/>
          <w:b/>
          <w:i/>
          <w:sz w:val="24"/>
        </w:rPr>
        <w:t>4.2. Transition 2: the trust transition (Gen 3 → Gen 4)</w:t>
      </w:r>
    </w:p>
    <w:p>
      <w:pPr>
        <w:spacing w:line="480" w:lineRule="auto"/>
        <w:ind w:firstLine="720"/>
        <w:jc w:val="both"/>
      </w:pPr>
      <w:r>
        <w:rPr>
          <w:rFonts w:ascii="Times New Roman" w:hAnsi="Times New Roman"/>
          <w:sz w:val="24"/>
        </w:rPr>
        <w:t>Once control capability exists, the next step is not to rush toward intelligence upgrades but to establish the verification infrastructure. This is the shared experience of all safety-critical industries (Leveson, 2011; Knight, 2002). Aviation's DO-178C was not written after the aircraft was built (RTCA, 2012); automotive's ISO 26262 was not developed after vehicles were already on the road (ISO, 2018). The verification framework bridges the gap from experimentally feasible to engineeringly deployable. Without xIL, HDC remains permanently at the pilot project stage, unable to scale—because there exists no standardized means to demonstrate its safety across diverse operating conditions (Bringmann and Krämer, 2008).</w:t>
      </w:r>
    </w:p>
    <w:p>
      <w:pPr>
        <w:spacing w:before="120" w:line="480" w:lineRule="auto"/>
      </w:pPr>
      <w:r>
        <w:rPr>
          <w:rFonts w:ascii="Times New Roman" w:hAnsi="Times New Roman"/>
          <w:b/>
          <w:i/>
          <w:sz w:val="24"/>
        </w:rPr>
        <w:t>4.3. Transition 3: the cognitive transition (Gen 4 → Gen 5)</w:t>
      </w:r>
    </w:p>
    <w:p>
      <w:pPr>
        <w:spacing w:line="480" w:lineRule="auto"/>
        <w:ind w:firstLine="720"/>
        <w:jc w:val="both"/>
      </w:pPr>
      <w:r>
        <w:rPr>
          <w:rFonts w:ascii="Times New Roman" w:hAnsi="Times New Roman"/>
          <w:sz w:val="24"/>
        </w:rPr>
        <w:t>This is the most critical step in the entire five-generation evolution. Under the protection of the xIL verification infrastructure, HDC is upgraded to MAS—augmented with situation awareness, autonomous decision-making, and ODD boundary definition. This parallels the automotive progression from L2 (driver assistance, with V&amp;V assurance) to L4 (autonomous driving, fully autonomous within ODD): the progressive introduction of higher-level autonomous capabilities upon an established safety verification foundation (Koopman and Wagner, 2017; Yurtsever et al., 2020). Every new cognitive capability must pass xIL testing before going operational. We acknowledge that no water system project has yet achieved a complete Generation 4 deployment, making the Generation 5 vision necessarily forward-looking. However, the logic of sequential dependency remains valid: partial Generation 3 implementations with limited MIL testing—such as those described in Section 3.1—already reveal the precise gaps (scenario coverage, boundary management, cognitive adaptation) that Generations 4 and 5 are designed to fill. The framework thus serves as a roadmap informed by the limitations of current practice, not merely a theoretical extrapolation.</w:t>
      </w:r>
    </w:p>
    <w:p>
      <w:pPr>
        <w:spacing w:before="120" w:line="480" w:lineRule="auto"/>
      </w:pPr>
      <w:r>
        <w:rPr>
          <w:rFonts w:ascii="Times New Roman" w:hAnsi="Times New Roman"/>
          <w:b/>
          <w:i/>
          <w:sz w:val="24"/>
        </w:rPr>
        <w:t>4.4. The logic of sequence</w:t>
      </w:r>
    </w:p>
    <w:p>
      <w:pPr>
        <w:spacing w:line="480" w:lineRule="auto"/>
        <w:ind w:firstLine="720"/>
        <w:jc w:val="both"/>
      </w:pPr>
      <w:r>
        <w:rPr>
          <w:rFonts w:ascii="Times New Roman" w:hAnsi="Times New Roman"/>
          <w:sz w:val="24"/>
        </w:rPr>
        <w:t>The three transitions follow a strict dependency chain. Without HDC's control execution capability, MAS's cognition has no means of physical realization—cognitive outputs must be translated into control actions through algorithms. Without xIL's verification and certification, neither HDC nor MAS can be deployed in safety-critical environments (Leveson, 2011). The sequence must be: Control → Trust → Cognition. The alternative—deploying an unverified autonomous decision-making system on a live water network—would be unacceptable in any safety-critical domain. The latecomer advantage (Lee and Lim, 2001) means the water industry can design directly for the Generation 5 target architecture, compressing three transitions into a single systematic leap—compressing time, but not sequence.</w:t>
      </w:r>
    </w:p>
    <w:p>
      <w:pPr>
        <w:spacing w:before="240" w:line="480" w:lineRule="auto"/>
      </w:pPr>
      <w:r>
        <w:rPr>
          <w:rFonts w:ascii="Times New Roman" w:hAnsi="Times New Roman"/>
          <w:b/>
          <w:sz w:val="24"/>
        </w:rPr>
        <w:t>5. Accumulation, not replacement</w:t>
      </w:r>
    </w:p>
    <w:p>
      <w:pPr>
        <w:spacing w:line="480" w:lineRule="auto"/>
        <w:ind w:firstLine="720"/>
        <w:jc w:val="both"/>
      </w:pPr>
      <w:r>
        <w:rPr>
          <w:rFonts w:ascii="Times New Roman" w:hAnsi="Times New Roman"/>
          <w:sz w:val="24"/>
        </w:rPr>
        <w:t>Spanning three generations does not mean negating the value of preceding ones. The five generations are related by accumulation, not substitution—echoing the layered architecture philosophy in cyber-physical systems (Lee, 2008; Rajkumar et al., 2010). SIM is the foundation on which xIL exists: SIL testing requires a high-fidelity digital simulation environment, which is precisely what the SIM layer provides (Rasheed et al., 2020). HDC is the control foundation of MAS: since MAS = HDC + ODD + Cognitive Intelligence, HDC's distributed control algorithms serve as the execution layer through which MAS implements decisions. SCADA is the physical interface for everything. xIL is the safety foundation of MAS: without verification capability, autonomous decisions remain a laboratory concept.</w:t>
      </w:r>
    </w:p>
    <w:p>
      <w:pPr>
        <w:spacing w:line="480" w:lineRule="auto"/>
        <w:ind w:firstLine="720"/>
        <w:jc w:val="both"/>
      </w:pPr>
      <w:r>
        <w:rPr>
          <w:rFonts w:ascii="Times New Roman" w:hAnsi="Times New Roman"/>
          <w:sz w:val="24"/>
        </w:rPr>
        <w:t>The industry's past two decades of investment in SCADA and SIM are not wasted—they are becoming the foundation of the Generation 5 framework. However, a critical caveat applies: if SIM was built without the objective of supporting in-the-loop testing, the result may be merely an impressive visualization rather than a simulation engine capable of supporting xIL (Bartos and Kerkez, 2021). The key is not whether to build SIM but to what standard—it must possess physical fidelity, real-time execution capability, and standardized interfaces for in-the-loop testing.</w:t>
      </w:r>
    </w:p>
    <w:p>
      <w:pPr>
        <w:spacing w:before="240" w:line="480" w:lineRule="auto"/>
      </w:pPr>
      <w:r>
        <w:rPr>
          <w:rFonts w:ascii="Times New Roman" w:hAnsi="Times New Roman"/>
          <w:b/>
          <w:sz w:val="24"/>
        </w:rPr>
        <w:t>6. International development landscape</w:t>
      </w:r>
    </w:p>
    <w:p>
      <w:pPr>
        <w:spacing w:before="120" w:line="480" w:lineRule="auto"/>
      </w:pPr>
      <w:r>
        <w:rPr>
          <w:rFonts w:ascii="Times New Roman" w:hAnsi="Times New Roman"/>
          <w:b/>
          <w:i/>
          <w:sz w:val="24"/>
        </w:rPr>
        <w:t>6.1. SCADA layer: largely converged</w:t>
      </w:r>
    </w:p>
    <w:p>
      <w:pPr>
        <w:spacing w:line="480" w:lineRule="auto"/>
        <w:ind w:firstLine="720"/>
        <w:jc w:val="both"/>
      </w:pPr>
      <w:r>
        <w:rPr>
          <w:rFonts w:ascii="Times New Roman" w:hAnsi="Times New Roman"/>
          <w:sz w:val="24"/>
        </w:rPr>
        <w:t>SCADA technology originated in the US power and oil industries in the 1960s and entered European water utilities in the 1980s (Boyer, 2004). China's water sector began large-scale deployment in the late 1990s. At the hardware level—sensors, communication links, RTUs/PLCs—the gap has largely closed. Data quality (completeness, consistency, temporal synchronization) remains an area for improvement. Cybersecurity concerns for water SCADA systems have been raised by multiple studies (Amin et al., 2013; Taormina et al., 2018; Panguluri et al., 2012).</w:t>
      </w:r>
    </w:p>
    <w:p>
      <w:pPr>
        <w:spacing w:before="120" w:line="480" w:lineRule="auto"/>
      </w:pPr>
      <w:r>
        <w:rPr>
          <w:rFonts w:ascii="Times New Roman" w:hAnsi="Times New Roman"/>
          <w:b/>
          <w:i/>
          <w:sz w:val="24"/>
        </w:rPr>
        <w:t>6.2. SIM layer: similar form, different spirit</w:t>
      </w:r>
    </w:p>
    <w:p>
      <w:pPr>
        <w:spacing w:line="480" w:lineRule="auto"/>
        <w:ind w:firstLine="720"/>
        <w:jc w:val="both"/>
      </w:pPr>
      <w:r>
        <w:rPr>
          <w:rFonts w:ascii="Times New Roman" w:hAnsi="Times New Roman"/>
          <w:sz w:val="24"/>
        </w:rPr>
        <w:t>Europe leads in hydraulic simulation: Deltares (Netherlands), DHI (Denmark), and HR Wallingford (UK) have developed industrial-grade platforms with high physical fidelity and real-time capability (Teng et al., 2017). China has invested heavily in digital twin technologies, achieving world-class 3D visualization and BIM+GIS integration. However, many Chinese digital twin projects prioritize visual display over simulation accuracy, with model fidelity and real-time performance lagging behind European platforms. The open-source EPANET platform (Rossman, 2000) has been instrumental for pipe networks, while SIC (Baume et al., 2005) has served as a reference for open-channel simulation. SIM that cannot support in-the-loop testing cannot serve as the foundation of the Generation 5 framework.</w:t>
      </w:r>
    </w:p>
    <w:p>
      <w:pPr>
        <w:spacing w:before="120" w:line="480" w:lineRule="auto"/>
      </w:pPr>
      <w:r>
        <w:rPr>
          <w:rFonts w:ascii="Times New Roman" w:hAnsi="Times New Roman"/>
          <w:b/>
          <w:i/>
          <w:sz w:val="24"/>
        </w:rPr>
        <w:t>6.3. HDC layer: not widely deployed anywhere</w:t>
      </w:r>
    </w:p>
    <w:p>
      <w:pPr>
        <w:spacing w:line="480" w:lineRule="auto"/>
        <w:ind w:firstLine="720"/>
        <w:jc w:val="both"/>
      </w:pPr>
      <w:r>
        <w:rPr>
          <w:rFonts w:ascii="Times New Roman" w:hAnsi="Times New Roman"/>
          <w:sz w:val="24"/>
        </w:rPr>
        <w:t>As analyzed in Section 3, half a century of control theory exploration in the water domain has not achieved the transition from academic research to engineering mainstream in any country (Garcia et al., 2020). International advantages lie primarily in theoretical accumulation and small-scale experiments (Litrico and Fromion, 2009; Cantoni et al., 2007). In China, the present authors' Jiaodong and Dadu River projects (Zhang et al., 2019; Yan et al., 2022; Ye et al., 2023; Lei et al., 2025b) achieved SCADA-integrated HDC deployment with partial-scenario MIL verification on operational water transfer and hydropower systems. These represent, to our knowledge, among the few engineering-scale HDC implementations worldwide, though they remain far from the systematic xIL certification envisioned in Generation 4. No country has yet achieved a complete Generation 3 deployment across the full operational envelope of a large-scale water network.</w:t>
      </w:r>
    </w:p>
    <w:p>
      <w:pPr>
        <w:spacing w:before="120" w:line="480" w:lineRule="auto"/>
      </w:pPr>
      <w:r>
        <w:rPr>
          <w:rFonts w:ascii="Times New Roman" w:hAnsi="Times New Roman"/>
          <w:b/>
          <w:i/>
          <w:sz w:val="24"/>
        </w:rPr>
        <w:t>6.4. xIL and MAS layers: a global void</w:t>
      </w:r>
    </w:p>
    <w:p>
      <w:pPr>
        <w:spacing w:line="480" w:lineRule="auto"/>
        <w:ind w:firstLine="720"/>
        <w:jc w:val="both"/>
      </w:pPr>
      <w:r>
        <w:rPr>
          <w:rFonts w:ascii="Times New Roman" w:hAnsi="Times New Roman"/>
          <w:sz w:val="24"/>
        </w:rPr>
        <w:t>In other industries—automotive (dSPACE HIL systems), aviation (DO-178C; RTCA, 2012), power systems (IEC 61850; Mackiewicz, 2006)—xIL frameworks are well-established. In the water sector, no country has built a systematic in-the-loop testing and certification framework, although initial conceptual designs have been proposed (Lei et al., 2025c). MAS is equally blank: while multi-agent systems have seen deep engineering application in power grids (McArthur et al., 2007a, 2007b), autonomous vehicles (Duan et al., 2022), smart manufacturing (Leitão, 2009), and building energy management (Wang and Hong, 2020), their application in water infrastructure is virtually nonexistent. A few studies have explored agent-based models for water resources management (Giuliani et al., 2016; Berglund, 2015), but these focus on planning models rather than operational control.</w:t>
      </w:r>
    </w:p>
    <w:p>
      <w:pPr>
        <w:spacing w:before="240" w:line="480" w:lineRule="auto"/>
      </w:pPr>
      <w:r>
        <w:rPr>
          <w:rFonts w:ascii="Times New Roman" w:hAnsi="Times New Roman"/>
          <w:b/>
          <w:sz w:val="24"/>
        </w:rPr>
        <w:t>Table 3. International comparison across five technology layers.</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2340"/>
        <w:gridCol w:w="2340"/>
        <w:gridCol w:w="2340"/>
        <w:gridCol w:w="2340"/>
      </w:tblGrid>
      <w:tr>
        <w:trPr>
          <w:cantSplit/>
        </w:trPr>
        <w:tc>
          <w:tcPr>
            <w:tcW w:type="dxa" w:w="2340"/>
            <w:tcBorders>
              <w:bottom w:val="single" w:sz="6" w:space="0" w:color="000000"/>
            </w:tcBorders>
          </w:tcPr>
          <w:p>
            <w:pPr>
              <w:spacing w:line="240" w:lineRule="auto" w:before="40" w:after="40"/>
              <w:jc w:val="left"/>
            </w:pPr>
            <w:r/>
            <w:r>
              <w:rPr>
                <w:rFonts w:ascii="Times New Roman" w:hAnsi="Times New Roman"/>
                <w:b/>
                <w:sz w:val="20"/>
              </w:rPr>
              <w:t>Layer</w:t>
            </w:r>
          </w:p>
        </w:tc>
        <w:tc>
          <w:tcPr>
            <w:tcW w:type="dxa" w:w="2340"/>
            <w:tcBorders>
              <w:bottom w:val="single" w:sz="6" w:space="0" w:color="000000"/>
            </w:tcBorders>
          </w:tcPr>
          <w:p>
            <w:pPr>
              <w:spacing w:line="240" w:lineRule="auto" w:before="40" w:after="40"/>
              <w:jc w:val="left"/>
            </w:pPr>
            <w:r/>
            <w:r>
              <w:rPr>
                <w:rFonts w:ascii="Times New Roman" w:hAnsi="Times New Roman"/>
                <w:b/>
                <w:sz w:val="20"/>
              </w:rPr>
              <w:t>International</w:t>
            </w:r>
          </w:p>
        </w:tc>
        <w:tc>
          <w:tcPr>
            <w:tcW w:type="dxa" w:w="2340"/>
            <w:tcBorders>
              <w:bottom w:val="single" w:sz="6" w:space="0" w:color="000000"/>
            </w:tcBorders>
          </w:tcPr>
          <w:p>
            <w:pPr>
              <w:spacing w:line="240" w:lineRule="auto" w:before="40" w:after="40"/>
              <w:jc w:val="left"/>
            </w:pPr>
            <w:r/>
            <w:r>
              <w:rPr>
                <w:rFonts w:ascii="Times New Roman" w:hAnsi="Times New Roman"/>
                <w:b/>
                <w:sz w:val="20"/>
              </w:rPr>
              <w:t>China</w:t>
            </w:r>
          </w:p>
        </w:tc>
        <w:tc>
          <w:tcPr>
            <w:tcW w:type="dxa" w:w="2340"/>
            <w:tcBorders>
              <w:bottom w:val="single" w:sz="6" w:space="0" w:color="000000"/>
            </w:tcBorders>
          </w:tcPr>
          <w:p>
            <w:pPr>
              <w:spacing w:line="240" w:lineRule="auto" w:before="40" w:after="40"/>
              <w:jc w:val="left"/>
            </w:pPr>
            <w:r/>
            <w:r>
              <w:rPr>
                <w:rFonts w:ascii="Times New Roman" w:hAnsi="Times New Roman"/>
                <w:b/>
                <w:sz w:val="20"/>
              </w:rPr>
              <w:t>Gap &amp; Opportunity</w:t>
            </w:r>
          </w:p>
        </w:tc>
      </w:tr>
      <w:tr>
        <w:trPr>
          <w:cantSplit/>
        </w:trPr>
        <w:tc>
          <w:tcPr>
            <w:tcW w:type="dxa" w:w="2340"/>
          </w:tcPr>
          <w:p>
            <w:pPr>
              <w:spacing w:line="240" w:lineRule="auto" w:before="40" w:after="40"/>
              <w:jc w:val="left"/>
            </w:pPr>
            <w:r/>
            <w:r>
              <w:rPr>
                <w:rFonts w:ascii="Times New Roman" w:hAnsi="Times New Roman"/>
                <w:b w:val="0"/>
                <w:sz w:val="20"/>
              </w:rPr>
              <w:t>SCADA</w:t>
            </w:r>
          </w:p>
        </w:tc>
        <w:tc>
          <w:tcPr>
            <w:tcW w:type="dxa" w:w="2340"/>
          </w:tcPr>
          <w:p>
            <w:pPr>
              <w:spacing w:line="240" w:lineRule="auto" w:before="40" w:after="40"/>
              <w:jc w:val="left"/>
            </w:pPr>
            <w:r/>
            <w:r>
              <w:rPr>
                <w:rFonts w:ascii="Times New Roman" w:hAnsi="Times New Roman"/>
                <w:b w:val="0"/>
                <w:sz w:val="20"/>
              </w:rPr>
              <w:t>Mature, systematic</w:t>
            </w:r>
          </w:p>
        </w:tc>
        <w:tc>
          <w:tcPr>
            <w:tcW w:type="dxa" w:w="2340"/>
          </w:tcPr>
          <w:p>
            <w:pPr>
              <w:spacing w:line="240" w:lineRule="auto" w:before="40" w:after="40"/>
              <w:jc w:val="left"/>
            </w:pPr>
            <w:r/>
            <w:r>
              <w:rPr>
                <w:rFonts w:ascii="Times New Roman" w:hAnsi="Times New Roman"/>
                <w:b w:val="0"/>
                <w:sz w:val="20"/>
              </w:rPr>
              <w:t>Largely caught up</w:t>
            </w:r>
          </w:p>
        </w:tc>
        <w:tc>
          <w:tcPr>
            <w:tcW w:type="dxa" w:w="2340"/>
          </w:tcPr>
          <w:p>
            <w:pPr>
              <w:spacing w:line="240" w:lineRule="auto" w:before="40" w:after="40"/>
              <w:jc w:val="left"/>
            </w:pPr>
            <w:r/>
            <w:r>
              <w:rPr>
                <w:rFonts w:ascii="Times New Roman" w:hAnsi="Times New Roman"/>
                <w:b w:val="0"/>
                <w:sz w:val="20"/>
              </w:rPr>
              <w:t>Small gap, closing</w:t>
            </w:r>
          </w:p>
        </w:tc>
      </w:tr>
      <w:tr>
        <w:trPr>
          <w:cantSplit/>
        </w:trPr>
        <w:tc>
          <w:tcPr>
            <w:tcW w:type="dxa" w:w="2340"/>
          </w:tcPr>
          <w:p>
            <w:pPr>
              <w:spacing w:line="240" w:lineRule="auto" w:before="40" w:after="40"/>
              <w:jc w:val="left"/>
            </w:pPr>
            <w:r/>
            <w:r>
              <w:rPr>
                <w:rFonts w:ascii="Times New Roman" w:hAnsi="Times New Roman"/>
                <w:b w:val="0"/>
                <w:sz w:val="20"/>
              </w:rPr>
              <w:t>SIM</w:t>
            </w:r>
          </w:p>
        </w:tc>
        <w:tc>
          <w:tcPr>
            <w:tcW w:type="dxa" w:w="2340"/>
          </w:tcPr>
          <w:p>
            <w:pPr>
              <w:spacing w:line="240" w:lineRule="auto" w:before="40" w:after="40"/>
              <w:jc w:val="left"/>
            </w:pPr>
            <w:r/>
            <w:r>
              <w:rPr>
                <w:rFonts w:ascii="Times New Roman" w:hAnsi="Times New Roman"/>
                <w:b w:val="0"/>
                <w:sz w:val="20"/>
              </w:rPr>
              <w:t>Industrial-grade engines</w:t>
            </w:r>
          </w:p>
        </w:tc>
        <w:tc>
          <w:tcPr>
            <w:tcW w:type="dxa" w:w="2340"/>
          </w:tcPr>
          <w:p>
            <w:pPr>
              <w:spacing w:line="240" w:lineRule="auto" w:before="40" w:after="40"/>
              <w:jc w:val="left"/>
            </w:pPr>
            <w:r/>
            <w:r>
              <w:rPr>
                <w:rFonts w:ascii="Times New Roman" w:hAnsi="Times New Roman"/>
                <w:b w:val="0"/>
                <w:sz w:val="20"/>
              </w:rPr>
              <w:t>Strong display, weak simulation</w:t>
            </w:r>
          </w:p>
        </w:tc>
        <w:tc>
          <w:tcPr>
            <w:tcW w:type="dxa" w:w="2340"/>
          </w:tcPr>
          <w:p>
            <w:pPr>
              <w:spacing w:line="240" w:lineRule="auto" w:before="40" w:after="40"/>
              <w:jc w:val="left"/>
            </w:pPr>
            <w:r/>
            <w:r>
              <w:rPr>
                <w:rFonts w:ascii="Times New Roman" w:hAnsi="Times New Roman"/>
                <w:b w:val="0"/>
                <w:sz w:val="20"/>
              </w:rPr>
              <w:t>Fidelity gap to address</w:t>
            </w:r>
          </w:p>
        </w:tc>
      </w:tr>
      <w:tr>
        <w:trPr>
          <w:cantSplit/>
        </w:trPr>
        <w:tc>
          <w:tcPr>
            <w:tcW w:type="dxa" w:w="2340"/>
          </w:tcPr>
          <w:p>
            <w:pPr>
              <w:spacing w:line="240" w:lineRule="auto" w:before="40" w:after="40"/>
              <w:jc w:val="left"/>
            </w:pPr>
            <w:r/>
            <w:r>
              <w:rPr>
                <w:rFonts w:ascii="Times New Roman" w:hAnsi="Times New Roman"/>
                <w:b w:val="0"/>
                <w:sz w:val="20"/>
              </w:rPr>
              <w:t>HDC</w:t>
            </w:r>
          </w:p>
        </w:tc>
        <w:tc>
          <w:tcPr>
            <w:tcW w:type="dxa" w:w="2340"/>
          </w:tcPr>
          <w:p>
            <w:pPr>
              <w:spacing w:line="240" w:lineRule="auto" w:before="40" w:after="40"/>
              <w:jc w:val="left"/>
            </w:pPr>
            <w:r/>
            <w:r>
              <w:rPr>
                <w:rFonts w:ascii="Times New Roman" w:hAnsi="Times New Roman"/>
                <w:b w:val="0"/>
                <w:sz w:val="20"/>
              </w:rPr>
              <w:t>Academically active, not deployed</w:t>
            </w:r>
          </w:p>
        </w:tc>
        <w:tc>
          <w:tcPr>
            <w:tcW w:type="dxa" w:w="2340"/>
          </w:tcPr>
          <w:p>
            <w:pPr>
              <w:spacing w:line="240" w:lineRule="auto" w:before="40" w:after="40"/>
              <w:jc w:val="left"/>
            </w:pPr>
            <w:r/>
            <w:r>
              <w:rPr>
                <w:rFonts w:ascii="Times New Roman" w:hAnsi="Times New Roman"/>
                <w:b w:val="0"/>
                <w:sz w:val="20"/>
              </w:rPr>
              <w:t>Very few field trials</w:t>
            </w:r>
          </w:p>
        </w:tc>
        <w:tc>
          <w:tcPr>
            <w:tcW w:type="dxa" w:w="2340"/>
          </w:tcPr>
          <w:p>
            <w:pPr>
              <w:spacing w:line="240" w:lineRule="auto" w:before="40" w:after="40"/>
              <w:jc w:val="left"/>
            </w:pPr>
            <w:r/>
            <w:r>
              <w:rPr>
                <w:rFonts w:ascii="Times New Roman" w:hAnsi="Times New Roman"/>
                <w:b w:val="0"/>
                <w:sz w:val="20"/>
              </w:rPr>
              <w:t>Neither has scaled</w:t>
            </w:r>
          </w:p>
        </w:tc>
      </w:tr>
      <w:tr>
        <w:trPr>
          <w:cantSplit/>
        </w:trPr>
        <w:tc>
          <w:tcPr>
            <w:tcW w:type="dxa" w:w="2340"/>
          </w:tcPr>
          <w:p>
            <w:pPr>
              <w:spacing w:line="240" w:lineRule="auto" w:before="40" w:after="40"/>
              <w:jc w:val="left"/>
            </w:pPr>
            <w:r/>
            <w:r>
              <w:rPr>
                <w:rFonts w:ascii="Times New Roman" w:hAnsi="Times New Roman"/>
                <w:b w:val="0"/>
                <w:sz w:val="20"/>
              </w:rPr>
              <w:t>xIL</w:t>
            </w:r>
          </w:p>
        </w:tc>
        <w:tc>
          <w:tcPr>
            <w:tcW w:type="dxa" w:w="2340"/>
          </w:tcPr>
          <w:p>
            <w:pPr>
              <w:spacing w:line="240" w:lineRule="auto" w:before="40" w:after="40"/>
              <w:jc w:val="left"/>
            </w:pPr>
            <w:r/>
            <w:r>
              <w:rPr>
                <w:rFonts w:ascii="Times New Roman" w:hAnsi="Times New Roman"/>
                <w:b w:val="0"/>
                <w:sz w:val="20"/>
              </w:rPr>
              <w:t>Mature in other sectors, void in water</w:t>
            </w:r>
          </w:p>
        </w:tc>
        <w:tc>
          <w:tcPr>
            <w:tcW w:type="dxa" w:w="2340"/>
          </w:tcPr>
          <w:p>
            <w:pPr>
              <w:spacing w:line="240" w:lineRule="auto" w:before="40" w:after="40"/>
              <w:jc w:val="left"/>
            </w:pPr>
            <w:r/>
            <w:r>
              <w:rPr>
                <w:rFonts w:ascii="Times New Roman" w:hAnsi="Times New Roman"/>
                <w:b w:val="0"/>
                <w:sz w:val="20"/>
              </w:rPr>
              <w:t>Emerging in other sectors, void in water</w:t>
            </w:r>
          </w:p>
        </w:tc>
        <w:tc>
          <w:tcPr>
            <w:tcW w:type="dxa" w:w="2340"/>
          </w:tcPr>
          <w:p>
            <w:pPr>
              <w:spacing w:line="240" w:lineRule="auto" w:before="40" w:after="40"/>
              <w:jc w:val="left"/>
            </w:pPr>
            <w:r/>
            <w:r>
              <w:rPr>
                <w:rFonts w:ascii="Times New Roman" w:hAnsi="Times New Roman"/>
                <w:b w:val="0"/>
                <w:sz w:val="20"/>
              </w:rPr>
              <w:t>Global void; first mover defines standards</w:t>
            </w:r>
          </w:p>
        </w:tc>
      </w:tr>
      <w:tr>
        <w:trPr>
          <w:cantSplit/>
        </w:trPr>
        <w:tc>
          <w:tcPr>
            <w:tcW w:type="dxa" w:w="2340"/>
          </w:tcPr>
          <w:p>
            <w:pPr>
              <w:spacing w:line="240" w:lineRule="auto" w:before="40" w:after="40"/>
              <w:jc w:val="left"/>
            </w:pPr>
            <w:r/>
            <w:r>
              <w:rPr>
                <w:rFonts w:ascii="Times New Roman" w:hAnsi="Times New Roman"/>
                <w:b w:val="0"/>
                <w:sz w:val="20"/>
              </w:rPr>
              <w:t>MAS(ODD)</w:t>
            </w:r>
          </w:p>
        </w:tc>
        <w:tc>
          <w:tcPr>
            <w:tcW w:type="dxa" w:w="2340"/>
          </w:tcPr>
          <w:p>
            <w:pPr>
              <w:spacing w:line="240" w:lineRule="auto" w:before="40" w:after="40"/>
              <w:jc w:val="left"/>
            </w:pPr>
            <w:r/>
            <w:r>
              <w:rPr>
                <w:rFonts w:ascii="Times New Roman" w:hAnsi="Times New Roman"/>
                <w:b w:val="0"/>
                <w:sz w:val="20"/>
              </w:rPr>
              <w:t>No water application</w:t>
            </w:r>
          </w:p>
        </w:tc>
        <w:tc>
          <w:tcPr>
            <w:tcW w:type="dxa" w:w="2340"/>
          </w:tcPr>
          <w:p>
            <w:pPr>
              <w:spacing w:line="240" w:lineRule="auto" w:before="40" w:after="40"/>
              <w:jc w:val="left"/>
            </w:pPr>
            <w:r/>
            <w:r>
              <w:rPr>
                <w:rFonts w:ascii="Times New Roman" w:hAnsi="Times New Roman"/>
                <w:b w:val="0"/>
                <w:sz w:val="20"/>
              </w:rPr>
              <w:t>No water application</w:t>
            </w:r>
          </w:p>
        </w:tc>
        <w:tc>
          <w:tcPr>
            <w:tcW w:type="dxa" w:w="2340"/>
          </w:tcPr>
          <w:p>
            <w:pPr>
              <w:spacing w:line="240" w:lineRule="auto" w:before="40" w:after="40"/>
              <w:jc w:val="left"/>
            </w:pPr>
            <w:r/>
            <w:r>
              <w:rPr>
                <w:rFonts w:ascii="Times New Roman" w:hAnsi="Times New Roman"/>
                <w:b w:val="0"/>
                <w:sz w:val="20"/>
              </w:rPr>
              <w:t>Same starting line</w:t>
            </w:r>
          </w:p>
        </w:tc>
      </w:tr>
    </w:tbl>
    <w:p>
      <w:pPr>
        <w:spacing w:line="480" w:lineRule="auto"/>
        <w:ind w:firstLine="720"/>
        <w:jc w:val="both"/>
      </w:pPr>
      <w:r>
        <w:rPr>
          <w:rFonts w:ascii="Times New Roman" w:hAnsi="Times New Roman"/>
          <w:sz w:val="24"/>
        </w:rPr>
        <w:t>On the two layers defining Generations 4 and 5—xIL and MAS—the global water industry stands at the same starting line. Whoever achieves engineering-scale deployment first will define the standards. China, with the world's largest water transfer network and most complex water network topologies, possesses a natural extreme test ground.</w:t>
      </w:r>
    </w:p>
    <w:p>
      <w:pPr>
        <w:spacing w:before="240" w:line="480" w:lineRule="auto"/>
      </w:pPr>
      <w:r>
        <w:rPr>
          <w:rFonts w:ascii="Times New Roman" w:hAnsi="Times New Roman"/>
          <w:b/>
          <w:sz w:val="24"/>
        </w:rPr>
        <w:t>7. General-purpose AI and Physical AI: convergent paths</w:t>
      </w:r>
    </w:p>
    <w:p>
      <w:pPr>
        <w:spacing w:before="120" w:line="480" w:lineRule="auto"/>
      </w:pPr>
      <w:r>
        <w:rPr>
          <w:rFonts w:ascii="Times New Roman" w:hAnsi="Times New Roman"/>
          <w:b/>
          <w:i/>
          <w:sz w:val="24"/>
        </w:rPr>
        <w:t>7.1. The evolving AI landscape and the water industry</w:t>
      </w:r>
    </w:p>
    <w:p>
      <w:pPr>
        <w:spacing w:line="480" w:lineRule="auto"/>
        <w:ind w:firstLine="720"/>
        <w:jc w:val="both"/>
      </w:pPr>
      <w:r>
        <w:rPr>
          <w:rFonts w:ascii="Times New Roman" w:hAnsi="Times New Roman"/>
          <w:sz w:val="24"/>
        </w:rPr>
        <w:t>Recent advances in large language models and multimodal AI systems have demonstrated remarkable generalization capabilities across diverse domains (Brown et al., 2020; Bubeck et al., 2023). While the timeline and extent of artificial general intelligence remain uncertain, the trend toward AI systems with broader, cross-domain applicability is clear. For the water industry, this raises important questions: dispatch decisions are fundamentally pattern recognition and multi-constraint optimization tasks—areas where AI has shown particular strength (Silver et al., 2021). If general-purpose AI systems become capable of addressing such tasks, sector-specific barriers may diminish in relevance.</w:t>
      </w:r>
    </w:p>
    <w:p>
      <w:pPr>
        <w:spacing w:before="120" w:line="480" w:lineRule="auto"/>
      </w:pPr>
      <w:r>
        <w:rPr>
          <w:rFonts w:ascii="Times New Roman" w:hAnsi="Times New Roman"/>
          <w:b/>
          <w:i/>
          <w:sz w:val="24"/>
        </w:rPr>
        <w:t>7.2. The five-generation framework as Physical AI</w:t>
      </w:r>
    </w:p>
    <w:p>
      <w:pPr>
        <w:spacing w:line="480" w:lineRule="auto"/>
        <w:ind w:firstLine="720"/>
        <w:jc w:val="both"/>
      </w:pPr>
      <w:r>
        <w:rPr>
          <w:rFonts w:ascii="Times New Roman" w:hAnsi="Times New Roman"/>
          <w:sz w:val="24"/>
        </w:rPr>
        <w:t>Shifting perspective from external AI developments to the framework's deeper nature reveals a key insight: the five-generation framework and the form that general-purpose AI would ultimately need to take in the water industry are, at their core, structurally similar. Their point of convergence is Physical AI—AI capable of understanding physical world laws, making decisions in physical environments, and executing physical actions (Yang et al., 2024; Gupta et al., 2021). SCADA is Physical AI's interface with the physical water network. SIM is its physics engine—digitalizing Saint-Venant equations and pipe network hydraulics (Chaudhry, 2008). HDC is its motor control system. MAS(ODD) is its cognitive engine. xIL is its safety verification system. Together, they constitute domain-specific Physical AI for water network operation.</w:t>
      </w:r>
    </w:p>
    <w:p>
      <w:pPr>
        <w:spacing w:before="120" w:line="480" w:lineRule="auto"/>
      </w:pPr>
      <w:r>
        <w:rPr>
          <w:rFonts w:ascii="Times New Roman" w:hAnsi="Times New Roman"/>
          <w:b/>
          <w:i/>
          <w:sz w:val="24"/>
        </w:rPr>
        <w:t>7.3. Two paths toward one destination</w:t>
      </w:r>
    </w:p>
    <w:p>
      <w:pPr>
        <w:spacing w:line="480" w:lineRule="auto"/>
        <w:ind w:firstLine="720"/>
        <w:jc w:val="both"/>
      </w:pPr>
      <w:r>
        <w:rPr>
          <w:rFonts w:ascii="Times New Roman" w:hAnsi="Times New Roman"/>
          <w:sz w:val="24"/>
        </w:rPr>
        <w:t>General-purpose AI approaches top-down: from broad intelligence, gradually acquiring understanding of water system physics. But it still requires accurate physical models (SIM), hierarchical decision architectures (MAS), systematic verification (xIL), and reliable sensing and actuation (SCADA). Large language models have shown capability in code generation and planning (Brown et al., 2020), but translating these into reliable physical control remains an open challenge (Driess et al., 2023). Our approach is bottom-up: from water engineering practice, progressively constructing a technology stack for autonomous operation. The two paths converge at Physical AI. The practical strategy is a convergent approach—building domain Physical AI from the bottom up while maintaining architectural openness for top-down general intelligence capabilities (Karniadakis et al., 2021).</w:t>
      </w:r>
    </w:p>
    <w:p>
      <w:pPr>
        <w:spacing w:before="120" w:line="480" w:lineRule="auto"/>
      </w:pPr>
      <w:r>
        <w:rPr>
          <w:rFonts w:ascii="Times New Roman" w:hAnsi="Times New Roman"/>
          <w:b/>
          <w:i/>
          <w:sz w:val="24"/>
        </w:rPr>
        <w:t>7.4. Strategic implications</w:t>
      </w:r>
    </w:p>
    <w:p>
      <w:pPr>
        <w:spacing w:line="480" w:lineRule="auto"/>
        <w:ind w:firstLine="720"/>
        <w:jc w:val="both"/>
      </w:pPr>
      <w:r>
        <w:rPr>
          <w:rFonts w:ascii="Times New Roman" w:hAnsi="Times New Roman"/>
          <w:sz w:val="24"/>
        </w:rPr>
        <w:t>The strategic risk for the water industry is not the arrival of powerful AI per se, but rather failing to build its own Physical AI infrastructure. Without it, the industry would lack the domain-specific models, verification frameworks, and control architectures needed to safely integrate any AI capability—whether general-purpose or domain-specific. Conversely, if the five-generation framework is in place, advances in general AI become an accelerator rather than a disruption: general intelligence can be injected into the existing domain Physical AI framework, while domain Physical AI provides a verified, safe integration environment. Industries that have established autonomous operation frameworks and verification standards are best positioned to benefit from, rather than be disrupted by, advances in AI (Amodei et al., 2016).</w:t>
      </w:r>
    </w:p>
    <w:p>
      <w:pPr>
        <w:spacing w:before="240" w:line="480" w:lineRule="auto"/>
      </w:pPr>
      <w:r>
        <w:rPr>
          <w:rFonts w:ascii="Times New Roman" w:hAnsi="Times New Roman"/>
          <w:b/>
          <w:sz w:val="24"/>
        </w:rPr>
        <w:t>8. Implications</w:t>
      </w:r>
    </w:p>
    <w:p>
      <w:pPr>
        <w:spacing w:before="120" w:line="480" w:lineRule="auto"/>
      </w:pPr>
      <w:r>
        <w:rPr>
          <w:rFonts w:ascii="Times New Roman" w:hAnsi="Times New Roman"/>
          <w:b/>
          <w:i/>
          <w:sz w:val="24"/>
        </w:rPr>
        <w:t>8.1. Technology roadmaps</w:t>
      </w:r>
    </w:p>
    <w:p>
      <w:pPr>
        <w:spacing w:line="480" w:lineRule="auto"/>
        <w:ind w:firstLine="720"/>
        <w:jc w:val="both"/>
      </w:pPr>
      <w:r>
        <w:rPr>
          <w:rFonts w:ascii="Times New Roman" w:hAnsi="Times New Roman"/>
          <w:sz w:val="24"/>
        </w:rPr>
        <w:t>Current water informatization investment concentrates on the SIM layer (Makropoulos and Savic, 2019). These investments are valuable, but the target must shift: SIM should be built not for visualization but for supporting xIL testing and MAS decision verification—with physical fidelity, real-time execution capability, and standardized in-the-loop testing interfaces as core requirements. Emerging physics-informed machine learning approaches (Karniadakis et al., 2021; Raissi et al., 2019) offer promising avenues for bridging the gap between computationally intensive physics models and the real-time demands of control and verification.</w:t>
      </w:r>
    </w:p>
    <w:p>
      <w:pPr>
        <w:spacing w:before="120" w:line="480" w:lineRule="auto"/>
      </w:pPr>
      <w:r>
        <w:rPr>
          <w:rFonts w:ascii="Times New Roman" w:hAnsi="Times New Roman"/>
          <w:b/>
          <w:i/>
          <w:sz w:val="24"/>
        </w:rPr>
        <w:t>8.2. Standards development</w:t>
      </w:r>
    </w:p>
    <w:p>
      <w:pPr>
        <w:spacing w:line="480" w:lineRule="auto"/>
        <w:ind w:firstLine="720"/>
        <w:jc w:val="both"/>
      </w:pPr>
      <w:r>
        <w:rPr>
          <w:rFonts w:ascii="Times New Roman" w:hAnsi="Times New Roman"/>
          <w:sz w:val="24"/>
        </w:rPr>
        <w:t>The water industry currently lacks intelligence grading and certification standards analogous to SAE levels for autonomous driving (SAE International, 2021) or DO-178C for aviation (RTCA, 2012). The xIL testing framework is the foundation for such standards. The ODD concept (Czarnecki, 2018) provides the core skeleton: different ODD levels correspond to different autonomous capability tiers, each with specified testing requirements and certification procedures. The International Association for Hydro-Environment Engineering and Research (IAHR) and the International Water Association (IWA) are well positioned to lead this standardization effort.</w:t>
      </w:r>
    </w:p>
    <w:p>
      <w:pPr>
        <w:spacing w:before="120" w:line="480" w:lineRule="auto"/>
      </w:pPr>
      <w:r>
        <w:rPr>
          <w:rFonts w:ascii="Times New Roman" w:hAnsi="Times New Roman"/>
          <w:b/>
          <w:i/>
          <w:sz w:val="24"/>
        </w:rPr>
        <w:t>8.3. Human capital</w:t>
      </w:r>
    </w:p>
    <w:p>
      <w:pPr>
        <w:spacing w:line="480" w:lineRule="auto"/>
        <w:ind w:firstLine="720"/>
        <w:jc w:val="both"/>
      </w:pPr>
      <w:r>
        <w:rPr>
          <w:rFonts w:ascii="Times New Roman" w:hAnsi="Times New Roman"/>
          <w:sz w:val="24"/>
        </w:rPr>
        <w:t>Traditional water engineers are trained primarily in hydraulics and hydrology. Under the five-generation framework, control theory (Åström and Murray, 2010), multi-agent systems (Wooldridge, 2009), systems reliability engineering (Leveson, 2011), and cyber-physical systems (Lee, 2008) become equally essential knowledge domains. The water engineer of the future is not a person replaced by AI, but one capable of designing, verifying, and supervising Physical AI systems for water networks. Interdisciplinary training is a strategic necessity.</w:t>
      </w:r>
    </w:p>
    <w:p>
      <w:pPr>
        <w:spacing w:before="120" w:line="480" w:lineRule="auto"/>
      </w:pPr>
      <w:r>
        <w:rPr>
          <w:rFonts w:ascii="Times New Roman" w:hAnsi="Times New Roman"/>
          <w:b/>
          <w:i/>
          <w:sz w:val="24"/>
        </w:rPr>
        <w:t>8.4. Industry structure</w:t>
      </w:r>
    </w:p>
    <w:p>
      <w:pPr>
        <w:spacing w:line="480" w:lineRule="auto"/>
        <w:ind w:firstLine="720"/>
        <w:jc w:val="both"/>
      </w:pPr>
      <w:r>
        <w:rPr>
          <w:rFonts w:ascii="Times New Roman" w:hAnsi="Times New Roman"/>
          <w:sz w:val="24"/>
        </w:rPr>
        <w:t>The construction of the Generation 5 framework is not a single-point technology breakthrough but a systems engineering endeavor (Kossiakoff et al., 2011). It will catalyze a new industrial ecosystem—analogous to the autonomous driving supply chain spanning chips, sensors, algorithms, simulation, testing, and operations (Yurtsever et al., 2020). Nations and organizations that build this ecosystem first will shape the global water intelligence market.</w:t>
      </w:r>
    </w:p>
    <w:p>
      <w:pPr>
        <w:spacing w:before="240" w:line="480" w:lineRule="auto"/>
      </w:pPr>
      <w:r>
        <w:rPr>
          <w:rFonts w:ascii="Times New Roman" w:hAnsi="Times New Roman"/>
          <w:b/>
          <w:sz w:val="24"/>
        </w:rPr>
        <w:t>9. Limitations and future research directions</w:t>
      </w:r>
    </w:p>
    <w:p>
      <w:pPr>
        <w:spacing w:line="480" w:lineRule="auto"/>
        <w:ind w:firstLine="720"/>
        <w:jc w:val="both"/>
      </w:pPr>
      <w:r>
        <w:rPr>
          <w:rFonts w:ascii="Times New Roman" w:hAnsi="Times New Roman"/>
          <w:sz w:val="24"/>
        </w:rPr>
        <w:t>While the five-generation framework provides a structured conceptual roadmap, several significant limitations and open research questions must be acknowledged.</w:t>
      </w:r>
    </w:p>
    <w:p>
      <w:pPr>
        <w:spacing w:line="480" w:lineRule="auto"/>
        <w:ind w:firstLine="720"/>
        <w:jc w:val="both"/>
      </w:pPr>
      <w:r>
        <w:rPr>
          <w:rFonts w:ascii="Times New Roman" w:hAnsi="Times New Roman"/>
          <w:sz w:val="24"/>
        </w:rPr>
        <w:t>First, the framework is primarily conceptual, grounded in the authors' engineering practice with partial Generation 3 deployments and informed by cross-industry analogies. Although we draw upon decades of control theory research, the full Generation 4–5 pathway has not yet been demonstrated in any operational water system. Empirical validation through pilot projects—ideally with measurable performance metrics such as control accuracy, response time, and safety boundary compliance—is essential for testing the framework's practical viability. The framework would be weakened if, for example, xIL verification proved unnecessary for safe HDC deployment in water systems (invalidating the Generation 3→4 sequence), or if MAS cognitive capabilities could be reliably achieved without the hierarchical control substrate of HDC (invalidating the accumulation principle). Such empirical challenges would necessitate revision of the generational boundaries.</w:t>
      </w:r>
    </w:p>
    <w:p>
      <w:pPr>
        <w:spacing w:line="480" w:lineRule="auto"/>
        <w:ind w:firstLine="720"/>
        <w:jc w:val="both"/>
      </w:pPr>
      <w:r>
        <w:rPr>
          <w:rFonts w:ascii="Times New Roman" w:hAnsi="Times New Roman"/>
          <w:sz w:val="24"/>
        </w:rPr>
        <w:t>Second, computational feasibility remains a major challenge. Real-time model predictive control for large-scale water networks involving hundreds of control variables and nonlinear dynamics requires substantial computational resources (Qin and Badgwell, 2003; Zheng et al., 2023). The MAS layer adds further computational demands for situation assessment, inter-agent communication, and decision coordination. Research on computationally efficient algorithms—including model reduction, distributed optimization, and physics-informed surrogate models (Karniadakis et al., 2021)—is critical for practical implementation.</w:t>
      </w:r>
    </w:p>
    <w:p>
      <w:pPr>
        <w:spacing w:line="480" w:lineRule="auto"/>
        <w:ind w:firstLine="720"/>
        <w:jc w:val="both"/>
      </w:pPr>
      <w:r>
        <w:rPr>
          <w:rFonts w:ascii="Times New Roman" w:hAnsi="Times New Roman"/>
          <w:sz w:val="24"/>
        </w:rPr>
        <w:t>Third, the framework does not address institutional and regulatory barriers in detail. The water industry operates under diverse governance structures across countries, and the transition from human-centric to machine-centric decision-making raises significant questions of liability, regulatory approval, and public acceptance. These socio-institutional dimensions require dedicated investigation.</w:t>
      </w:r>
    </w:p>
    <w:p>
      <w:pPr>
        <w:spacing w:line="480" w:lineRule="auto"/>
        <w:ind w:firstLine="720"/>
        <w:jc w:val="both"/>
      </w:pPr>
      <w:r>
        <w:rPr>
          <w:rFonts w:ascii="Times New Roman" w:hAnsi="Times New Roman"/>
          <w:sz w:val="24"/>
        </w:rPr>
        <w:t>Fourth, data quality and interoperability remain foundational challenges. xIL testing and MAS operation both depend on high-quality, temporally synchronized data streams. Many existing SCADA installations lack the data completeness and consistency required to support Generation 4–5 operations. Standards for data exchange formats, model interfaces, and inter-system communication protocols are needed.</w:t>
      </w:r>
    </w:p>
    <w:p>
      <w:pPr>
        <w:spacing w:line="480" w:lineRule="auto"/>
        <w:ind w:firstLine="720"/>
        <w:jc w:val="both"/>
      </w:pPr>
      <w:r>
        <w:rPr>
          <w:rFonts w:ascii="Times New Roman" w:hAnsi="Times New Roman"/>
          <w:sz w:val="24"/>
        </w:rPr>
        <w:t>Fifth, the cross-industry analogies (automotive, aviation, power) should be interpreted with caution. Water networks differ from these domains in important respects: slower dynamics, open-channel hydraulics with free-surface flow, greater environmental coupling, and typically lower investment intensity per unit of infrastructure. These differences may necessitate adaptation of verification and certification approaches rather than direct transplantation.</w:t>
      </w:r>
    </w:p>
    <w:p>
      <w:pPr>
        <w:spacing w:line="480" w:lineRule="auto"/>
        <w:ind w:firstLine="720"/>
        <w:jc w:val="both"/>
      </w:pPr>
      <w:r>
        <w:rPr>
          <w:rFonts w:ascii="Times New Roman" w:hAnsi="Times New Roman"/>
          <w:sz w:val="24"/>
        </w:rPr>
        <w:t>Future research priorities include: (a) pilot-scale demonstration of the xIL–MAS integration in a representative water transfer system, (b) development of computational architectures that meet real-time requirements for large-scale MPC and MAS operations, (c) formulation of ODD taxonomies specific to water network scenarios, (d) design of certification protocols adapted from DO-178C and ISO 26262 for water infrastructure, and (e) development of interdisciplinary curricula that bridge hydraulic engineering, control theory, and AI.</w:t>
      </w:r>
    </w:p>
    <w:p>
      <w:pPr>
        <w:spacing w:before="240" w:line="480" w:lineRule="auto"/>
      </w:pPr>
      <w:r>
        <w:rPr>
          <w:rFonts w:ascii="Times New Roman" w:hAnsi="Times New Roman"/>
          <w:b/>
          <w:sz w:val="24"/>
        </w:rPr>
        <w:t>10. Conclusion</w:t>
      </w:r>
    </w:p>
    <w:p>
      <w:pPr>
        <w:spacing w:line="480" w:lineRule="auto"/>
        <w:ind w:firstLine="720"/>
        <w:jc w:val="both"/>
      </w:pPr>
      <w:r>
        <w:rPr>
          <w:rFonts w:ascii="Times New Roman" w:hAnsi="Times New Roman"/>
          <w:sz w:val="24"/>
        </w:rPr>
        <w:t>This paper has proposed a five-generation conceptual framework for classifying and guiding the evolution of water network intelligence, defined by the locus of decision authority at each stage. The framework was developed inductively: practical experience with partial Generation 3 deployments—SCADA-integrated HDC with limited scenario MIL verification—revealed the systematic gaps that Generations 4 and 5 are designed to address. From SCADA (Generation 1) through simulation-based decision support (Generation 2), hierarchical distributed control (Generation 3), systematic verification through xIL (Generation 4), to autonomous multi-agent operation within defined operational design domains (Generation 5), the framework traces a coherent pathway from remote monitoring to certified autonomous operation.</w:t>
      </w:r>
    </w:p>
    <w:p>
      <w:pPr>
        <w:spacing w:line="480" w:lineRule="auto"/>
        <w:ind w:firstLine="720"/>
        <w:jc w:val="both"/>
      </w:pPr>
      <w:r>
        <w:rPr>
          <w:rFonts w:ascii="Times New Roman" w:hAnsi="Times New Roman"/>
          <w:sz w:val="24"/>
        </w:rPr>
        <w:t>Three principal conclusions emerge. First, the global water industry currently operates predominantly at Generation 2, with the transition to Generation 5 requiring three distinct but sequentially dependent leaps: control capability, verification infrastructure, and cognitive autonomy. The sequence—control first, then verification, then cognition—reflects a universal principle of safety-critical systems engineering. Second, the five-generation stack constitutes domain-specific Physical AI for water network operation, structurally aligned with what general-purpose AI would ultimately require to operate in the physical water domain. This alignment means that building the framework is simultaneously a defense against and a preparation for broader AI developments. Third, the xIL layer—the water industry's equivalent of airworthiness certification—is the critical enabler: without it, neither HDC nor MAS can transition from research to practice at scale.</w:t>
      </w:r>
    </w:p>
    <w:p>
      <w:pPr>
        <w:spacing w:line="480" w:lineRule="auto"/>
        <w:ind w:firstLine="720"/>
        <w:jc w:val="both"/>
      </w:pPr>
      <w:r>
        <w:rPr>
          <w:rFonts w:ascii="Times New Roman" w:hAnsi="Times New Roman"/>
          <w:sz w:val="24"/>
        </w:rPr>
        <w:t>Significant challenges remain, including computational scalability, institutional adaptation, data infrastructure, and the absence of domain-specific certification standards. Nevertheless, the framework provides a structured roadmap for coordinating research, investment, and standardization efforts across the global water community. The five generations are not isolated technology layers but a cumulatively growing architecture: each layer depends on and amplifies those beneath it. Spanning three generations is not merely a technology roadmap choice but a fundamental paradigm shift—from system assists human to human supervises system—and a strategic imperative that the water industry can no longer afford to defer.</w:t>
      </w:r>
    </w:p>
    <w:p>
      <w:pPr>
        <w:spacing w:before="240" w:line="480" w:lineRule="auto"/>
      </w:pPr>
      <w:r>
        <w:rPr>
          <w:rFonts w:ascii="Times New Roman" w:hAnsi="Times New Roman"/>
          <w:b/>
          <w:sz w:val="24"/>
        </w:rPr>
        <w:t>References</w:t>
      </w:r>
    </w:p>
    <w:p>
      <w:pPr>
        <w:spacing w:line="480" w:lineRule="auto"/>
        <w:ind w:left="720" w:hanging="720"/>
        <w:jc w:val="both"/>
      </w:pPr>
      <w:r>
        <w:rPr>
          <w:rFonts w:ascii="Times New Roman" w:hAnsi="Times New Roman"/>
          <w:sz w:val="24"/>
        </w:rPr>
        <w:t>Amodei, D., Olah, C., Steinhardt, J., Christiano, P., Schulman, J., Mané, D., 2016. Concrete problems in AI safety. arXiv preprint arXiv:1606.06565.</w:t>
      </w:r>
    </w:p>
    <w:p>
      <w:pPr>
        <w:spacing w:line="480" w:lineRule="auto"/>
        <w:ind w:left="720" w:hanging="720"/>
        <w:jc w:val="both"/>
      </w:pPr>
      <w:r>
        <w:rPr>
          <w:rFonts w:ascii="Times New Roman" w:hAnsi="Times New Roman"/>
          <w:sz w:val="24"/>
        </w:rPr>
        <w:t>Åström, K.J., Murray, R.M., 2010. Feedback Systems: An Introduction for Scientists and Engineers. Princeton University Press, Princeton, NJ.</w:t>
      </w:r>
    </w:p>
    <w:p>
      <w:pPr>
        <w:spacing w:line="480" w:lineRule="auto"/>
        <w:ind w:left="720" w:hanging="720"/>
        <w:jc w:val="both"/>
      </w:pPr>
      <w:r>
        <w:rPr>
          <w:rFonts w:ascii="Times New Roman" w:hAnsi="Times New Roman"/>
          <w:sz w:val="24"/>
        </w:rPr>
        <w:t>Amin, S.M., Wollenberg, B.F., 2005. Toward a smart grid: power delivery for the 21st century. IEEE Power and Energy Magazine 3 (5), 34–41.</w:t>
      </w:r>
    </w:p>
    <w:p>
      <w:pPr>
        <w:spacing w:line="480" w:lineRule="auto"/>
        <w:ind w:left="720" w:hanging="720"/>
        <w:jc w:val="both"/>
      </w:pPr>
      <w:r>
        <w:rPr>
          <w:rFonts w:ascii="Times New Roman" w:hAnsi="Times New Roman"/>
          <w:sz w:val="24"/>
        </w:rPr>
        <w:t>Amin, S., Litrico, X., Sastry, S.S., Bayen, A.M., 2013. Cyber security of water SCADA systems—Part I: Analysis and experimentation of stealthy deception attacks. IEEE Transactions on Control Systems Technology 21 (5), 1963–1970.</w:t>
      </w:r>
    </w:p>
    <w:p>
      <w:pPr>
        <w:spacing w:line="480" w:lineRule="auto"/>
        <w:ind w:left="720" w:hanging="720"/>
        <w:jc w:val="both"/>
      </w:pPr>
      <w:r>
        <w:rPr>
          <w:rFonts w:ascii="Times New Roman" w:hAnsi="Times New Roman"/>
          <w:sz w:val="24"/>
        </w:rPr>
        <w:t>Bacic, M., 2005. On hardware-in-the-loop simulation. In: Proceedings of the 44th IEEE Conference on Decision and Control. IEEE, pp. 3194–3198.</w:t>
      </w:r>
    </w:p>
    <w:p>
      <w:pPr>
        <w:spacing w:line="480" w:lineRule="auto"/>
        <w:ind w:left="720" w:hanging="720"/>
        <w:jc w:val="both"/>
      </w:pPr>
      <w:r>
        <w:rPr>
          <w:rFonts w:ascii="Times New Roman" w:hAnsi="Times New Roman"/>
          <w:sz w:val="24"/>
        </w:rPr>
        <w:t>Balogun, O.S., Hubbard, M., DeVries, J.J., 1988. Automatic control of canal flow using linear quadratic regulator theory. Journal of Hydraulic Engineering 114 (1), 75–102.</w:t>
      </w:r>
    </w:p>
    <w:p>
      <w:pPr>
        <w:spacing w:line="480" w:lineRule="auto"/>
        <w:ind w:left="720" w:hanging="720"/>
        <w:jc w:val="both"/>
      </w:pPr>
      <w:r>
        <w:rPr>
          <w:rFonts w:ascii="Times New Roman" w:hAnsi="Times New Roman"/>
          <w:sz w:val="24"/>
        </w:rPr>
        <w:t>Bartos, M., Kerkez, B., 2021. Pipedream: An interactive digital twin model for natural and urban drainage systems. Environmental Modelling &amp; Software 144, 105120.</w:t>
      </w:r>
    </w:p>
    <w:p>
      <w:pPr>
        <w:spacing w:line="480" w:lineRule="auto"/>
        <w:ind w:left="720" w:hanging="720"/>
        <w:jc w:val="both"/>
      </w:pPr>
      <w:r>
        <w:rPr>
          <w:rFonts w:ascii="Times New Roman" w:hAnsi="Times New Roman"/>
          <w:sz w:val="24"/>
        </w:rPr>
        <w:t>Baume, J.P., Malaterre, P.O., Belaud, G., Le Guennec, B., 2005. SIC: a 1D hydrodynamic model for river and irrigation canal modeling and regulation. In: Métodos Numéricos em Recursos Hídricos, vol. 7. ABRH, pp. 1–81.</w:t>
      </w:r>
    </w:p>
    <w:p>
      <w:pPr>
        <w:spacing w:line="480" w:lineRule="auto"/>
        <w:ind w:left="720" w:hanging="720"/>
        <w:jc w:val="both"/>
      </w:pPr>
      <w:r>
        <w:rPr>
          <w:rFonts w:ascii="Times New Roman" w:hAnsi="Times New Roman"/>
          <w:sz w:val="24"/>
        </w:rPr>
        <w:t>Bautista, E., Clemmens, A.J., 2005. Volume compensation method for routing irrigation canal demand changes. Journal of Irrigation and Drainage Engineering 131 (6), 494–503.</w:t>
      </w:r>
    </w:p>
    <w:p>
      <w:pPr>
        <w:spacing w:line="480" w:lineRule="auto"/>
        <w:ind w:left="720" w:hanging="720"/>
        <w:jc w:val="both"/>
      </w:pPr>
      <w:r>
        <w:rPr>
          <w:rFonts w:ascii="Times New Roman" w:hAnsi="Times New Roman"/>
          <w:sz w:val="24"/>
        </w:rPr>
        <w:t>Buyalski, C.P., Ehler, D.G., Falvey, H.T., Rogers, D.C., Serfozo, E.A., 1991. Canal Systems Automation Manual, Vol. 1. U.S. Bureau of Reclamation, Denver, CO.</w:t>
      </w:r>
    </w:p>
    <w:p>
      <w:pPr>
        <w:spacing w:line="480" w:lineRule="auto"/>
        <w:ind w:left="720" w:hanging="720"/>
        <w:jc w:val="both"/>
      </w:pPr>
      <w:r>
        <w:rPr>
          <w:rFonts w:ascii="Times New Roman" w:hAnsi="Times New Roman"/>
          <w:sz w:val="24"/>
        </w:rPr>
        <w:t>Berglund, E.Z., 2015. Using agent-based modeling for water resources planning and management. Journal of Water Resources Planning and Management 141 (11), 04015025.</w:t>
      </w:r>
    </w:p>
    <w:p>
      <w:pPr>
        <w:spacing w:line="480" w:lineRule="auto"/>
        <w:ind w:left="720" w:hanging="720"/>
        <w:jc w:val="both"/>
      </w:pPr>
      <w:r>
        <w:rPr>
          <w:rFonts w:ascii="Times New Roman" w:hAnsi="Times New Roman"/>
          <w:sz w:val="24"/>
        </w:rPr>
        <w:t>Billings, C.E., 1997. Aviation Automation: The Search for a Human-Centered Approach. Lawrence Erlbaum Associates, Mahwah, NJ.</w:t>
      </w:r>
    </w:p>
    <w:p>
      <w:pPr>
        <w:spacing w:line="480" w:lineRule="auto"/>
        <w:ind w:left="720" w:hanging="720"/>
        <w:jc w:val="both"/>
      </w:pPr>
      <w:r>
        <w:rPr>
          <w:rFonts w:ascii="Times New Roman" w:hAnsi="Times New Roman"/>
          <w:sz w:val="24"/>
        </w:rPr>
        <w:t>Boyer, S.A., 2004. SCADA: Supervisory Control and Data Acquisition, third ed. ISA, Research Triangle Park, NC.</w:t>
      </w:r>
    </w:p>
    <w:p>
      <w:pPr>
        <w:spacing w:line="480" w:lineRule="auto"/>
        <w:ind w:left="720" w:hanging="720"/>
        <w:jc w:val="both"/>
      </w:pPr>
      <w:r>
        <w:rPr>
          <w:rFonts w:ascii="Times New Roman" w:hAnsi="Times New Roman"/>
          <w:sz w:val="24"/>
        </w:rPr>
        <w:t>Bringmann, E., Krämer, A., 2008. Model-based testing of automotive systems. In: 2008 1st International Conference on Software Testing, Verification, and Validation. IEEE, pp. 485–493.</w:t>
      </w:r>
    </w:p>
    <w:p>
      <w:pPr>
        <w:spacing w:line="480" w:lineRule="auto"/>
        <w:ind w:left="720" w:hanging="720"/>
        <w:jc w:val="both"/>
      </w:pPr>
      <w:r>
        <w:rPr>
          <w:rFonts w:ascii="Times New Roman" w:hAnsi="Times New Roman"/>
          <w:sz w:val="24"/>
        </w:rPr>
        <w:t>Brown, T.B., Mann, B., Ryder, N., Subbiah, M., et al., 2020. Language models are few-shot learners. Advances in Neural Information Processing Systems 33, 1877–1901.</w:t>
      </w:r>
    </w:p>
    <w:p>
      <w:pPr>
        <w:spacing w:line="480" w:lineRule="auto"/>
        <w:ind w:left="720" w:hanging="720"/>
        <w:jc w:val="both"/>
      </w:pPr>
      <w:r>
        <w:rPr>
          <w:rFonts w:ascii="Times New Roman" w:hAnsi="Times New Roman"/>
          <w:sz w:val="24"/>
        </w:rPr>
        <w:t>Bubeck, S., Chandrasekaran, V., Eldan, R., Gehrke, J., et al., 2023. Sparks of artificial general intelligence: Early experiments with GPT-4. arXiv preprint arXiv:2303.12712.</w:t>
      </w:r>
    </w:p>
    <w:p>
      <w:pPr>
        <w:spacing w:line="480" w:lineRule="auto"/>
        <w:ind w:left="720" w:hanging="720"/>
        <w:jc w:val="both"/>
      </w:pPr>
      <w:r>
        <w:rPr>
          <w:rFonts w:ascii="Times New Roman" w:hAnsi="Times New Roman"/>
          <w:sz w:val="24"/>
        </w:rPr>
        <w:t>Cantoni, M., Weyer, E., Li, Y., Ooi, S.K., Mareels, I., Ryan, M., 2007. Control of large-scale irrigation networks. Proceedings of the IEEE 95 (1), 75–91.</w:t>
      </w:r>
    </w:p>
    <w:p>
      <w:pPr>
        <w:spacing w:line="480" w:lineRule="auto"/>
        <w:ind w:left="720" w:hanging="720"/>
        <w:jc w:val="both"/>
      </w:pPr>
      <w:r>
        <w:rPr>
          <w:rFonts w:ascii="Times New Roman" w:hAnsi="Times New Roman"/>
          <w:sz w:val="24"/>
        </w:rPr>
        <w:t>Chaudhry, M.H., 2008. Open-Channel Flow, second ed. Springer, New York.</w:t>
      </w:r>
    </w:p>
    <w:p>
      <w:pPr>
        <w:spacing w:line="480" w:lineRule="auto"/>
        <w:ind w:left="720" w:hanging="720"/>
        <w:jc w:val="both"/>
      </w:pPr>
      <w:r>
        <w:rPr>
          <w:rFonts w:ascii="Times New Roman" w:hAnsi="Times New Roman"/>
          <w:sz w:val="24"/>
        </w:rPr>
        <w:t>Clemmens, A.J., Kacerek, T.F., Grawitz, B., Schuurmans, W., 1998. Test cases for canal control algorithms. Journal of Irrigation and Drainage Engineering 124 (1), 23–30.</w:t>
      </w:r>
    </w:p>
    <w:p>
      <w:pPr>
        <w:spacing w:line="480" w:lineRule="auto"/>
        <w:ind w:left="720" w:hanging="720"/>
        <w:jc w:val="both"/>
      </w:pPr>
      <w:r>
        <w:rPr>
          <w:rFonts w:ascii="Times New Roman" w:hAnsi="Times New Roman"/>
          <w:sz w:val="24"/>
        </w:rPr>
        <w:t>Clemmens, A.J., Schuurmans, J., 2004. Simple optimal downstream feedback canal controllers: Theory. Journal of Irrigation and Drainage Engineering 130 (1), 26–34.</w:t>
      </w:r>
    </w:p>
    <w:p>
      <w:pPr>
        <w:spacing w:line="480" w:lineRule="auto"/>
        <w:ind w:left="720" w:hanging="720"/>
        <w:jc w:val="both"/>
      </w:pPr>
      <w:r>
        <w:rPr>
          <w:rFonts w:ascii="Times New Roman" w:hAnsi="Times New Roman"/>
          <w:sz w:val="24"/>
        </w:rPr>
        <w:t>Conde, G., Quijano, N., Ocampo-Martinez, C., 2021. Modeling and control in open-channel irrigation systems: A review. Annual Reviews in Control 51, 153–171.</w:t>
      </w:r>
    </w:p>
    <w:p>
      <w:pPr>
        <w:spacing w:line="480" w:lineRule="auto"/>
        <w:ind w:left="720" w:hanging="720"/>
        <w:jc w:val="both"/>
      </w:pPr>
      <w:r>
        <w:rPr>
          <w:rFonts w:ascii="Times New Roman" w:hAnsi="Times New Roman"/>
          <w:sz w:val="24"/>
        </w:rPr>
        <w:t>Czarnecki, K., 2018. Operational design domain for automated driving systems—taxonomy of basic terms. Technical Report, Waterloo Intelligent Systems Engineering Lab.</w:t>
      </w:r>
    </w:p>
    <w:p>
      <w:pPr>
        <w:spacing w:line="480" w:lineRule="auto"/>
        <w:ind w:left="720" w:hanging="720"/>
        <w:jc w:val="both"/>
      </w:pPr>
      <w:r>
        <w:rPr>
          <w:rFonts w:ascii="Times New Roman" w:hAnsi="Times New Roman"/>
          <w:sz w:val="24"/>
        </w:rPr>
        <w:t>Dorri, A., Kanhere, S.S., Jurdak, R., 2018. Multi-agent systems: A survey. IEEE Access 6, 28573–28593.</w:t>
      </w:r>
    </w:p>
    <w:p>
      <w:pPr>
        <w:spacing w:line="480" w:lineRule="auto"/>
        <w:ind w:left="720" w:hanging="720"/>
        <w:jc w:val="both"/>
      </w:pPr>
      <w:r>
        <w:rPr>
          <w:rFonts w:ascii="Times New Roman" w:hAnsi="Times New Roman"/>
          <w:sz w:val="24"/>
        </w:rPr>
        <w:t>Driess, D., Xia, F., Sajjadi, M.S.M., Lynch, C., et al., 2023. PaLM-E: An embodied multimodal language model. In: Proceedings of the 40th International Conference on Machine Learning. PMLR, pp. 8469–8488.</w:t>
      </w:r>
    </w:p>
    <w:p>
      <w:pPr>
        <w:spacing w:line="480" w:lineRule="auto"/>
        <w:ind w:left="720" w:hanging="720"/>
        <w:jc w:val="both"/>
      </w:pPr>
      <w:r>
        <w:rPr>
          <w:rFonts w:ascii="Times New Roman" w:hAnsi="Times New Roman"/>
          <w:sz w:val="24"/>
        </w:rPr>
        <w:t>Duan, J., Yu, S., Tan, H.L., Zhu, H., Tan, C., 2022. A survey of embodied AI: From simulators to research tasks. IEEE Transactions on Emerging Topics in Computational Intelligence 6 (2), 230–244.</w:t>
      </w:r>
    </w:p>
    <w:p>
      <w:pPr>
        <w:spacing w:line="480" w:lineRule="auto"/>
        <w:ind w:left="720" w:hanging="720"/>
        <w:jc w:val="both"/>
      </w:pPr>
      <w:r>
        <w:rPr>
          <w:rFonts w:ascii="Times New Roman" w:hAnsi="Times New Roman"/>
          <w:sz w:val="24"/>
        </w:rPr>
        <w:t>Endsley, M.R., 1995. Toward a theory of situation awareness in dynamic systems. Human Factors 37 (1), 32–64.</w:t>
      </w:r>
    </w:p>
    <w:p>
      <w:pPr>
        <w:spacing w:line="480" w:lineRule="auto"/>
        <w:ind w:left="720" w:hanging="720"/>
        <w:jc w:val="both"/>
      </w:pPr>
      <w:r>
        <w:rPr>
          <w:rFonts w:ascii="Times New Roman" w:hAnsi="Times New Roman"/>
          <w:sz w:val="24"/>
        </w:rPr>
        <w:t>Fele, F., Maestre, J.M., Hashemy, S.M., Muñoz de la Peña, D., Camacho, E.F., 2014. Coalitional model predictive control of an irrigation canal. Journal of Process Control 24 (4), 314–325.</w:t>
      </w:r>
    </w:p>
    <w:p>
      <w:pPr>
        <w:spacing w:line="480" w:lineRule="auto"/>
        <w:ind w:left="720" w:hanging="720"/>
        <w:jc w:val="both"/>
      </w:pPr>
      <w:r>
        <w:rPr>
          <w:rFonts w:ascii="Times New Roman" w:hAnsi="Times New Roman"/>
          <w:sz w:val="24"/>
        </w:rPr>
        <w:t>Garcia, L., Parra, L., Jimenez, J.M., Lloret, J., Lorenz, P., 2020. IoT-based smart irrigation systems: An overview on the recent trends on sensors and IoT systems for irrigation in precision agriculture. Sensors 20 (4), 1042.</w:t>
      </w:r>
    </w:p>
    <w:p>
      <w:pPr>
        <w:spacing w:line="480" w:lineRule="auto"/>
        <w:ind w:left="720" w:hanging="720"/>
        <w:jc w:val="both"/>
      </w:pPr>
      <w:r>
        <w:rPr>
          <w:rFonts w:ascii="Times New Roman" w:hAnsi="Times New Roman"/>
          <w:sz w:val="24"/>
        </w:rPr>
        <w:t>Giuliani, M., Castelletti, A., Pianosi, F., Mason, E., Reed, P.M., 2016. Curses, tradeoffs, and scalable management: Advancing evolutionary multiobjective direct policy search to improve water reservoir operations. Journal of Water Resources Planning and Management 142 (2), 04015050.</w:t>
      </w:r>
    </w:p>
    <w:p>
      <w:pPr>
        <w:spacing w:line="480" w:lineRule="auto"/>
        <w:ind w:left="720" w:hanging="720"/>
        <w:jc w:val="both"/>
      </w:pPr>
      <w:r>
        <w:rPr>
          <w:rFonts w:ascii="Times New Roman" w:hAnsi="Times New Roman"/>
          <w:sz w:val="24"/>
        </w:rPr>
        <w:t>Guan, G., Zhu, Z., Mao, Z., Feng, T., Hu, X., 2025. Hierarchical distributed model predictive control for large-scale irrigation canal network under water scarcity condition: A case study of the Zhanghe Irrigation District, China. Agricultural Water Management 319, 109787.</w:t>
      </w:r>
    </w:p>
    <w:p>
      <w:pPr>
        <w:spacing w:line="480" w:lineRule="auto"/>
        <w:ind w:left="720" w:hanging="720"/>
        <w:jc w:val="both"/>
      </w:pPr>
      <w:r>
        <w:rPr>
          <w:rFonts w:ascii="Times New Roman" w:hAnsi="Times New Roman"/>
          <w:sz w:val="24"/>
        </w:rPr>
        <w:t>Gupta, A., Savarese, S., Ganguli, S., Fei-Fei, L., 2021. Embodied intelligence via learning and evolution. Nature Communications 12 (1), 5721.</w:t>
      </w:r>
    </w:p>
    <w:p>
      <w:pPr>
        <w:spacing w:line="480" w:lineRule="auto"/>
        <w:ind w:left="720" w:hanging="720"/>
        <w:jc w:val="both"/>
      </w:pPr>
      <w:r>
        <w:rPr>
          <w:rFonts w:ascii="Times New Roman" w:hAnsi="Times New Roman"/>
          <w:sz w:val="24"/>
        </w:rPr>
        <w:t>Isermann, R., Schaffnit, J., Sinsel, S., 1999. Hardware-in-the-loop simulation for the design and testing of engine-management systems. Control Engineering Practice 7 (5), 643–653.</w:t>
      </w:r>
    </w:p>
    <w:p>
      <w:pPr>
        <w:spacing w:line="480" w:lineRule="auto"/>
        <w:ind w:left="720" w:hanging="720"/>
        <w:jc w:val="both"/>
      </w:pPr>
      <w:r>
        <w:rPr>
          <w:rFonts w:ascii="Times New Roman" w:hAnsi="Times New Roman"/>
          <w:sz w:val="24"/>
        </w:rPr>
        <w:t>ISO, 2018. ISO 26262: Road Vehicles – Functional Safety. International Organization for Standardization, Geneva.</w:t>
      </w:r>
    </w:p>
    <w:p>
      <w:pPr>
        <w:spacing w:line="480" w:lineRule="auto"/>
        <w:ind w:left="720" w:hanging="720"/>
        <w:jc w:val="both"/>
      </w:pPr>
      <w:r>
        <w:rPr>
          <w:rFonts w:ascii="Times New Roman" w:hAnsi="Times New Roman"/>
          <w:sz w:val="24"/>
        </w:rPr>
        <w:t>Jennings, N.R., Sycara, K., Wooldridge, M., 1998. A roadmap of agent research and development. Autonomous Agents and Multi-Agent Systems 1 (1), 7–38.</w:t>
      </w:r>
    </w:p>
    <w:p>
      <w:pPr>
        <w:spacing w:line="480" w:lineRule="auto"/>
        <w:ind w:left="720" w:hanging="720"/>
        <w:jc w:val="both"/>
      </w:pPr>
      <w:r>
        <w:rPr>
          <w:rFonts w:ascii="Times New Roman" w:hAnsi="Times New Roman"/>
          <w:sz w:val="24"/>
        </w:rPr>
        <w:t>Karniadakis, G.E., Kevrekidis, I.G., Lu, L., Perdikaris, P., Wang, S., Yang, L., 2021. Physics-informed machine learning. Nature Reviews Physics 3 (6), 422–440.</w:t>
      </w:r>
    </w:p>
    <w:p>
      <w:pPr>
        <w:spacing w:line="480" w:lineRule="auto"/>
        <w:ind w:left="720" w:hanging="720"/>
        <w:jc w:val="both"/>
      </w:pPr>
      <w:r>
        <w:rPr>
          <w:rFonts w:ascii="Times New Roman" w:hAnsi="Times New Roman"/>
          <w:sz w:val="24"/>
        </w:rPr>
        <w:t>Knight, J.C., 2002. Safety critical systems: challenges and directions. In: Proceedings of the 24th International Conference on Software Engineering. ACM, pp. 547–550.</w:t>
      </w:r>
    </w:p>
    <w:p>
      <w:pPr>
        <w:spacing w:line="480" w:lineRule="auto"/>
        <w:ind w:left="720" w:hanging="720"/>
        <w:jc w:val="both"/>
      </w:pPr>
      <w:r>
        <w:rPr>
          <w:rFonts w:ascii="Times New Roman" w:hAnsi="Times New Roman"/>
          <w:sz w:val="24"/>
        </w:rPr>
        <w:t>Koopman, P., Wagner, M., 2017. Autonomous vehicle safety: An interdisciplinary challenge. IEEE Intelligent Transportation Systems Magazine 9 (1), 90–96.</w:t>
      </w:r>
    </w:p>
    <w:p>
      <w:pPr>
        <w:spacing w:line="480" w:lineRule="auto"/>
        <w:ind w:left="720" w:hanging="720"/>
        <w:jc w:val="both"/>
      </w:pPr>
      <w:r>
        <w:rPr>
          <w:rFonts w:ascii="Times New Roman" w:hAnsi="Times New Roman"/>
          <w:sz w:val="24"/>
        </w:rPr>
        <w:t>Kossiakoff, A., Sweet, W.N., Seymour, S.J., Biemer, S.M., 2011. Systems Engineering: Principles and Practice, second ed. Wiley, Hoboken, NJ.</w:t>
      </w:r>
    </w:p>
    <w:p>
      <w:pPr>
        <w:spacing w:line="480" w:lineRule="auto"/>
        <w:ind w:left="720" w:hanging="720"/>
        <w:jc w:val="both"/>
      </w:pPr>
      <w:r>
        <w:rPr>
          <w:rFonts w:ascii="Times New Roman" w:hAnsi="Times New Roman"/>
          <w:sz w:val="24"/>
        </w:rPr>
        <w:t>Lee, E.A., 2008. Cyber physical systems: Design challenges. In: 2008 11th IEEE International Symposium on Object and Component-Oriented Real-Time Distributed Computing (ISORC). IEEE, pp. 363–369.</w:t>
      </w:r>
    </w:p>
    <w:p>
      <w:pPr>
        <w:spacing w:line="480" w:lineRule="auto"/>
        <w:ind w:left="720" w:hanging="720"/>
        <w:jc w:val="both"/>
      </w:pPr>
      <w:r>
        <w:rPr>
          <w:rFonts w:ascii="Times New Roman" w:hAnsi="Times New Roman"/>
          <w:sz w:val="24"/>
        </w:rPr>
        <w:t>Lee, K., Lim, C., 2001. Technological regimes, catching-up and leapfrogging: findings from the Korean industries. Research Policy 30 (3), 459–483.</w:t>
      </w:r>
    </w:p>
    <w:p>
      <w:pPr>
        <w:spacing w:line="480" w:lineRule="auto"/>
        <w:ind w:left="720" w:hanging="720"/>
        <w:jc w:val="both"/>
      </w:pPr>
      <w:r>
        <w:rPr>
          <w:rFonts w:ascii="Times New Roman" w:hAnsi="Times New Roman"/>
          <w:sz w:val="24"/>
        </w:rPr>
        <w:t>Lei, X.H., Long, Y., Xu, H.M., et al., 2025a. Cybernetics of hydro systems: background, technical framework and research paradigm. South-to-North Water Transfers and Water Science &amp; Technology 23 (4), 761–769. https://doi.org/10.13476/j.cnki.nsbdqk.2025.0077. (in Chinese)</w:t>
      </w:r>
    </w:p>
    <w:p>
      <w:pPr>
        <w:spacing w:line="480" w:lineRule="auto"/>
        <w:ind w:left="720" w:hanging="720"/>
        <w:jc w:val="both"/>
      </w:pPr>
      <w:r>
        <w:rPr>
          <w:rFonts w:ascii="Times New Roman" w:hAnsi="Times New Roman"/>
          <w:sz w:val="24"/>
        </w:rPr>
        <w:t>Lei, X.H., Su, C.G., Long, Y., et al., 2025b. Architecture and key technologies of next-generation autonomous smart water networks based on autonomous driving concepts. South-to-North Water Transfers and Water Science &amp; Technology 23 (4), 778–786. https://doi.org/10.13476/j.cnki.nsbdqk.2025.0079. (in Chinese)</w:t>
      </w:r>
    </w:p>
    <w:p>
      <w:pPr>
        <w:spacing w:line="480" w:lineRule="auto"/>
        <w:ind w:left="720" w:hanging="720"/>
        <w:jc w:val="both"/>
      </w:pPr>
      <w:r>
        <w:rPr>
          <w:rFonts w:ascii="Times New Roman" w:hAnsi="Times New Roman"/>
          <w:sz w:val="24"/>
        </w:rPr>
        <w:t>Lei, X.H., Zhang, Z., Su, C.G., et al., 2025c. In-the-loop testing framework for autonomous intelligent water networks. South-to-North Water Transfers and Water Science &amp; Technology 23 (4), 787–793. https://doi.org/10.13476/j.cnki.nsbdqk.2025.0080. (in Chinese)</w:t>
      </w:r>
    </w:p>
    <w:p>
      <w:pPr>
        <w:spacing w:line="480" w:lineRule="auto"/>
        <w:ind w:left="720" w:hanging="720"/>
        <w:jc w:val="both"/>
      </w:pPr>
      <w:r>
        <w:rPr>
          <w:rFonts w:ascii="Times New Roman" w:hAnsi="Times New Roman"/>
          <w:sz w:val="24"/>
        </w:rPr>
        <w:t>Leitão, P., 2009. Agent-based distributed manufacturing control: A state-of-the-art survey. Engineering Applications of Artificial Intelligence 22 (7), 979–991.</w:t>
      </w:r>
    </w:p>
    <w:p>
      <w:pPr>
        <w:spacing w:line="480" w:lineRule="auto"/>
        <w:ind w:left="720" w:hanging="720"/>
        <w:jc w:val="both"/>
      </w:pPr>
      <w:r>
        <w:rPr>
          <w:rFonts w:ascii="Times New Roman" w:hAnsi="Times New Roman"/>
          <w:sz w:val="24"/>
        </w:rPr>
        <w:t>Lemos, J.M., Machado, F., Nogueira, N., Rato, L., Rijo, M., 2009. Adaptive and non-adaptive model predictive control of an irrigation channel. Networks and Heterogeneous Media 4 (2), 303–324.</w:t>
      </w:r>
    </w:p>
    <w:p>
      <w:pPr>
        <w:spacing w:line="480" w:lineRule="auto"/>
        <w:ind w:left="720" w:hanging="720"/>
        <w:jc w:val="both"/>
      </w:pPr>
      <w:r>
        <w:rPr>
          <w:rFonts w:ascii="Times New Roman" w:hAnsi="Times New Roman"/>
          <w:sz w:val="24"/>
        </w:rPr>
        <w:t>Leveson, N.G., 2011. Engineering a Safer World: Systems Thinking Applied to Safety. MIT Press, Cambridge, MA.</w:t>
      </w:r>
    </w:p>
    <w:p>
      <w:pPr>
        <w:spacing w:line="480" w:lineRule="auto"/>
        <w:ind w:left="720" w:hanging="720"/>
        <w:jc w:val="both"/>
      </w:pPr>
      <w:r>
        <w:rPr>
          <w:rFonts w:ascii="Times New Roman" w:hAnsi="Times New Roman"/>
          <w:sz w:val="24"/>
        </w:rPr>
        <w:t>Li, Y., De Schutter, B., 2012. Control of a string of identical pools using non-identical feedback controllers. IEEE Transactions on Control Systems Technology 20 (6), 1638–1646.</w:t>
      </w:r>
    </w:p>
    <w:p>
      <w:pPr>
        <w:spacing w:line="480" w:lineRule="auto"/>
        <w:ind w:left="720" w:hanging="720"/>
        <w:jc w:val="both"/>
      </w:pPr>
      <w:r>
        <w:rPr>
          <w:rFonts w:ascii="Times New Roman" w:hAnsi="Times New Roman"/>
          <w:sz w:val="24"/>
        </w:rPr>
        <w:t>Litrico, X., Fromion, V., 2004. Frequency modeling of open-channel flow. Journal of Hydraulic Engineering 130 (8), 806–815.</w:t>
      </w:r>
    </w:p>
    <w:p>
      <w:pPr>
        <w:spacing w:line="480" w:lineRule="auto"/>
        <w:ind w:left="720" w:hanging="720"/>
        <w:jc w:val="both"/>
      </w:pPr>
      <w:r>
        <w:rPr>
          <w:rFonts w:ascii="Times New Roman" w:hAnsi="Times New Roman"/>
          <w:sz w:val="24"/>
        </w:rPr>
        <w:t>Litrico, X., Fromion, V., 2009. Modeling and Control of Hydrosystems: A Frequency Domain Approach. Springer, London.</w:t>
      </w:r>
    </w:p>
    <w:p>
      <w:pPr>
        <w:spacing w:line="480" w:lineRule="auto"/>
        <w:ind w:left="720" w:hanging="720"/>
        <w:jc w:val="both"/>
      </w:pPr>
      <w:r>
        <w:rPr>
          <w:rFonts w:ascii="Times New Roman" w:hAnsi="Times New Roman"/>
          <w:sz w:val="24"/>
        </w:rPr>
        <w:t>Liu, J., Wang, Z.J., Yang, Z., Zhang, T., 2023b. An adaptive predictive control algorithm for comprehensive dendritic canal systems. Journal of Irrigation and Drainage Engineering 149 (1), 04022045.</w:t>
      </w:r>
    </w:p>
    <w:p>
      <w:pPr>
        <w:spacing w:line="480" w:lineRule="auto"/>
        <w:ind w:left="720" w:hanging="720"/>
        <w:jc w:val="both"/>
      </w:pPr>
      <w:r>
        <w:rPr>
          <w:rFonts w:ascii="Times New Roman" w:hAnsi="Times New Roman"/>
          <w:sz w:val="24"/>
        </w:rPr>
        <w:t>Mackiewicz, R.E., 2006. Overview of IEC 61850 and benefits. In: 2006 IEEE PES Power Systems Conference and Exposition. IEEE, pp. 623–630.</w:t>
      </w:r>
    </w:p>
    <w:p>
      <w:pPr>
        <w:spacing w:line="480" w:lineRule="auto"/>
        <w:ind w:left="720" w:hanging="720"/>
        <w:jc w:val="both"/>
      </w:pPr>
      <w:r>
        <w:rPr>
          <w:rFonts w:ascii="Times New Roman" w:hAnsi="Times New Roman"/>
          <w:sz w:val="24"/>
        </w:rPr>
        <w:t>Makropoulos, C., Savic, D.A., 2019. Urban hydroinformatics: Past, present and future. Water 11 (10), 1959.</w:t>
      </w:r>
    </w:p>
    <w:p>
      <w:pPr>
        <w:spacing w:line="480" w:lineRule="auto"/>
        <w:ind w:left="720" w:hanging="720"/>
        <w:jc w:val="both"/>
      </w:pPr>
      <w:r>
        <w:rPr>
          <w:rFonts w:ascii="Times New Roman" w:hAnsi="Times New Roman"/>
          <w:sz w:val="24"/>
        </w:rPr>
        <w:t>Malaterre, P.O., 1995. Regulation of irrigation canals: Characterization and classification. Irrigation and Drainage Systems 9 (4), 297–327.</w:t>
      </w:r>
    </w:p>
    <w:p>
      <w:pPr>
        <w:spacing w:line="480" w:lineRule="auto"/>
        <w:ind w:left="720" w:hanging="720"/>
        <w:jc w:val="both"/>
      </w:pPr>
      <w:r>
        <w:rPr>
          <w:rFonts w:ascii="Times New Roman" w:hAnsi="Times New Roman"/>
          <w:sz w:val="24"/>
        </w:rPr>
        <w:t>Malaterre, P.O., 2007. Control of irrigation canals: Why and how? In: Proceedings of the International Workshop on Numerical Modelling of Hydrodynamics for Water Resources, Zaragoza, pp. 271–293.</w:t>
      </w:r>
    </w:p>
    <w:p>
      <w:pPr>
        <w:spacing w:line="480" w:lineRule="auto"/>
        <w:ind w:left="720" w:hanging="720"/>
        <w:jc w:val="both"/>
      </w:pPr>
      <w:r>
        <w:rPr>
          <w:rFonts w:ascii="Times New Roman" w:hAnsi="Times New Roman"/>
          <w:sz w:val="24"/>
        </w:rPr>
        <w:t>Malaterre, P.O., Rogers, D.C., Schuurmans, J., 1998. Classification of canal control algorithms. Journal of Irrigation and Drainage Engineering 124 (1), 3–10.</w:t>
      </w:r>
    </w:p>
    <w:p>
      <w:pPr>
        <w:spacing w:line="480" w:lineRule="auto"/>
        <w:ind w:left="720" w:hanging="720"/>
        <w:jc w:val="both"/>
      </w:pPr>
      <w:r>
        <w:rPr>
          <w:rFonts w:ascii="Times New Roman" w:hAnsi="Times New Roman"/>
          <w:sz w:val="24"/>
        </w:rPr>
        <w:t>Mareels, I., Weyer, E., Ooi, S.K., Cantoni, M., Li, Y., Nair, G., 2005. Systems engineering for irrigation systems: Successes and challenges. Annual Reviews in Control 29 (2), 191–204.</w:t>
      </w:r>
    </w:p>
    <w:p>
      <w:pPr>
        <w:spacing w:line="480" w:lineRule="auto"/>
        <w:ind w:left="720" w:hanging="720"/>
        <w:jc w:val="both"/>
      </w:pPr>
      <w:r>
        <w:rPr>
          <w:rFonts w:ascii="Times New Roman" w:hAnsi="Times New Roman"/>
          <w:sz w:val="24"/>
        </w:rPr>
        <w:t>McArthur, S.D., Davidson, E.M., Catterson, V.M., Dimeas, A.L., Hatziargyriou, N.D., Ponci, F., Funabashi, T., 2007a. Multi-agent systems for power engineering applications—Part I: Concepts, approaches, and technical challenges. IEEE Transactions on Power Systems 22 (4), 1743–1752.</w:t>
      </w:r>
    </w:p>
    <w:p>
      <w:pPr>
        <w:spacing w:line="480" w:lineRule="auto"/>
        <w:ind w:left="720" w:hanging="720"/>
        <w:jc w:val="both"/>
      </w:pPr>
      <w:r>
        <w:rPr>
          <w:rFonts w:ascii="Times New Roman" w:hAnsi="Times New Roman"/>
          <w:sz w:val="24"/>
        </w:rPr>
        <w:t>McArthur, S.D., Davidson, E.M., Catterson, V.M., Dimeas, A.L., Hatziargyriou, N.D., Ponci, F., Funabashi, T., 2007b. Multi-agent systems for power engineering applications—Part II: Technologies, standards, and tools for building multi-agent systems. IEEE Transactions on Power Systems 22 (4), 1753–1759.</w:t>
      </w:r>
    </w:p>
    <w:p>
      <w:pPr>
        <w:spacing w:line="480" w:lineRule="auto"/>
        <w:ind w:left="720" w:hanging="720"/>
        <w:jc w:val="both"/>
      </w:pPr>
      <w:r>
        <w:rPr>
          <w:rFonts w:ascii="Times New Roman" w:hAnsi="Times New Roman"/>
          <w:sz w:val="24"/>
        </w:rPr>
        <w:t>Mengist, A., Pop, A., Asghar, A., Fritzson, P., 2021. Traceability support in OpenModelica using open services for lifecycle collaboration (OSLC). In: Proceedings of the 14th Modelica Conference. Linköping University Electronic Press, pp. 469–478.</w:t>
      </w:r>
    </w:p>
    <w:p>
      <w:pPr>
        <w:spacing w:line="480" w:lineRule="auto"/>
        <w:ind w:left="720" w:hanging="720"/>
        <w:jc w:val="both"/>
      </w:pPr>
      <w:r>
        <w:rPr>
          <w:rFonts w:ascii="Times New Roman" w:hAnsi="Times New Roman"/>
          <w:sz w:val="24"/>
        </w:rPr>
        <w:t>Negenborn, R.R., Van Overloop, P.J., Keviczky, T., De Schutter, B., 2009. Distributed model predictive control of irrigation canals. Networks and Heterogeneous Media 4 (2), 359–380.</w:t>
      </w:r>
    </w:p>
    <w:p>
      <w:pPr>
        <w:spacing w:line="480" w:lineRule="auto"/>
        <w:ind w:left="720" w:hanging="720"/>
        <w:jc w:val="both"/>
      </w:pPr>
      <w:r>
        <w:rPr>
          <w:rFonts w:ascii="Times New Roman" w:hAnsi="Times New Roman"/>
          <w:sz w:val="24"/>
        </w:rPr>
        <w:t>Panguluri, S., Phillips, W., Cusimano, J., 2012. Protecting Water and Wastewater Utilities from Cyber Attacks. Water Research Foundation, Denver, CO.</w:t>
      </w:r>
    </w:p>
    <w:p>
      <w:pPr>
        <w:spacing w:line="480" w:lineRule="auto"/>
        <w:ind w:left="720" w:hanging="720"/>
        <w:jc w:val="both"/>
      </w:pPr>
      <w:r>
        <w:rPr>
          <w:rFonts w:ascii="Times New Roman" w:hAnsi="Times New Roman"/>
          <w:sz w:val="24"/>
        </w:rPr>
        <w:t>Qin, S.J., Badgwell, T.A., 2003. A survey of industrial model predictive control technology. Control Engineering Practice 11 (7), 733–764.</w:t>
      </w:r>
    </w:p>
    <w:p>
      <w:pPr>
        <w:spacing w:line="480" w:lineRule="auto"/>
        <w:ind w:left="720" w:hanging="720"/>
        <w:jc w:val="both"/>
      </w:pPr>
      <w:r>
        <w:rPr>
          <w:rFonts w:ascii="Times New Roman" w:hAnsi="Times New Roman"/>
          <w:sz w:val="24"/>
        </w:rPr>
        <w:t>Raissi, M., Perdikaris, P., Karniadakis, G.E., 2019. Physics-informed neural networks: A deep learning framework for solving forward and inverse problems involving nonlinear partial differential equations. Journal of Computational Physics 378, 686–707.</w:t>
      </w:r>
    </w:p>
    <w:p>
      <w:pPr>
        <w:spacing w:line="480" w:lineRule="auto"/>
        <w:ind w:left="720" w:hanging="720"/>
        <w:jc w:val="both"/>
      </w:pPr>
      <w:r>
        <w:rPr>
          <w:rFonts w:ascii="Times New Roman" w:hAnsi="Times New Roman"/>
          <w:sz w:val="24"/>
        </w:rPr>
        <w:t>Rajkumar, R., Lee, I., Sha, L., Stankovic, J., 2010. Cyber-physical systems: The next computing revolution. In: Proceedings of the 47th Design Automation Conference. ACM, pp. 731–736.</w:t>
      </w:r>
    </w:p>
    <w:p>
      <w:pPr>
        <w:spacing w:line="480" w:lineRule="auto"/>
        <w:ind w:left="720" w:hanging="720"/>
        <w:jc w:val="both"/>
      </w:pPr>
      <w:r>
        <w:rPr>
          <w:rFonts w:ascii="Times New Roman" w:hAnsi="Times New Roman"/>
          <w:sz w:val="24"/>
        </w:rPr>
        <w:t>Rasheed, A., San, O., Kvamsdal, T., 2020. Digital twin: Values, challenges and enablers from a modeling perspective. IEEE Access 8, 21980–22012.</w:t>
      </w:r>
    </w:p>
    <w:p>
      <w:pPr>
        <w:spacing w:line="480" w:lineRule="auto"/>
        <w:ind w:left="720" w:hanging="720"/>
        <w:jc w:val="both"/>
      </w:pPr>
      <w:r>
        <w:rPr>
          <w:rFonts w:ascii="Times New Roman" w:hAnsi="Times New Roman"/>
          <w:sz w:val="24"/>
        </w:rPr>
        <w:t>Rasmussen, J., 1997. Risk management in a dynamic society: A modelling problem. Safety Science 27 (2–3), 183–213.</w:t>
      </w:r>
    </w:p>
    <w:p>
      <w:pPr>
        <w:spacing w:line="480" w:lineRule="auto"/>
        <w:ind w:left="720" w:hanging="720"/>
        <w:jc w:val="both"/>
      </w:pPr>
      <w:r>
        <w:rPr>
          <w:rFonts w:ascii="Times New Roman" w:hAnsi="Times New Roman"/>
          <w:sz w:val="24"/>
        </w:rPr>
        <w:t>Rossman, L.A., 2000. EPANET 2: Users Manual. US Environmental Protection Agency, Cincinnati, OH.</w:t>
      </w:r>
    </w:p>
    <w:p>
      <w:pPr>
        <w:spacing w:line="480" w:lineRule="auto"/>
        <w:ind w:left="720" w:hanging="720"/>
        <w:jc w:val="both"/>
      </w:pPr>
      <w:r>
        <w:rPr>
          <w:rFonts w:ascii="Times New Roman" w:hAnsi="Times New Roman"/>
          <w:sz w:val="24"/>
        </w:rPr>
        <w:t>RTCA, 2012. DO-178C: Software Considerations in Airborne Systems and Equipment Certification. RTCA, Washington, DC.</w:t>
      </w:r>
    </w:p>
    <w:p>
      <w:pPr>
        <w:spacing w:line="480" w:lineRule="auto"/>
        <w:ind w:left="720" w:hanging="720"/>
        <w:jc w:val="both"/>
      </w:pPr>
      <w:r>
        <w:rPr>
          <w:rFonts w:ascii="Times New Roman" w:hAnsi="Times New Roman"/>
          <w:sz w:val="24"/>
        </w:rPr>
        <w:t>Russell, S.J., Norvig, P., 2021. Artificial Intelligence: A Modern Approach, fourth ed. Pearson, Hoboken, NJ.</w:t>
      </w:r>
    </w:p>
    <w:p>
      <w:pPr>
        <w:spacing w:line="480" w:lineRule="auto"/>
        <w:ind w:left="720" w:hanging="720"/>
        <w:jc w:val="both"/>
      </w:pPr>
      <w:r>
        <w:rPr>
          <w:rFonts w:ascii="Times New Roman" w:hAnsi="Times New Roman"/>
          <w:sz w:val="24"/>
        </w:rPr>
        <w:t>SAE International, 2021. SAE J3016: Taxonomy and Definitions for Terms Related to Driving Automation Systems for On-Road Motor Vehicles. SAE International, Warrendale, PA.</w:t>
      </w:r>
    </w:p>
    <w:p>
      <w:pPr>
        <w:spacing w:line="480" w:lineRule="auto"/>
        <w:ind w:left="720" w:hanging="720"/>
        <w:jc w:val="both"/>
      </w:pPr>
      <w:r>
        <w:rPr>
          <w:rFonts w:ascii="Times New Roman" w:hAnsi="Times New Roman"/>
          <w:sz w:val="24"/>
        </w:rPr>
        <w:t>Scattolini, R., 2009. Architectures for distributed and hierarchical model predictive control—A review. Journal of Process Control 19 (5), 723–731.</w:t>
      </w:r>
    </w:p>
    <w:p>
      <w:pPr>
        <w:spacing w:line="480" w:lineRule="auto"/>
        <w:ind w:left="720" w:hanging="720"/>
        <w:jc w:val="both"/>
      </w:pPr>
      <w:r>
        <w:rPr>
          <w:rFonts w:ascii="Times New Roman" w:hAnsi="Times New Roman"/>
          <w:sz w:val="24"/>
        </w:rPr>
        <w:t>Schuurmans, J., Clemmens, A.J., Dijkstra, S., Hof, A., Brouwer, R., 1999. Modeling of irrigation and drainage canals for controller design. Journal of Irrigation and Drainage Engineering 125 (6), 338–344.</w:t>
      </w:r>
    </w:p>
    <w:p>
      <w:pPr>
        <w:spacing w:line="480" w:lineRule="auto"/>
        <w:ind w:left="720" w:hanging="720"/>
        <w:jc w:val="both"/>
      </w:pPr>
      <w:r>
        <w:rPr>
          <w:rFonts w:ascii="Times New Roman" w:hAnsi="Times New Roman"/>
          <w:sz w:val="24"/>
        </w:rPr>
        <w:t>Silver, D., Singh, S., Precup, D., Sutton, R.S., 2021. Reward is enough. Artificial Intelligence 299, 103535.</w:t>
      </w:r>
    </w:p>
    <w:p>
      <w:pPr>
        <w:spacing w:line="480" w:lineRule="auto"/>
        <w:ind w:left="720" w:hanging="720"/>
        <w:jc w:val="both"/>
      </w:pPr>
      <w:r>
        <w:rPr>
          <w:rFonts w:ascii="Times New Roman" w:hAnsi="Times New Roman"/>
          <w:sz w:val="24"/>
        </w:rPr>
        <w:t>Stanton, N.A., Chambers, P.R.G., Piggott, J., 2001. Situational awareness and safety. Safety Science 39 (3), 189–204.</w:t>
      </w:r>
    </w:p>
    <w:p>
      <w:pPr>
        <w:spacing w:line="480" w:lineRule="auto"/>
        <w:ind w:left="720" w:hanging="720"/>
        <w:jc w:val="both"/>
      </w:pPr>
      <w:r>
        <w:rPr>
          <w:rFonts w:ascii="Times New Roman" w:hAnsi="Times New Roman"/>
          <w:sz w:val="24"/>
        </w:rPr>
        <w:t>Stouffer, K., Falco, J., Scarfone, K., 2011. Guide to Industrial Control Systems (ICS) Security. NIST Special Publication 800-82, National Institute of Standards and Technology, Gaithersburg, MD.</w:t>
      </w:r>
    </w:p>
    <w:p>
      <w:pPr>
        <w:spacing w:line="480" w:lineRule="auto"/>
        <w:ind w:left="720" w:hanging="720"/>
        <w:jc w:val="both"/>
      </w:pPr>
      <w:r>
        <w:rPr>
          <w:rFonts w:ascii="Times New Roman" w:hAnsi="Times New Roman"/>
          <w:sz w:val="24"/>
        </w:rPr>
        <w:t>Taormina, R., Galelli, S., Tippenhauer, N.O., Salomons, E., Ostfeld, A., Eliades, D.G., et al., 2018. Battle of the attack detection algorithms: Disclosing cyber attacks on water distribution networks. Journal of Water Resources Planning and Management 144 (8), 04018048.</w:t>
      </w:r>
    </w:p>
    <w:p>
      <w:pPr>
        <w:spacing w:line="480" w:lineRule="auto"/>
        <w:ind w:left="720" w:hanging="720"/>
        <w:jc w:val="both"/>
      </w:pPr>
      <w:r>
        <w:rPr>
          <w:rFonts w:ascii="Times New Roman" w:hAnsi="Times New Roman"/>
          <w:sz w:val="24"/>
        </w:rPr>
        <w:t>Teng, J., Jakeman, A.J., Vaze, J., Croke, B.F.W., Dutta, D., Kim, S., 2017. Flood inundation modelling: A review of methods, recent advances and uncertainty analysis. Environmental Modelling &amp; Software 90, 201–216.</w:t>
      </w:r>
    </w:p>
    <w:p>
      <w:pPr>
        <w:spacing w:line="480" w:lineRule="auto"/>
        <w:ind w:left="720" w:hanging="720"/>
        <w:jc w:val="both"/>
      </w:pPr>
      <w:r>
        <w:rPr>
          <w:rFonts w:ascii="Times New Roman" w:hAnsi="Times New Roman"/>
          <w:sz w:val="24"/>
        </w:rPr>
        <w:t>Ulanicki, B., Bounds, P.L.M., Rance, J.P., Reynolds, L., 2000. Open and closed loop pressure control for leakage reduction. Urban Water 2 (2), 105–114.</w:t>
      </w:r>
    </w:p>
    <w:p>
      <w:pPr>
        <w:spacing w:line="480" w:lineRule="auto"/>
        <w:ind w:left="720" w:hanging="720"/>
        <w:jc w:val="both"/>
      </w:pPr>
      <w:r>
        <w:rPr>
          <w:rFonts w:ascii="Times New Roman" w:hAnsi="Times New Roman"/>
          <w:sz w:val="24"/>
        </w:rPr>
        <w:t>Van Overloop, P.J., 2006. Model Predictive Control on Open Water Systems. Ph.D. thesis, Delft University of Technology, Delft.</w:t>
      </w:r>
    </w:p>
    <w:p>
      <w:pPr>
        <w:spacing w:line="480" w:lineRule="auto"/>
        <w:ind w:left="720" w:hanging="720"/>
        <w:jc w:val="both"/>
      </w:pPr>
      <w:r>
        <w:rPr>
          <w:rFonts w:ascii="Times New Roman" w:hAnsi="Times New Roman"/>
          <w:sz w:val="24"/>
        </w:rPr>
        <w:t>Van Overloop, P.J., Clemmens, A.J., Strand, R.J., Wagemaker, R.M., Bautista, E., 2010. Real-time implementation of model predictive control on Maricopa-Stanfield Irrigation and Drainage District's WM Canal. Journal of Irrigation and Drainage Engineering 136 (11), 747–756.</w:t>
      </w:r>
    </w:p>
    <w:p>
      <w:pPr>
        <w:spacing w:line="480" w:lineRule="auto"/>
        <w:ind w:left="720" w:hanging="720"/>
        <w:jc w:val="both"/>
      </w:pPr>
      <w:r>
        <w:rPr>
          <w:rFonts w:ascii="Times New Roman" w:hAnsi="Times New Roman"/>
          <w:sz w:val="24"/>
        </w:rPr>
        <w:t>Van Ratingen, M., Williams, A., Ghia, A., Brusoni, G., Lowne, R., 2016. Fifty years of vehicle safety research: The contribution of Euro NCAP. Proceedings of the Institution of Mechanical Engineers, Part D: Journal of Automobile Engineering 230 (1), 1–12.</w:t>
      </w:r>
    </w:p>
    <w:p>
      <w:pPr>
        <w:spacing w:line="480" w:lineRule="auto"/>
        <w:ind w:left="720" w:hanging="720"/>
        <w:jc w:val="both"/>
      </w:pPr>
      <w:r>
        <w:rPr>
          <w:rFonts w:ascii="Times New Roman" w:hAnsi="Times New Roman"/>
          <w:sz w:val="24"/>
        </w:rPr>
        <w:t>Wahlin, B.T., Clemmens, A.J., 2006. Automatic downstream water-level feedback control of branching canal networks: Theory. Journal of Irrigation and Drainage Engineering 132 (3), 198–207.</w:t>
      </w:r>
    </w:p>
    <w:p>
      <w:pPr>
        <w:spacing w:line="480" w:lineRule="auto"/>
        <w:ind w:left="720" w:hanging="720"/>
        <w:jc w:val="both"/>
      </w:pPr>
      <w:r>
        <w:rPr>
          <w:rFonts w:ascii="Times New Roman" w:hAnsi="Times New Roman"/>
          <w:sz w:val="24"/>
        </w:rPr>
        <w:t>Wang, Z., Hong, T., 2020. Reinforcement learning for building controls: The opportunities and challenges. Applied Energy 269, 115036.</w:t>
      </w:r>
    </w:p>
    <w:p>
      <w:pPr>
        <w:spacing w:line="480" w:lineRule="auto"/>
        <w:ind w:left="720" w:hanging="720"/>
        <w:jc w:val="both"/>
      </w:pPr>
      <w:r>
        <w:rPr>
          <w:rFonts w:ascii="Times New Roman" w:hAnsi="Times New Roman"/>
          <w:sz w:val="24"/>
        </w:rPr>
        <w:t>Weyer, E., 2001. System identification of an open water channel. Control Engineering Practice 9 (12), 1289–1299.</w:t>
      </w:r>
    </w:p>
    <w:p>
      <w:pPr>
        <w:spacing w:line="480" w:lineRule="auto"/>
        <w:ind w:left="720" w:hanging="720"/>
        <w:jc w:val="both"/>
      </w:pPr>
      <w:r>
        <w:rPr>
          <w:rFonts w:ascii="Times New Roman" w:hAnsi="Times New Roman"/>
          <w:sz w:val="24"/>
        </w:rPr>
        <w:t>Wooldridge, M., 2009. An Introduction to MultiAgent Systems, second ed. Wiley, Chichester.</w:t>
      </w:r>
    </w:p>
    <w:p>
      <w:pPr>
        <w:spacing w:line="480" w:lineRule="auto"/>
        <w:ind w:left="720" w:hanging="720"/>
        <w:jc w:val="both"/>
      </w:pPr>
      <w:r>
        <w:rPr>
          <w:rFonts w:ascii="Times New Roman" w:hAnsi="Times New Roman"/>
          <w:sz w:val="24"/>
        </w:rPr>
        <w:t>Wylie, E.B., 1969. Control of transient free-surface flow. Journal of the Hydraulics Division, ASCE 95 (1), 347–362.</w:t>
      </w:r>
    </w:p>
    <w:p>
      <w:pPr>
        <w:spacing w:line="480" w:lineRule="auto"/>
        <w:ind w:left="720" w:hanging="720"/>
        <w:jc w:val="both"/>
      </w:pPr>
      <w:r>
        <w:rPr>
          <w:rFonts w:ascii="Times New Roman" w:hAnsi="Times New Roman"/>
          <w:sz w:val="24"/>
        </w:rPr>
        <w:t>Yan, P.R., Zhang, Z., Lei, X.H., Hou, Q.Z., Wang, H., 2022. A multi-objective optimal control model of cascade pumping stations considering both cost and safety. Journal of Cleaner Production 345, 131171.</w:t>
      </w:r>
    </w:p>
    <w:p>
      <w:pPr>
        <w:spacing w:line="480" w:lineRule="auto"/>
        <w:ind w:left="720" w:hanging="720"/>
        <w:jc w:val="both"/>
      </w:pPr>
      <w:r>
        <w:rPr>
          <w:rFonts w:ascii="Times New Roman" w:hAnsi="Times New Roman"/>
          <w:sz w:val="24"/>
        </w:rPr>
        <w:t>Yang, Y., Zhang, Z., Fei-Fei, L., Wu, J., 2024. Physical intelligence: connecting the physical world with AI. Nature Machine Intelligence 6, 1–3.</w:t>
      </w:r>
    </w:p>
    <w:p>
      <w:pPr>
        <w:spacing w:line="480" w:lineRule="auto"/>
        <w:ind w:left="720" w:hanging="720"/>
        <w:jc w:val="both"/>
      </w:pPr>
      <w:r>
        <w:rPr>
          <w:rFonts w:ascii="Times New Roman" w:hAnsi="Times New Roman"/>
          <w:sz w:val="24"/>
        </w:rPr>
        <w:t>Ye, S., Wang, C., Wang, Y., Lei, X., Wang, X., Yang, G., 2023. Real-time model predictive control study of run-of-river hydropower plants with data-driven and physics-based coupled model. Journal of Hydrology 618, 129250.</w:t>
      </w:r>
    </w:p>
    <w:p>
      <w:pPr>
        <w:spacing w:line="480" w:lineRule="auto"/>
        <w:ind w:left="720" w:hanging="720"/>
        <w:jc w:val="both"/>
      </w:pPr>
      <w:r>
        <w:rPr>
          <w:rFonts w:ascii="Times New Roman" w:hAnsi="Times New Roman"/>
          <w:sz w:val="24"/>
        </w:rPr>
        <w:t>Yurtsever, E., Lambert, J., Carballo, A., Takeda, K., 2020. A survey of autonomous driving: Common practices and emerging technologies. IEEE Access 8, 58443–58469.</w:t>
      </w:r>
    </w:p>
    <w:p>
      <w:pPr>
        <w:spacing w:line="480" w:lineRule="auto"/>
        <w:ind w:left="720" w:hanging="720"/>
        <w:jc w:val="both"/>
      </w:pPr>
      <w:r>
        <w:rPr>
          <w:rFonts w:ascii="Times New Roman" w:hAnsi="Times New Roman"/>
          <w:sz w:val="24"/>
        </w:rPr>
        <w:t>Zheng, F., Zecchin, A.C., Maier, H.R., Simpson, A.R., 2023. Comparison of the searching behavior of NSGA-II, SAMODE, and Borg MOEAs applied to water distribution system design problems. Journal of Water Resources Planning and Management 149 (3), 04023001.</w:t>
      </w:r>
    </w:p>
    <w:p>
      <w:pPr>
        <w:spacing w:line="480" w:lineRule="auto"/>
        <w:ind w:left="720" w:hanging="720"/>
        <w:jc w:val="both"/>
      </w:pPr>
      <w:r>
        <w:rPr>
          <w:rFonts w:ascii="Times New Roman" w:hAnsi="Times New Roman"/>
          <w:sz w:val="24"/>
        </w:rPr>
        <w:t>Zheng, Z.L., Wang, Z.J., Zhao, J.S., Zheng, H., 2019b. Constrained model predictive control algorithm for cascaded irrigation canals. Journal of Irrigation and Drainage Engineering 145 (6), 04019009.</w:t>
      </w:r>
    </w:p>
    <w:p>
      <w:pPr>
        <w:spacing w:line="480" w:lineRule="auto"/>
        <w:ind w:left="720" w:hanging="720"/>
        <w:jc w:val="both"/>
      </w:pPr>
      <w:r>
        <w:rPr>
          <w:rFonts w:ascii="Times New Roman" w:hAnsi="Times New Roman"/>
          <w:sz w:val="24"/>
        </w:rPr>
        <w:t>Zhang, Z., Lei, X.H., Tian, Y., Wang, L.L., Wang, H., 2019. Optimized scheduling of cascade pumping stations in open-channel water transfer systems based on station skipping. Journal of Water Resources Planning and Management 145 (7), 05019011.</w:t>
      </w:r>
    </w:p>
    <w:p>
      <w:pPr>
        <w:spacing w:line="480" w:lineRule="auto"/>
        <w:ind w:left="720" w:hanging="720"/>
        <w:jc w:val="both"/>
      </w:pPr>
      <w:r>
        <w:rPr>
          <w:rFonts w:ascii="Times New Roman" w:hAnsi="Times New Roman"/>
          <w:sz w:val="24"/>
        </w:rPr>
        <w:t>Zhu, Z., Guan, G., Wang, K., 2023. The multi-point hydraulic control method for advanced controller design of the open canal irrigation systems. Journal of Hydroinformatics 25 (2), 258–274.</w:t>
      </w:r>
    </w:p>
    <w:sectPr w:rsidR="00FC693F" w:rsidRPr="0006063C" w:rsidSect="00034616">
      <w:footerReference w:type="default" r:id="rId9"/>
      <w:pgSz w:w="12240" w:h="15840"/>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