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p>
    <w:p>
      <w:pPr>
        <w:pStyle w:val="Author"/>
      </w:pPr>
      <w:r>
        <w:t xml:space="preserve">���������������������T1-CN���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第六章-关键工程实践"/>
    <w:p>
      <w:pPr>
        <w:pStyle w:val="Heading1"/>
      </w:pPr>
      <w:r>
        <w:t xml:space="preserve">第六章 关键工程实践</w:t>
      </w:r>
    </w:p>
    <w:p>
      <w:r>
        <w:pict>
          <v:rect style="width:0;height:1.5pt" o:hralign="center" o:hrstd="t" o:hr="t"/>
        </w:pict>
      </w:r>
    </w:p>
    <w:p>
      <w:pPr>
        <w:pStyle w:val="BlockText"/>
      </w:pPr>
      <w:r>
        <w:rPr>
          <w:bCs/>
          <w:b/>
        </w:rPr>
        <w:t xml:space="preserve">引导案例（多工程综合提炼）</w:t>
      </w:r>
    </w:p>
    <w:p>
      <w:pPr>
        <w:pStyle w:val="BlockText"/>
      </w:pPr>
      <w:r>
        <w:t xml:space="preserve">一个曾被视为”行业标杆”的调水工程，在投入自动化运行三年后，出现了令管理者困惑的”效果衰减”现象。第一年，模型预测控制系统表现优异——水位偏差控制在±3 cm以内，节水率提升12%，调度员交口称赞。第二年，偏差开始增大到±8 cm，部分工况下甚至突破±15 cm红线，系统降级频率从月均2次上升到月均11次。到第三年，现场运维团队发现了问题根源：渠道淤积使水力特性发生了缓慢漂移，但没有人负责定期更新模型参数；极端工况下的降级策略在设计时考虑不充分，导致”接得上但接不稳”；人工接管记录分散在三个不同系统中，无法完整复盘一次事件的全过程。</w:t>
      </w:r>
    </w:p>
    <w:p>
      <w:pPr>
        <w:pStyle w:val="BlockText"/>
      </w:pPr>
      <w:r>
        <w:t xml:space="preserve">这不是算法问题——控制算法本身依然是当时最先进的。这是工程实践问题：缺少模型校正的长效机制、缺少降级策略的闭环验证、缺少运行记录的统一审计链。实践表明，真正的难点不在”做出一次好控制”，而在”持续、可审计、可复制地保持好控制”。</w:t>
      </w:r>
    </w:p>
    <w:p>
      <w:pPr>
        <w:pStyle w:val="FirstParagraph"/>
      </w:pPr>
      <w:r>
        <w:rPr>
          <w:bCs/>
          <w:b/>
        </w:rPr>
        <w:t xml:space="preserve">本章目标</w:t>
      </w:r>
      <w:r>
        <w:t xml:space="preserve">：通过真实工程案例，展示第二至五章建立的理论框架如何在实际水利工程中落地。本章的核心信息不是”指标提升了多少”（尽管这些数据重要），而是”如何建立可持续运行的工程体系”。读完本章，读者应能回答三个问题：CHS技术在不同类型水利工程中的落地路径有何异同？从实验室到工程现场，最容易被低估的困难是什么？一个新工程在规划智能化改造时，应按什么顺序推进？</w:t>
      </w:r>
    </w:p>
    <w:p>
      <w:r>
        <w:pict>
          <v:rect style="width:0;height:1.5pt" o:hralign="center" o:hrstd="t" o:hr="t"/>
        </w:pict>
      </w:r>
    </w:p>
    <w:bookmarkStart w:id="23" w:name="工程实践的评价框架"/>
    <w:p>
      <w:pPr>
        <w:pStyle w:val="Heading2"/>
      </w:pPr>
      <w:r>
        <w:t xml:space="preserve">6.1 工程实践的评价框架</w:t>
      </w:r>
    </w:p>
    <w:bookmarkStart w:id="20" w:name="为什么需要统一的评价框架"/>
    <w:p>
      <w:pPr>
        <w:pStyle w:val="Heading3"/>
      </w:pPr>
      <w:r>
        <w:t xml:space="preserve">6.1.1 为什么需要统一的评价框架</w:t>
      </w:r>
    </w:p>
    <w:p>
      <w:pPr>
        <w:pStyle w:val="FirstParagraph"/>
      </w:pPr>
      <w:r>
        <w:t xml:space="preserve">工程界有一种常见倾向：用最终效果指标来评判一个技术方案的成败——水位偏差降低了多少、节水率提升了多少、调度效率提高了多少。这些指标当然重要，但它们存在三个根本局限。</w:t>
      </w:r>
    </w:p>
    <w:p>
      <w:pPr>
        <w:pStyle w:val="BodyText"/>
      </w:pPr>
      <w:r>
        <w:t xml:space="preserve">第一，</w:t>
      </w:r>
      <w:r>
        <w:rPr>
          <w:bCs/>
          <w:b/>
        </w:rPr>
        <w:t xml:space="preserve">效果指标不可比</w:t>
      </w:r>
      <w:r>
        <w:t xml:space="preserve">。不同工程的规模、约束条件和运行环境差异巨大。胶东调水的水位偏差±3 cm和某灌区的±10 cm，不能简单比较优劣——前者是500 km长距离明渠调水工程，后者可能是总长不足20 km的灌溉支渠系统，二者的控制难度不在一个量级。</w:t>
      </w:r>
    </w:p>
    <w:p>
      <w:pPr>
        <w:pStyle w:val="BodyText"/>
      </w:pPr>
      <w:r>
        <w:t xml:space="preserve">第二，</w:t>
      </w:r>
      <w:r>
        <w:rPr>
          <w:bCs/>
          <w:b/>
        </w:rPr>
        <w:t xml:space="preserve">效果指标不持久</w:t>
      </w:r>
      <w:r>
        <w:t xml:space="preserve">。引导案例中描述的”效果衰减”现象在工程界并非个案。如果缺乏长效运维机制，任何控制系统的性能都会随工程条件变化而退化。一个在验收时表现优异但三年后需要推倒重来的系统，不能算成功。</w:t>
      </w:r>
    </w:p>
    <w:p>
      <w:pPr>
        <w:pStyle w:val="BodyText"/>
      </w:pPr>
      <w:r>
        <w:t xml:space="preserve">第三，</w:t>
      </w:r>
      <w:r>
        <w:rPr>
          <w:bCs/>
          <w:b/>
        </w:rPr>
        <w:t xml:space="preserve">效果指标不可迁移</w:t>
      </w:r>
      <w:r>
        <w:t xml:space="preserve">。</w:t>
      </w:r>
      <w:r>
        <w:t xml:space="preserve">“</w:t>
      </w:r>
      <w:r>
        <w:t xml:space="preserve">水位偏差降低了62%</w:t>
      </w:r>
      <w:r>
        <w:t xml:space="preserve">”</w:t>
      </w:r>
      <w:r>
        <w:t xml:space="preserve">这个结论无法直接帮助另一个工程复制成功经验。真正可迁移的是方法、路径和教训——做对了什么、做错了什么、为什么。</w:t>
      </w:r>
    </w:p>
    <w:p>
      <w:pPr>
        <w:pStyle w:val="BodyText"/>
      </w:pPr>
      <w:r>
        <w:t xml:space="preserve">基于以上考虑，本章采用统一的五维评价框架来分析每个工程案例，使不同案例之间可以在方法论层面进行对照。</w:t>
      </w:r>
    </w:p>
    <w:bookmarkEnd w:id="20"/>
    <w:bookmarkStart w:id="21" w:name="五维评价框架"/>
    <w:p>
      <w:pPr>
        <w:pStyle w:val="Heading3"/>
      </w:pPr>
      <w:r>
        <w:t xml:space="preserve">6.1.2 五维评价框架</w:t>
      </w:r>
    </w:p>
    <w:p>
      <w:pPr>
        <w:pStyle w:val="FirstParagraph"/>
      </w:pPr>
      <w:r>
        <w:t xml:space="preserve">表6-1 工程实践五维评价框架</w:t>
      </w:r>
    </w:p>
    <w:tbl>
      <w:tblPr>
        <w:tblStyle w:val="Table"/>
        <w:tblW w:type="pct" w:w="5000"/>
        <w:tblLook w:firstRow="1" w:lastRow="0" w:firstColumn="0" w:lastColumn="0" w:noHBand="0" w:noVBand="0" w:val="0020"/>
        <w:jc w:val="start"/>
      </w:tblPr>
      <w:tblGrid>
        <w:gridCol w:w="1760"/>
        <w:gridCol w:w="2640"/>
        <w:gridCol w:w="3520"/>
      </w:tblGrid>
      <w:tr>
        <w:trPr>
          <w:tblHeader w:val="true"/>
        </w:trPr>
        <w:tc>
          <w:tcPr/>
          <w:p>
            <w:pPr>
              <w:pStyle w:val="Compact"/>
              <w:jc w:val="left"/>
            </w:pPr>
            <w:r>
              <w:t xml:space="preserve">维度</w:t>
            </w:r>
          </w:p>
        </w:tc>
        <w:tc>
          <w:tcPr/>
          <w:p>
            <w:pPr>
              <w:pStyle w:val="Compact"/>
              <w:jc w:val="left"/>
            </w:pPr>
            <w:r>
              <w:t xml:space="preserve">核心问题</w:t>
            </w:r>
          </w:p>
        </w:tc>
        <w:tc>
          <w:tcPr/>
          <w:p>
            <w:pPr>
              <w:pStyle w:val="Compact"/>
              <w:jc w:val="left"/>
            </w:pPr>
            <w:r>
              <w:t xml:space="preserve">对应CHS概念</w:t>
            </w:r>
          </w:p>
        </w:tc>
      </w:tr>
      <w:tr>
        <w:tc>
          <w:tcPr/>
          <w:p>
            <w:pPr>
              <w:pStyle w:val="Compact"/>
              <w:jc w:val="left"/>
            </w:pPr>
            <w:r>
              <w:rPr>
                <w:bCs/>
                <w:b/>
              </w:rPr>
              <w:t xml:space="preserve">场景定义</w:t>
            </w:r>
          </w:p>
        </w:tc>
        <w:tc>
          <w:tcPr/>
          <w:p>
            <w:pPr>
              <w:pStyle w:val="Compact"/>
              <w:jc w:val="left"/>
            </w:pPr>
            <w:r>
              <w:t xml:space="preserve">工程要解决什么问题？约束条件是什么？</w:t>
            </w:r>
          </w:p>
        </w:tc>
        <w:tc>
          <w:tcPr/>
          <w:p>
            <w:pPr>
              <w:pStyle w:val="Compact"/>
              <w:jc w:val="left"/>
            </w:pPr>
            <w:r>
              <w:t xml:space="preserve">运行设计域（ODD）</w:t>
            </w:r>
          </w:p>
        </w:tc>
      </w:tr>
      <w:tr>
        <w:tc>
          <w:tcPr/>
          <w:p>
            <w:pPr>
              <w:pStyle w:val="Compact"/>
              <w:jc w:val="left"/>
            </w:pPr>
            <w:r>
              <w:rPr>
                <w:bCs/>
                <w:b/>
              </w:rPr>
              <w:t xml:space="preserve">架构选择</w:t>
            </w:r>
          </w:p>
        </w:tc>
        <w:tc>
          <w:tcPr/>
          <w:p>
            <w:pPr>
              <w:pStyle w:val="Compact"/>
              <w:jc w:val="left"/>
            </w:pPr>
            <w:r>
              <w:t xml:space="preserve">采用了什么控制架构？为什么选择这种架构？</w:t>
            </w:r>
          </w:p>
        </w:tc>
        <w:tc>
          <w:tcPr/>
          <w:p>
            <w:pPr>
              <w:pStyle w:val="Compact"/>
              <w:jc w:val="left"/>
            </w:pPr>
            <w:r>
              <w:t xml:space="preserve">HydroOS三层架构、SCADA+MAS融合</w:t>
            </w:r>
          </w:p>
        </w:tc>
      </w:tr>
      <w:tr>
        <w:tc>
          <w:tcPr/>
          <w:p>
            <w:pPr>
              <w:pStyle w:val="Compact"/>
              <w:jc w:val="left"/>
            </w:pPr>
            <w:r>
              <w:rPr>
                <w:bCs/>
                <w:b/>
              </w:rPr>
              <w:t xml:space="preserve">安全设计</w:t>
            </w:r>
          </w:p>
        </w:tc>
        <w:tc>
          <w:tcPr/>
          <w:p>
            <w:pPr>
              <w:pStyle w:val="Compact"/>
              <w:jc w:val="left"/>
            </w:pPr>
            <w:r>
              <w:t xml:space="preserve">如何保障运行安全？降级策略是什么？</w:t>
            </w:r>
          </w:p>
        </w:tc>
        <w:tc>
          <w:tcPr/>
          <w:p>
            <w:pPr>
              <w:pStyle w:val="Compact"/>
              <w:jc w:val="left"/>
            </w:pPr>
            <w:r>
              <w:t xml:space="preserve">安全包络、四态机、策略门禁</w:t>
            </w:r>
          </w:p>
        </w:tc>
      </w:tr>
      <w:tr>
        <w:tc>
          <w:tcPr/>
          <w:p>
            <w:pPr>
              <w:pStyle w:val="Compact"/>
              <w:jc w:val="left"/>
            </w:pPr>
            <w:r>
              <w:rPr>
                <w:bCs/>
                <w:b/>
              </w:rPr>
              <w:t xml:space="preserve">验证路径</w:t>
            </w:r>
          </w:p>
        </w:tc>
        <w:tc>
          <w:tcPr/>
          <w:p>
            <w:pPr>
              <w:pStyle w:val="Compact"/>
              <w:jc w:val="left"/>
            </w:pPr>
            <w:r>
              <w:t xml:space="preserve">如何确认方案有效？经过了哪些在环测试？</w:t>
            </w:r>
          </w:p>
        </w:tc>
        <w:tc>
          <w:tcPr/>
          <w:p>
            <w:pPr>
              <w:pStyle w:val="Compact"/>
              <w:jc w:val="left"/>
            </w:pPr>
            <w:r>
              <w:t xml:space="preserve">MIL/SIL/HIL三级验证</w:t>
            </w:r>
          </w:p>
        </w:tc>
      </w:tr>
      <w:tr>
        <w:tc>
          <w:tcPr/>
          <w:p>
            <w:pPr>
              <w:pStyle w:val="Compact"/>
              <w:jc w:val="left"/>
            </w:pPr>
            <w:r>
              <w:rPr>
                <w:bCs/>
                <w:b/>
              </w:rPr>
              <w:t xml:space="preserve">运维闭环</w:t>
            </w:r>
          </w:p>
        </w:tc>
        <w:tc>
          <w:tcPr/>
          <w:p>
            <w:pPr>
              <w:pStyle w:val="Compact"/>
              <w:jc w:val="left"/>
            </w:pPr>
            <w:r>
              <w:t xml:space="preserve">如何保持长期运行效果？如何演进升级？</w:t>
            </w:r>
          </w:p>
        </w:tc>
        <w:tc>
          <w:tcPr/>
          <w:p>
            <w:pPr>
              <w:pStyle w:val="Compact"/>
              <w:jc w:val="left"/>
            </w:pPr>
            <w:r>
              <w:t xml:space="preserve">审计链、模型校正、WNAL等级跃迁</w:t>
            </w:r>
          </w:p>
        </w:tc>
      </w:tr>
    </w:tbl>
    <w:p>
      <w:pPr>
        <w:pStyle w:val="BodyText"/>
      </w:pPr>
      <w:r>
        <w:t xml:space="preserve">这五个维度形成一个完整的”从设计到运维”的评价链条。前两个维度回答”做了什么”，中间两个维度回答”如何保障”，最后一个维度回答”如何持续”。读者在阅读后续案例时，可以对照这五个维度逐一检视。</w:t>
      </w:r>
    </w:p>
    <w:bookmarkEnd w:id="21"/>
    <w:bookmarkStart w:id="22" w:name="案例选择的考虑"/>
    <w:p>
      <w:pPr>
        <w:pStyle w:val="Heading3"/>
      </w:pPr>
      <w:r>
        <w:t xml:space="preserve">6.1.3 案例选择的考虑</w:t>
      </w:r>
    </w:p>
    <w:p>
      <w:pPr>
        <w:pStyle w:val="FirstParagraph"/>
      </w:pPr>
      <w:r>
        <w:t xml:space="preserve">本章选择三个主要案例和若干国际对照案例。三个主要案例的选择基于两个原则：覆盖不同类型的水利工程、体现CHS技术从理论到实践的不同阶段。</w:t>
      </w:r>
    </w:p>
    <w:p>
      <w:pPr>
        <w:pStyle w:val="BodyText"/>
      </w:pPr>
      <w:r>
        <w:t xml:space="preserve">表6-2 本章案例概览</w:t>
      </w:r>
    </w:p>
    <w:tbl>
      <w:tblPr>
        <w:tblStyle w:val="Table"/>
        <w:tblW w:type="pct" w:w="5000"/>
        <w:tblLook w:firstRow="1" w:lastRow="0" w:firstColumn="0" w:lastColumn="0" w:noHBand="0" w:noVBand="0" w:val="0020"/>
        <w:jc w:val="start"/>
      </w:tblPr>
      <w:tblGrid>
        <w:gridCol w:w="1056"/>
        <w:gridCol w:w="1584"/>
        <w:gridCol w:w="1584"/>
        <w:gridCol w:w="2112"/>
        <w:gridCol w:w="1584"/>
      </w:tblGrid>
      <w:tr>
        <w:trPr>
          <w:tblHeader w:val="true"/>
        </w:trPr>
        <w:tc>
          <w:tcPr/>
          <w:p>
            <w:pPr>
              <w:pStyle w:val="Compact"/>
              <w:jc w:val="left"/>
            </w:pPr>
            <w:r>
              <w:t xml:space="preserve">案例</w:t>
            </w:r>
          </w:p>
        </w:tc>
        <w:tc>
          <w:tcPr/>
          <w:p>
            <w:pPr>
              <w:pStyle w:val="Compact"/>
              <w:jc w:val="left"/>
            </w:pPr>
            <w:r>
              <w:t xml:space="preserve">工程类型</w:t>
            </w:r>
          </w:p>
        </w:tc>
        <w:tc>
          <w:tcPr/>
          <w:p>
            <w:pPr>
              <w:pStyle w:val="Compact"/>
              <w:jc w:val="left"/>
            </w:pPr>
            <w:r>
              <w:t xml:space="preserve">核心挑战</w:t>
            </w:r>
          </w:p>
        </w:tc>
        <w:tc>
          <w:tcPr/>
          <w:p>
            <w:pPr>
              <w:pStyle w:val="Compact"/>
              <w:jc w:val="left"/>
            </w:pPr>
            <w:r>
              <w:t xml:space="preserve">CHS技术焦点</w:t>
            </w:r>
          </w:p>
        </w:tc>
        <w:tc>
          <w:tcPr/>
          <w:p>
            <w:pPr>
              <w:pStyle w:val="Compact"/>
              <w:jc w:val="left"/>
            </w:pPr>
            <w:r>
              <w:t xml:space="preserve">WNAL等级</w:t>
            </w:r>
          </w:p>
        </w:tc>
      </w:tr>
      <w:tr>
        <w:tc>
          <w:tcPr/>
          <w:p>
            <w:pPr>
              <w:pStyle w:val="Compact"/>
              <w:jc w:val="left"/>
            </w:pPr>
            <w:r>
              <w:t xml:space="preserve">胶东调水</w:t>
            </w:r>
          </w:p>
        </w:tc>
        <w:tc>
          <w:tcPr/>
          <w:p>
            <w:pPr>
              <w:pStyle w:val="Compact"/>
              <w:jc w:val="left"/>
            </w:pPr>
            <w:r>
              <w:t xml:space="preserve">长距离明渠调水</w:t>
            </w:r>
          </w:p>
        </w:tc>
        <w:tc>
          <w:tcPr/>
          <w:p>
            <w:pPr>
              <w:pStyle w:val="Compact"/>
              <w:jc w:val="left"/>
            </w:pPr>
            <w:r>
              <w:t xml:space="preserve">链路长、节点多、时滞显著</w:t>
            </w:r>
          </w:p>
        </w:tc>
        <w:tc>
          <w:tcPr/>
          <w:p>
            <w:pPr>
              <w:pStyle w:val="Compact"/>
              <w:jc w:val="left"/>
            </w:pPr>
            <w:r>
              <w:t xml:space="preserve">MPC+HDC+在环验证</w:t>
            </w:r>
          </w:p>
        </w:tc>
        <w:tc>
          <w:tcPr/>
          <w:p>
            <w:pPr>
              <w:pStyle w:val="Compact"/>
              <w:jc w:val="left"/>
            </w:pPr>
            <w:r>
              <w:t xml:space="preserve">L2→L3跃迁</w:t>
            </w:r>
          </w:p>
        </w:tc>
      </w:tr>
      <w:tr>
        <w:tc>
          <w:tcPr/>
          <w:p>
            <w:pPr>
              <w:pStyle w:val="Compact"/>
              <w:jc w:val="left"/>
            </w:pPr>
            <w:r>
              <w:t xml:space="preserve">沙坪水电站</w:t>
            </w:r>
          </w:p>
        </w:tc>
        <w:tc>
          <w:tcPr/>
          <w:p>
            <w:pPr>
              <w:pStyle w:val="Compact"/>
              <w:jc w:val="left"/>
            </w:pPr>
            <w:r>
              <w:t xml:space="preserve">梯级水电枢纽</w:t>
            </w:r>
          </w:p>
        </w:tc>
        <w:tc>
          <w:tcPr/>
          <w:p>
            <w:pPr>
              <w:pStyle w:val="Compact"/>
              <w:jc w:val="left"/>
            </w:pPr>
            <w:r>
              <w:t xml:space="preserve">发电与泄洪多目标冲突</w:t>
            </w:r>
          </w:p>
        </w:tc>
        <w:tc>
          <w:tcPr/>
          <w:p>
            <w:pPr>
              <w:pStyle w:val="Compact"/>
              <w:jc w:val="left"/>
            </w:pPr>
            <w:r>
              <w:t xml:space="preserve">一体化智能控制+认知AI</w:t>
            </w:r>
          </w:p>
        </w:tc>
        <w:tc>
          <w:tcPr/>
          <w:p>
            <w:pPr>
              <w:pStyle w:val="Compact"/>
              <w:jc w:val="left"/>
            </w:pPr>
            <w:r>
              <w:t xml:space="preserve">L1→L2跃迁</w:t>
            </w:r>
          </w:p>
        </w:tc>
      </w:tr>
      <w:tr>
        <w:tc>
          <w:tcPr/>
          <w:p>
            <w:pPr>
              <w:pStyle w:val="Compact"/>
              <w:jc w:val="left"/>
            </w:pPr>
            <w:r>
              <w:t xml:space="preserve">南水北调中线</w:t>
            </w:r>
          </w:p>
        </w:tc>
        <w:tc>
          <w:tcPr/>
          <w:p>
            <w:pPr>
              <w:pStyle w:val="Compact"/>
              <w:jc w:val="left"/>
            </w:pPr>
            <w:r>
              <w:t xml:space="preserve">超大尺度调水</w:t>
            </w:r>
          </w:p>
        </w:tc>
        <w:tc>
          <w:tcPr/>
          <w:p>
            <w:pPr>
              <w:pStyle w:val="Compact"/>
              <w:jc w:val="left"/>
            </w:pPr>
            <w:r>
              <w:t xml:space="preserve">1,432 km超长输水线</w:t>
            </w:r>
          </w:p>
        </w:tc>
        <w:tc>
          <w:tcPr/>
          <w:p>
            <w:pPr>
              <w:pStyle w:val="Compact"/>
              <w:jc w:val="left"/>
            </w:pPr>
            <w:r>
              <w:t xml:space="preserve">分层分布式控制+应急调度</w:t>
            </w:r>
          </w:p>
        </w:tc>
        <w:tc>
          <w:tcPr/>
          <w:p>
            <w:pPr>
              <w:pStyle w:val="Compact"/>
              <w:jc w:val="left"/>
            </w:pPr>
            <w:r>
              <w:t xml:space="preserve">L1→L2建设中</w:t>
            </w:r>
          </w:p>
        </w:tc>
      </w:tr>
    </w:tbl>
    <w:p>
      <w:pPr>
        <w:pStyle w:val="BodyText"/>
      </w:pPr>
      <w:r>
        <w:t xml:space="preserve">三个案例从不同角度展示了CHS技术的适用性：胶东调水展示了”从理论到L3”的完整跃迁路径；沙坪水电站展示了多目标冲突场景下的一体化控制；南水北调中线展示了超大规模工程的特殊挑战。</w:t>
      </w:r>
    </w:p>
    <w:p>
      <w:pPr>
        <w:pStyle w:val="BodyText"/>
      </w:pPr>
      <w:r>
        <w:t xml:space="preserve">有了评价框架和案例地图，接下来进入第一个核心案例——胶东调水。这是目前CHS技术落地最完整、WNAL等级跃迁最高的工程实践。</w:t>
      </w:r>
    </w:p>
    <w:p>
      <w:r>
        <w:pict>
          <v:rect style="width:0;height:1.5pt" o:hralign="center" o:hrstd="t" o:hr="t"/>
        </w:pict>
      </w:r>
    </w:p>
    <w:bookmarkEnd w:id="22"/>
    <w:bookmarkEnd w:id="23"/>
    <w:bookmarkStart w:id="30" w:name="胶东调水工程长距离明渠协同控制"/>
    <w:p>
      <w:pPr>
        <w:pStyle w:val="Heading2"/>
      </w:pPr>
      <w:r>
        <w:t xml:space="preserve">6.2 胶东调水工程：长距离明渠协同控制</w:t>
      </w:r>
    </w:p>
    <w:bookmarkStart w:id="24" w:name="工程概况与控制挑战"/>
    <w:p>
      <w:pPr>
        <w:pStyle w:val="Heading3"/>
      </w:pPr>
      <w:r>
        <w:t xml:space="preserve">6.2.1 工程概况与控制挑战</w:t>
      </w:r>
    </w:p>
    <w:p>
      <w:pPr>
        <w:pStyle w:val="FirstParagraph"/>
      </w:pPr>
      <w:r>
        <w:t xml:space="preserve">胶东调水工程是山东省大型跨区域调水工程，其核心功能是将黄河水和长江水从鲁中输送至烟台、威海、青岛等胶东半岛城市，保障沿线工农业用水安全。工程干线全长约483 km，包含多级泵站和明渠交替的复杂拓扑结构——水流需要经过泵站提升、明渠输送、倒虹吸穿越、闸门调节等多种水力过程。</w:t>
      </w:r>
    </w:p>
    <w:p>
      <w:pPr>
        <w:pStyle w:val="BodyText"/>
      </w:pPr>
      <w:r>
        <w:t xml:space="preserve">从控制工程的角度看，胶东调水面临三个层次的挑战：</w:t>
      </w:r>
    </w:p>
    <w:p>
      <w:pPr>
        <w:pStyle w:val="BodyText"/>
      </w:pPr>
      <w:r>
        <w:rPr>
          <w:bCs/>
          <w:b/>
        </w:rPr>
        <w:t xml:space="preserve">水力层面的挑战：长时滞与多耦合。</w:t>
      </w:r>
      <w:r>
        <w:t xml:space="preserve"> </w:t>
      </w:r>
      <w:r>
        <w:t xml:space="preserve">明渠非恒定流的传播速度远低于管道系统——在胶东调水的典型渠段中，一次闸门调整的水力响应需要30分钟到数小时才能传播到下游。这意味着控制器在发出指令时，必须”预见”未来的系统状态，而非仅仅响应当前测量值。更复杂的是，多级泵站和渠段之间存在强耦合关系——上游泵站的启停直接影响下游渠段的水位，而下游闸门的调节又会通过回水效应反馈到上游。如果各节点独立控制、互不协调，极易出现”上游加水、下游溢出”或”上下游同时关闸、中间渠段超蓄”的振荡现象。</w:t>
      </w:r>
    </w:p>
    <w:p>
      <w:pPr>
        <w:pStyle w:val="BodyText"/>
      </w:pPr>
      <w:r>
        <w:rPr>
          <w:bCs/>
          <w:b/>
        </w:rPr>
        <w:t xml:space="preserve">运行层面的挑战：多工况切换。</w:t>
      </w:r>
      <w:r>
        <w:t xml:space="preserve"> </w:t>
      </w:r>
      <w:r>
        <w:t xml:space="preserve">胶东调水并非全年恒定流量运行。工程需要应对季节性需水变化（夏季高峰与冬季低谷流量差异可达3—5倍）、计划检修停水（每年至少一次全线停水检修）、突发事件（设备故障、水质异常、极端降雨等）等多种运行工况。每种工况对控制策略的要求不同：正常输水追求经济高效，检修过渡追求平稳安全，应急处置追求快速可靠。系统必须具备在不同工况之间平滑切换的能力。尤其值得注意的是冰期工况——北方渠道在冬季可能形成冰盖，冰盖改变了水流的上边界条件（从自由表面变为固体边界），使水力特性发生质变——Manning粗糙系数增大2—5倍，水位壅高显著，常规控制参数完全失效。胶东调水在冰期需要切换到专用冰期控制模式，其ODD边界与非冰期完全不同。</w:t>
      </w:r>
    </w:p>
    <w:p>
      <w:pPr>
        <w:pStyle w:val="BodyText"/>
      </w:pPr>
      <w:r>
        <w:rPr>
          <w:bCs/>
          <w:b/>
        </w:rPr>
        <w:t xml:space="preserve">管理层面的挑战：多部门协调。</w:t>
      </w:r>
      <w:r>
        <w:t xml:space="preserve"> </w:t>
      </w:r>
      <w:r>
        <w:t xml:space="preserve">胶东调水涉及山东省水利厅、沿线各市水务局、工程管理单位等多个管理主体。控制策略的执行不仅是技术问题，还涉及调度权限、责任边界、信息共享等管理问题。一个技术上最优的调度方案，如果不能获得各管理主体的认同和配合，就无法在实际工程中执行。</w:t>
      </w:r>
    </w:p>
    <w:bookmarkEnd w:id="24"/>
    <w:bookmarkStart w:id="25" w:name="运行设计域odd定义"/>
    <w:p>
      <w:pPr>
        <w:pStyle w:val="Heading3"/>
      </w:pPr>
      <w:r>
        <w:t xml:space="preserve">6.2.2 运行设计域（ODD）定义</w:t>
      </w:r>
    </w:p>
    <w:p>
      <w:pPr>
        <w:pStyle w:val="FirstParagraph"/>
      </w:pPr>
      <w:r>
        <w:t xml:space="preserve">在CHS框架下，胶东调水自主控制系统的ODD定义是所有后续工作的基础——它决定了系统”在什么条件下可以自主运行、在什么条件下必须请求人工接管”。</w:t>
      </w:r>
    </w:p>
    <w:p>
      <w:pPr>
        <w:pStyle w:val="BodyText"/>
      </w:pPr>
      <w:r>
        <w:t xml:space="preserve">表6-3 胶东调水工程ODD定义</w:t>
      </w:r>
    </w:p>
    <w:tbl>
      <w:tblPr>
        <w:tblStyle w:val="Table"/>
        <w:tblW w:type="pct" w:w="5000"/>
        <w:tblLook w:firstRow="1" w:lastRow="0" w:firstColumn="0" w:lastColumn="0" w:noHBand="0" w:noVBand="0" w:val="0020"/>
        <w:jc w:val="start"/>
      </w:tblPr>
      <w:tblGrid>
        <w:gridCol w:w="1516"/>
        <w:gridCol w:w="3201"/>
        <w:gridCol w:w="3201"/>
      </w:tblGrid>
      <w:tr>
        <w:trPr>
          <w:tblHeader w:val="true"/>
        </w:trPr>
        <w:tc>
          <w:tcPr/>
          <w:p>
            <w:pPr>
              <w:pStyle w:val="Compact"/>
              <w:jc w:val="left"/>
            </w:pPr>
            <w:r>
              <w:t xml:space="preserve">ODD维度</w:t>
            </w:r>
          </w:p>
        </w:tc>
        <w:tc>
          <w:tcPr/>
          <w:p>
            <w:pPr>
              <w:pStyle w:val="Compact"/>
              <w:jc w:val="left"/>
            </w:pPr>
            <w:r>
              <w:t xml:space="preserve">WNAL L2（条件辅助）</w:t>
            </w:r>
          </w:p>
        </w:tc>
        <w:tc>
          <w:tcPr/>
          <w:p>
            <w:pPr>
              <w:pStyle w:val="Compact"/>
              <w:jc w:val="left"/>
            </w:pPr>
            <w:r>
              <w:t xml:space="preserve">WNAL L3（条件自主）</w:t>
            </w:r>
          </w:p>
        </w:tc>
      </w:tr>
      <w:tr>
        <w:tc>
          <w:tcPr/>
          <w:p>
            <w:pPr>
              <w:pStyle w:val="Compact"/>
              <w:jc w:val="left"/>
            </w:pPr>
            <w:r>
              <w:t xml:space="preserve">流量范围</w:t>
            </w:r>
          </w:p>
        </w:tc>
        <w:tc>
          <w:tcPr/>
          <w:p>
            <w:pPr>
              <w:pStyle w:val="Compact"/>
              <w:jc w:val="left"/>
            </w:pPr>
            <w:r>
              <w:t xml:space="preserve">设计流量的50%—110%</w:t>
            </w:r>
          </w:p>
        </w:tc>
        <w:tc>
          <w:tcPr/>
          <w:p>
            <w:pPr>
              <w:pStyle w:val="Compact"/>
              <w:jc w:val="left"/>
            </w:pPr>
            <w:r>
              <w:t xml:space="preserve">设计流量的30%—130%</w:t>
            </w:r>
          </w:p>
        </w:tc>
      </w:tr>
      <w:tr>
        <w:tc>
          <w:tcPr/>
          <w:p>
            <w:pPr>
              <w:pStyle w:val="Compact"/>
              <w:jc w:val="left"/>
            </w:pPr>
            <w:r>
              <w:t xml:space="preserve">水位偏差容许</w:t>
            </w:r>
          </w:p>
        </w:tc>
        <w:tc>
          <w:tcPr/>
          <w:p>
            <w:pPr>
              <w:pStyle w:val="Compact"/>
              <w:jc w:val="left"/>
            </w:pPr>
            <w:r>
              <w:t xml:space="preserve">目标水位±15 cm</w:t>
            </w:r>
          </w:p>
        </w:tc>
        <w:tc>
          <w:tcPr/>
          <w:p>
            <w:pPr>
              <w:pStyle w:val="Compact"/>
              <w:jc w:val="left"/>
            </w:pPr>
            <w:r>
              <w:t xml:space="preserve">目标水位±10 cm</w:t>
            </w:r>
          </w:p>
        </w:tc>
      </w:tr>
      <w:tr>
        <w:tc>
          <w:tcPr/>
          <w:p>
            <w:pPr>
              <w:pStyle w:val="Compact"/>
              <w:jc w:val="left"/>
            </w:pPr>
            <w:r>
              <w:t xml:space="preserve">通信可用率</w:t>
            </w:r>
          </w:p>
        </w:tc>
        <w:tc>
          <w:tcPr/>
          <w:p>
            <w:pPr>
              <w:pStyle w:val="Compact"/>
              <w:jc w:val="left"/>
            </w:pPr>
            <w:r>
              <w:t xml:space="preserve">核心链路≥95%</w:t>
            </w:r>
          </w:p>
        </w:tc>
        <w:tc>
          <w:tcPr/>
          <w:p>
            <w:pPr>
              <w:pStyle w:val="Compact"/>
              <w:jc w:val="left"/>
            </w:pPr>
            <w:r>
              <w:t xml:space="preserve">核心链路≥99%</w:t>
            </w:r>
          </w:p>
        </w:tc>
      </w:tr>
      <w:tr>
        <w:tc>
          <w:tcPr/>
          <w:p>
            <w:pPr>
              <w:pStyle w:val="Compact"/>
              <w:jc w:val="left"/>
            </w:pPr>
            <w:r>
              <w:t xml:space="preserve">闸站健康度</w:t>
            </w:r>
          </w:p>
        </w:tc>
        <w:tc>
          <w:tcPr/>
          <w:p>
            <w:pPr>
              <w:pStyle w:val="Compact"/>
              <w:jc w:val="left"/>
            </w:pPr>
            <w:r>
              <w:t xml:space="preserve">关键设备无故障</w:t>
            </w:r>
          </w:p>
        </w:tc>
        <w:tc>
          <w:tcPr/>
          <w:p>
            <w:pPr>
              <w:pStyle w:val="Compact"/>
              <w:jc w:val="left"/>
            </w:pPr>
            <w:r>
              <w:t xml:space="preserve">关键设备无故障+备用可切换</w:t>
            </w:r>
          </w:p>
        </w:tc>
      </w:tr>
      <w:tr>
        <w:tc>
          <w:tcPr/>
          <w:p>
            <w:pPr>
              <w:pStyle w:val="Compact"/>
              <w:jc w:val="left"/>
            </w:pPr>
            <w:r>
              <w:t xml:space="preserve">环境条件</w:t>
            </w:r>
          </w:p>
        </w:tc>
        <w:tc>
          <w:tcPr/>
          <w:p>
            <w:pPr>
              <w:pStyle w:val="Compact"/>
              <w:jc w:val="left"/>
            </w:pPr>
            <w:r>
              <w:t xml:space="preserve">非冰期、非极端降雨</w:t>
            </w:r>
          </w:p>
        </w:tc>
        <w:tc>
          <w:tcPr/>
          <w:p>
            <w:pPr>
              <w:pStyle w:val="Compact"/>
              <w:jc w:val="left"/>
            </w:pPr>
            <w:r>
              <w:t xml:space="preserve">非冰期（冰期有专用模式）</w:t>
            </w:r>
          </w:p>
        </w:tc>
      </w:tr>
      <w:tr>
        <w:tc>
          <w:tcPr/>
          <w:p>
            <w:pPr>
              <w:pStyle w:val="Compact"/>
              <w:jc w:val="left"/>
            </w:pPr>
            <w:r>
              <w:t xml:space="preserve">泵站状态</w:t>
            </w:r>
          </w:p>
        </w:tc>
        <w:tc>
          <w:tcPr/>
          <w:p>
            <w:pPr>
              <w:pStyle w:val="Compact"/>
              <w:jc w:val="left"/>
            </w:pPr>
            <w:r>
              <w:t xml:space="preserve">运行泵数量≥设计台数的70%</w:t>
            </w:r>
          </w:p>
        </w:tc>
        <w:tc>
          <w:tcPr/>
          <w:p>
            <w:pPr>
              <w:pStyle w:val="Compact"/>
              <w:jc w:val="left"/>
            </w:pPr>
            <w:r>
              <w:t xml:space="preserve">运行泵数量≥设计台数的60%+变频可调</w:t>
            </w:r>
          </w:p>
        </w:tc>
      </w:tr>
    </w:tbl>
    <w:p>
      <w:pPr>
        <w:pStyle w:val="BodyText"/>
      </w:pPr>
      <w:r>
        <w:t xml:space="preserve">ODD的定义不是一次完成的，而是随工程实践逐步扩展的。胶东调水的初始ODD仅覆盖”设计流量±10%、通信全通、非冰期”的狭窄范围。随着在环测试积累的数据和运行经验，ODD边界分阶段外推——每次扩展都需要经过完整的SIL/HIL验证，确认系统在新边界条件下仍能保持安全运行。</w:t>
      </w:r>
    </w:p>
    <w:bookmarkEnd w:id="25"/>
    <w:bookmarkStart w:id="26" w:name="控制架构与mpc策略"/>
    <w:p>
      <w:pPr>
        <w:pStyle w:val="Heading3"/>
      </w:pPr>
      <w:r>
        <w:t xml:space="preserve">6.2.3 控制架构与MPC策略</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给水利工程师的速览：什么是MPC？</w:t>
            </w:r>
          </w:p>
        </w:tc>
      </w:tr>
      <w:tr>
        <w:tc>
          <w:tcPr/>
          <w:p>
            <w:pPr>
              <w:pStyle w:val="Compact"/>
              <w:jc w:val="left"/>
            </w:pPr>
            <w:r>
              <w:t xml:space="preserve">模型预测控制（Model Predictive Control, MPC）的核心思想可以用一个比喻来理解：传统PID控制像是”看着后视镜开车”——根据过去的偏差调整方向盘；MPC像是”看着导航地图开车”——利用前方路况预测（水力模型），提前规划最优路径（控制序列），每走一步就重新规划一次（滚动时域）。MPC的价值在于它能”预见”水力系统的慢响应，提前数十分钟做出调整，避免”亡羊补牢”式的被动控制。</w:t>
            </w:r>
          </w:p>
        </w:tc>
      </w:tr>
    </w:tbl>
    <w:p>
      <w:pPr>
        <w:pStyle w:val="FirstParagraph"/>
      </w:pPr>
      <w:r>
        <w:t xml:space="preserve">胶东调水采用了第五章描述的SCADA+MAS融合架构路径，在保留原有SCADA系统的基础上叠加HydroOS控制层。这一架构选择基于务实的工程考量：工程已投运多年，SCADA系统运行稳定，完全替换的风险和成本都不可接受。</w:t>
      </w:r>
    </w:p>
    <w:p>
      <w:pPr>
        <w:pStyle w:val="BodyText"/>
      </w:pPr>
      <w:r>
        <w:rPr>
          <w:bCs/>
          <w:b/>
        </w:rPr>
        <w:t xml:space="preserve">分层控制架构。</w:t>
      </w:r>
      <w:r>
        <w:t xml:space="preserve"> </w:t>
      </w:r>
      <w:r>
        <w:t xml:space="preserve">整个控制系统分为三个层级：</w:t>
      </w:r>
    </w:p>
    <w:p>
      <w:pPr>
        <w:pStyle w:val="BodyText"/>
      </w:pPr>
      <w:r>
        <w:rPr>
          <w:bCs/>
          <w:b/>
        </w:rPr>
        <w:t xml:space="preserve">L0层：现场保护回路。</w:t>
      </w:r>
      <w:r>
        <w:t xml:space="preserve"> </w:t>
      </w:r>
      <w:r>
        <w:t xml:space="preserve">每个闸门和泵站都配备了独立于上层控制的本地安全保护——闸门开度超限锁定、泵站水位超低停机保护、电气过载保护等。这些保护回路直接由PLC硬件逻辑实现，响应时间在毫秒级，不依赖任何通信链路。即使上层所有控制系统全部失效，L0层仍能保证设备不受损坏、不发生溢洪或干渠事故。</w:t>
      </w:r>
    </w:p>
    <w:p>
      <w:pPr>
        <w:pStyle w:val="BodyText"/>
      </w:pPr>
      <w:r>
        <w:rPr>
          <w:bCs/>
          <w:b/>
        </w:rPr>
        <w:t xml:space="preserve">L1层：局部控制回路。</w:t>
      </w:r>
      <w:r>
        <w:t xml:space="preserve"> </w:t>
      </w:r>
      <w:r>
        <w:t xml:space="preserve">每个渠段配备基于PID或改进PID的局部水位控制器。控制目标是维持本渠段末端水位在设定值附近，控制手段是调节本渠段下游闸门开度或上游泵站出力。L1层的控制器参数根据渠段水力特性离线整定，运行时固定不变。L1层的核心价值是提供”保底控制能力”——在上层控制系统故障或通信中断时，L1层能独立维持各渠段水位在安全范围内，虽然效率不是最优，但安全有保障。</w:t>
      </w:r>
    </w:p>
    <w:p>
      <w:pPr>
        <w:pStyle w:val="BodyText"/>
      </w:pPr>
      <w:r>
        <w:rPr>
          <w:bCs/>
          <w:b/>
        </w:rPr>
        <w:t xml:space="preserve">L2层：协调优化层。</w:t>
      </w:r>
      <w:r>
        <w:t xml:space="preserve"> </w:t>
      </w:r>
      <w:r>
        <w:t xml:space="preserve">这是胶东调水控制系统的核心创新所在。L2层采用模型预测控制（MPC）方法，基于全线水力模型进行跨渠段的协调优化。与L1层的”每段独立、局部最优”不同，L2层追求的是”全线协调、全局最优”——在满足所有安全约束的前提下，最小化全线水位偏差和泵站能耗。</w:t>
      </w:r>
    </w:p>
    <w:p>
      <w:pPr>
        <w:pStyle w:val="BodyText"/>
      </w:pPr>
      <w:r>
        <w:t xml:space="preserve">[图6-1: 胶东调水三级控制架构图]</w:t>
      </w:r>
    </w:p>
    <w:p>
      <w:pPr>
        <w:pStyle w:val="BodyText"/>
      </w:pPr>
      <w:r>
        <w:rPr>
          <w:bCs/>
          <w:b/>
        </w:rPr>
        <w:t xml:space="preserve">MPC策略的核心设计。</w:t>
      </w:r>
      <w:r>
        <w:t xml:space="preserve"> </w:t>
      </w:r>
      <w:r>
        <w:t xml:space="preserve">胶东调水MPC的设计基于Kong等 [6-1] 提出的水位差控制方法（Water-Level Difference Control, WLDC）。其核心思想不是直接控制每个渠段的绝对水位，而是控制相邻渠段之间的水位差——这一选择的工程直觉是：绝对水位受来水波动影响大、难以精确控制；而水位差反映的是渠段间的水力梯度，更直接地表征了输水的稳定性。</w:t>
      </w:r>
    </w:p>
    <w:p>
      <w:pPr>
        <w:pStyle w:val="BodyText"/>
      </w:pPr>
      <w:r>
        <w:t xml:space="preserve">MPC控制器每个控制周期执行以下步骤：</w:t>
      </w:r>
    </w:p>
    <w:p>
      <w:pPr>
        <w:pStyle w:val="BodyText"/>
      </w:pPr>
      <w:r>
        <w:t xml:space="preserve">第一步，</w:t>
      </w:r>
      <w:r>
        <w:rPr>
          <w:bCs/>
          <w:b/>
        </w:rPr>
        <w:t xml:space="preserve">状态估计</w:t>
      </w:r>
      <w:r>
        <w:t xml:space="preserve">。基于SCADA实时采集的水位、流量数据和渠道水力模型，估计全线当前水力状态。关键是处理传感器噪声和缺失数据——胶东调水沿线传感器故障率在非冰期约5%—8%，冰期可能达到15%以上，状态估计必须具备对传感器故障的鲁棒性。</w:t>
      </w:r>
    </w:p>
    <w:p>
      <w:pPr>
        <w:pStyle w:val="BodyText"/>
      </w:pPr>
      <w:r>
        <w:t xml:space="preserve">第二步，</w:t>
      </w:r>
      <w:r>
        <w:rPr>
          <w:bCs/>
          <w:b/>
        </w:rPr>
        <w:t xml:space="preserve">预测推演</w:t>
      </w:r>
      <w:r>
        <w:t xml:space="preserve">。利用基于IDZ（Integrator Delay Zero）降阶模型的传递函数矩阵，预测未来一个控制时域（通常30—60分钟）内的水位变化趋势。IDZ模型将每个渠池简化为”积分器+延迟+零点”的低阶传递函数，将成百上千维的偏微分方程降阶为数十维的状态空间模型，使在线优化求解成为可能。</w:t>
      </w:r>
    </w:p>
    <w:p>
      <w:pPr>
        <w:pStyle w:val="BodyText"/>
      </w:pPr>
      <w:r>
        <w:t xml:space="preserve">第三步，</w:t>
      </w:r>
      <w:r>
        <w:rPr>
          <w:bCs/>
          <w:b/>
        </w:rPr>
        <w:t xml:space="preserve">约束优化</w:t>
      </w:r>
      <w:r>
        <w:t xml:space="preserve">。在安全包络约束（各节点水位上下限、闸门调整速率限制、泵站启停间隔约束等）下，求解最优控制序列。优化目标是加权最小化全线水位偏差和控制能耗。约束处理是MPC的关键技术环节——胶东调水系统的典型约束数量在200—500个之间，包含硬约束（绝对不可违反的安全红线）和软约束（可在一定代价下暂时放宽的运行目标）。</w:t>
      </w:r>
    </w:p>
    <w:p>
      <w:pPr>
        <w:pStyle w:val="BodyText"/>
      </w:pPr>
      <w:r>
        <w:t xml:space="preserve">第四步，</w:t>
      </w:r>
      <w:r>
        <w:rPr>
          <w:bCs/>
          <w:b/>
        </w:rPr>
        <w:t xml:space="preserve">执行与反馈</w:t>
      </w:r>
      <w:r>
        <w:t xml:space="preserve">。仅执行最优控制序列的第一步，将控制指令下发给各闸门和泵站。下一个控制周期重复上述过程——这就是MPC”滚动时域”的核心：每次只执行一步，然后重新观测、重新预测、重新优化，用频繁的反馈纠偏来应对模型误差和外部扰动。</w:t>
      </w:r>
    </w:p>
    <w:p>
      <w:pPr>
        <w:pStyle w:val="BodyText"/>
      </w:pPr>
      <w:r>
        <w:t xml:space="preserve">表6-4 胶东调水MPC核心参数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取值</w:t>
            </w:r>
          </w:p>
        </w:tc>
        <w:tc>
          <w:tcPr/>
          <w:p>
            <w:pPr>
              <w:pStyle w:val="Compact"/>
              <w:jc w:val="left"/>
            </w:pPr>
            <w:r>
              <w:t xml:space="preserve">说明</w:t>
            </w:r>
          </w:p>
        </w:tc>
      </w:tr>
      <w:tr>
        <w:tc>
          <w:tcPr/>
          <w:p>
            <w:pPr>
              <w:pStyle w:val="Compact"/>
              <w:jc w:val="left"/>
            </w:pPr>
            <w:r>
              <w:t xml:space="preserve">控制周期</w:t>
            </w:r>
          </w:p>
        </w:tc>
        <w:tc>
          <w:tcPr/>
          <w:p>
            <w:pPr>
              <w:pStyle w:val="Compact"/>
              <w:jc w:val="left"/>
            </w:pPr>
            <w:r>
              <w:t xml:space="preserve">15 min</w:t>
            </w:r>
          </w:p>
        </w:tc>
        <w:tc>
          <w:tcPr/>
          <w:p>
            <w:pPr>
              <w:pStyle w:val="Compact"/>
              <w:jc w:val="left"/>
            </w:pPr>
            <w:r>
              <w:t xml:space="preserve">每15分钟更新一次控制指令</w:t>
            </w:r>
          </w:p>
        </w:tc>
      </w:tr>
      <w:tr>
        <w:tc>
          <w:tcPr/>
          <w:p>
            <w:pPr>
              <w:pStyle w:val="Compact"/>
              <w:jc w:val="left"/>
            </w:pPr>
            <w:r>
              <w:t xml:space="preserve">预测时域</w:t>
            </w:r>
          </w:p>
        </w:tc>
        <w:tc>
          <w:tcPr/>
          <w:p>
            <w:pPr>
              <w:pStyle w:val="Compact"/>
              <w:jc w:val="left"/>
            </w:pPr>
            <w:r>
              <w:t xml:space="preserve">60 min</w:t>
            </w:r>
          </w:p>
        </w:tc>
        <w:tc>
          <w:tcPr/>
          <w:p>
            <w:pPr>
              <w:pStyle w:val="Compact"/>
              <w:jc w:val="left"/>
            </w:pPr>
            <w:r>
              <w:t xml:space="preserve">向前预测4个控制周期</w:t>
            </w:r>
          </w:p>
        </w:tc>
      </w:tr>
      <w:tr>
        <w:tc>
          <w:tcPr/>
          <w:p>
            <w:pPr>
              <w:pStyle w:val="Compact"/>
              <w:jc w:val="left"/>
            </w:pPr>
            <w:r>
              <w:t xml:space="preserve">控制时域</w:t>
            </w:r>
          </w:p>
        </w:tc>
        <w:tc>
          <w:tcPr/>
          <w:p>
            <w:pPr>
              <w:pStyle w:val="Compact"/>
              <w:jc w:val="left"/>
            </w:pPr>
            <w:r>
              <w:t xml:space="preserve">30 min</w:t>
            </w:r>
          </w:p>
        </w:tc>
        <w:tc>
          <w:tcPr/>
          <w:p>
            <w:pPr>
              <w:pStyle w:val="Compact"/>
              <w:jc w:val="left"/>
            </w:pPr>
            <w:r>
              <w:t xml:space="preserve">优化前2个控制步</w:t>
            </w:r>
          </w:p>
        </w:tc>
      </w:tr>
      <w:tr>
        <w:tc>
          <w:tcPr/>
          <w:p>
            <w:pPr>
              <w:pStyle w:val="Compact"/>
              <w:jc w:val="left"/>
            </w:pPr>
            <w:r>
              <w:t xml:space="preserve">状态变量维度</w:t>
            </w:r>
          </w:p>
        </w:tc>
        <w:tc>
          <w:tcPr/>
          <w:p>
            <w:pPr>
              <w:pStyle w:val="Compact"/>
              <w:jc w:val="left"/>
            </w:pPr>
            <w:r>
              <w:t xml:space="preserve">约50维</w:t>
            </w:r>
          </w:p>
        </w:tc>
        <w:tc>
          <w:tcPr/>
          <w:p>
            <w:pPr>
              <w:pStyle w:val="Compact"/>
              <w:jc w:val="left"/>
            </w:pPr>
            <w:r>
              <w:t xml:space="preserve">含各渠段水位差+关键断面流量</w:t>
            </w:r>
          </w:p>
        </w:tc>
      </w:tr>
      <w:tr>
        <w:tc>
          <w:tcPr/>
          <w:p>
            <w:pPr>
              <w:pStyle w:val="Compact"/>
              <w:jc w:val="left"/>
            </w:pPr>
            <w:r>
              <w:t xml:space="preserve">约束数量</w:t>
            </w:r>
          </w:p>
        </w:tc>
        <w:tc>
          <w:tcPr/>
          <w:p>
            <w:pPr>
              <w:pStyle w:val="Compact"/>
              <w:jc w:val="left"/>
            </w:pPr>
            <w:r>
              <w:t xml:space="preserve">200—500个</w:t>
            </w:r>
          </w:p>
        </w:tc>
        <w:tc>
          <w:tcPr/>
          <w:p>
            <w:pPr>
              <w:pStyle w:val="Compact"/>
              <w:jc w:val="left"/>
            </w:pPr>
            <w:r>
              <w:t xml:space="preserve">随运行工况变化</w:t>
            </w:r>
          </w:p>
        </w:tc>
      </w:tr>
      <w:tr>
        <w:tc>
          <w:tcPr/>
          <w:p>
            <w:pPr>
              <w:pStyle w:val="Compact"/>
              <w:jc w:val="left"/>
            </w:pPr>
            <w:r>
              <w:t xml:space="preserve">求解时间</w:t>
            </w:r>
          </w:p>
        </w:tc>
        <w:tc>
          <w:tcPr/>
          <w:p>
            <w:pPr>
              <w:pStyle w:val="Compact"/>
              <w:jc w:val="left"/>
            </w:pPr>
            <w:r>
              <w:t xml:space="preserve">＜30 s</w:t>
            </w:r>
          </w:p>
        </w:tc>
        <w:tc>
          <w:tcPr/>
          <w:p>
            <w:pPr>
              <w:pStyle w:val="Compact"/>
              <w:jc w:val="left"/>
            </w:pPr>
            <w:r>
              <w:t xml:space="preserve">满足实时性要求</w:t>
            </w:r>
          </w:p>
        </w:tc>
      </w:tr>
      <w:tr>
        <w:tc>
          <w:tcPr/>
          <w:p>
            <w:pPr>
              <w:pStyle w:val="Compact"/>
              <w:jc w:val="left"/>
            </w:pPr>
            <w:r>
              <w:t xml:space="preserve">模型更新周期</w:t>
            </w:r>
          </w:p>
        </w:tc>
        <w:tc>
          <w:tcPr/>
          <w:p>
            <w:pPr>
              <w:pStyle w:val="Compact"/>
              <w:jc w:val="left"/>
            </w:pPr>
            <w:r>
              <w:t xml:space="preserve">每季度</w:t>
            </w:r>
          </w:p>
        </w:tc>
        <w:tc>
          <w:tcPr/>
          <w:p>
            <w:pPr>
              <w:pStyle w:val="Compact"/>
              <w:jc w:val="left"/>
            </w:pPr>
            <w:r>
              <w:t xml:space="preserve">IDZ参数离线重标定</w:t>
            </w:r>
          </w:p>
        </w:tc>
      </w:tr>
    </w:tbl>
    <w:bookmarkEnd w:id="26"/>
    <w:bookmarkStart w:id="27" w:name="模型校正mpc长期有效的生命线"/>
    <w:p>
      <w:pPr>
        <w:pStyle w:val="Heading3"/>
      </w:pPr>
      <w:r>
        <w:t xml:space="preserve">6.2.4 模型校正：MPC长期有效的生命线</w:t>
      </w:r>
    </w:p>
    <w:p>
      <w:pPr>
        <w:pStyle w:val="FirstParagraph"/>
      </w:pPr>
      <w:r>
        <w:t xml:space="preserve">MPC控制器的性能高度依赖于内部水力模型的精度。如果模型不能准确预测渠道的水力响应，MPC的优化结果就是”在错误的地图上找到的最优路径”——可能反而比简单的PID控制更差。胶东调水实践中发现的一个重要教训是：模型精度不是一成不变的，而是会随工程条件变化而衰减。</w:t>
      </w:r>
    </w:p>
    <w:p>
      <w:pPr>
        <w:pStyle w:val="BodyText"/>
      </w:pPr>
      <w:r>
        <w:t xml:space="preserve">导致模型精度衰减的因素至少有四类。第一，</w:t>
      </w:r>
      <w:r>
        <w:rPr>
          <w:bCs/>
          <w:b/>
        </w:rPr>
        <w:t xml:space="preserve">渠道淤积和冲刷</w:t>
      </w:r>
      <w:r>
        <w:t xml:space="preserve">改变了过水断面形状和粗糙系数。胶东调水干渠的年均淤积量约2—5 cm，看似微小，但累积效应使Manning粗糙系数逐年变化，两年后模型预测精度可能从±3 cm退化到±10 cm以上。第二，</w:t>
      </w:r>
      <w:r>
        <w:rPr>
          <w:bCs/>
          <w:b/>
        </w:rPr>
        <w:t xml:space="preserve">渠衬老化</w:t>
      </w:r>
      <w:r>
        <w:t xml:space="preserve">（如混凝土裂缝、防渗膜损坏）改变了渗漏特性，使渠段的有效输水能力发生变化。第三，</w:t>
      </w:r>
      <w:r>
        <w:rPr>
          <w:bCs/>
          <w:b/>
        </w:rPr>
        <w:t xml:space="preserve">工程改造</w:t>
      </w:r>
      <w:r>
        <w:t xml:space="preserve">（如新增取水口、改建节制闸）直接改变了系统拓扑和边界条件。第四，</w:t>
      </w:r>
      <w:r>
        <w:rPr>
          <w:bCs/>
          <w:b/>
        </w:rPr>
        <w:t xml:space="preserve">季节性变化</w:t>
      </w:r>
      <w:r>
        <w:t xml:space="preserve">（水温影响水的运动粘度，进而影响摩阻特性）导致模型参数在冬夏之间存在系统性偏差。</w:t>
      </w:r>
    </w:p>
    <w:p>
      <w:pPr>
        <w:pStyle w:val="BodyText"/>
      </w:pPr>
      <w:r>
        <w:t xml:space="preserve">胶东调水的做法是建立”季度校正+事件触发校正”的双轨机制。季度校正在每个季度初，利用上个季度的运行数据对IDZ模型参数进行离线重标定。校正方法是最小二乘参数辨识——用SCADA记录的水位和流量时间序列，反算每个渠段的延迟时间、积分常数和零点位置。事件触发校正则在检测到模型预测误差连续超过阈值时（如连续3个控制周期预测误差＞±8 cm），自动触发在线参数修正。</w:t>
      </w:r>
    </w:p>
    <w:p>
      <w:pPr>
        <w:pStyle w:val="BodyText"/>
      </w:pPr>
      <w:r>
        <w:t xml:space="preserve">这套校正机制的关键是”可由运维团队独立执行”。校正工具以标准化软件包形式交付，运维人员只需提供SCADA数据文件并执行校正脚本，无需理解模型推导细节。这一设计直接源于失败案例的教训——如果模型校正依赖外部专家团队，工程的长期运行效果就不可控。</w:t>
      </w:r>
    </w:p>
    <w:bookmarkEnd w:id="27"/>
    <w:bookmarkStart w:id="28" w:name="在环验证与wnal等级跃迁"/>
    <w:p>
      <w:pPr>
        <w:pStyle w:val="Heading3"/>
      </w:pPr>
      <w:r>
        <w:t xml:space="preserve">6.2.5 在环验证与WNAL等级跃迁</w:t>
      </w:r>
    </w:p>
    <w:p>
      <w:pPr>
        <w:pStyle w:val="FirstParagraph"/>
      </w:pPr>
      <w:r>
        <w:t xml:space="preserve">胶东调水MPC控制系统的在环验证是CHS框架下三级验证方法的一次完整实践。这一过程不是”走过场”，而是在每个阶段都发现了关键问题并促成了设计改进。</w:t>
      </w:r>
    </w:p>
    <w:p>
      <w:pPr>
        <w:pStyle w:val="BodyText"/>
      </w:pPr>
      <w:r>
        <w:rPr>
          <w:bCs/>
          <w:b/>
        </w:rPr>
        <w:t xml:space="preserve">MIL阶段（模型在环）。</w:t>
      </w:r>
      <w:r>
        <w:t xml:space="preserve"> </w:t>
      </w:r>
      <w:r>
        <w:t xml:space="preserve">在纯数值仿真环境中，用全渠道一维非恒定流模型（基于Saint-Venant方程的Preissmann四点隐式差分格式）代替真实渠道，测试MPC控制器的算法逻辑和性能。MIL阶段的关键发现包括：多泵站同时启停工况下的水锤压力超标风险——这促使团队在MPC约束条件中增加了”相邻泵站启停间隔≥5分钟”的时序约束；以及在极低流量工况（设计流量的30%以下）时IDZ模型精度显著下降——这导致ODD初始边界设定为”设计流量50%以上”。</w:t>
      </w:r>
    </w:p>
    <w:p>
      <w:pPr>
        <w:pStyle w:val="BodyText"/>
      </w:pPr>
      <w:r>
        <w:rPr>
          <w:bCs/>
          <w:b/>
        </w:rPr>
        <w:t xml:space="preserve">SIL阶段（软件在环）。</w:t>
      </w:r>
      <w:r>
        <w:t xml:space="preserve"> </w:t>
      </w:r>
      <w:r>
        <w:t xml:space="preserve">将MPC控制算法从MATLAB研发环境移植到目标硬件（32位工业PLC）的运行环境，测试实际计算精度、实时性和软件可靠性。SIL阶段暴露了一个隐蔽但关键的问题：双精度浮点数在32位PLC上的截断误差导致积分器缓慢漂移，经过72小时连续运行后水位偏差累积达到±12 cm。解决方案是将关键路径的浮点运算改为定点数实现，并增加积分器抗饱和机制。此外，SIL测试还发现了内存泄漏和时序竞争等软件工程问题。</w:t>
      </w:r>
    </w:p>
    <w:p>
      <w:pPr>
        <w:pStyle w:val="BodyText"/>
      </w:pPr>
      <w:r>
        <w:rPr>
          <w:bCs/>
          <w:b/>
        </w:rPr>
        <w:t xml:space="preserve">HIL阶段（硬件在环）。</w:t>
      </w:r>
      <w:r>
        <w:t xml:space="preserve"> </w:t>
      </w:r>
      <w:r>
        <w:t xml:space="preserve">将MPC控制器接入真实的SCADA通信链路和部分真实的闸门执行机构，测试在真实通信延迟、信号抖动和设备响应特性下的控制效果。HIL阶段的关键发现是：SCADA通信的随机延迟（50—200 ms）与MPC的确定性控制假设之间存在矛盾——控制器假设”发出指令后立即执行”，但实际执行存在不确定延迟，导致闸门动作的实际时刻与计算预期不一致，引起控制器输出振荡。解决方案是在MPC模型中显式引入通信延迟补偿项。</w:t>
      </w:r>
    </w:p>
    <w:p>
      <w:pPr>
        <w:pStyle w:val="BodyText"/>
      </w:pPr>
      <w:r>
        <w:t xml:space="preserve">[图6-2: 胶东调水WNAL等级跃迁路径]</w:t>
      </w:r>
    </w:p>
    <w:p>
      <w:pPr>
        <w:pStyle w:val="BodyText"/>
      </w:pPr>
      <w:r>
        <w:t xml:space="preserve">表6-5 胶东调水WNAL等级跃迁历程</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WNAL等级</w:t>
            </w:r>
          </w:p>
        </w:tc>
        <w:tc>
          <w:tcPr/>
          <w:p>
            <w:pPr>
              <w:pStyle w:val="Compact"/>
              <w:jc w:val="left"/>
            </w:pPr>
            <w:r>
              <w:t xml:space="preserve">核心能力</w:t>
            </w:r>
          </w:p>
        </w:tc>
        <w:tc>
          <w:tcPr/>
          <w:p>
            <w:pPr>
              <w:pStyle w:val="Compact"/>
              <w:jc w:val="left"/>
            </w:pPr>
            <w:r>
              <w:t xml:space="preserve">关键里程碑</w:t>
            </w:r>
          </w:p>
        </w:tc>
      </w:tr>
      <w:tr>
        <w:tc>
          <w:tcPr/>
          <w:p>
            <w:pPr>
              <w:pStyle w:val="Compact"/>
              <w:jc w:val="left"/>
            </w:pPr>
            <w:r>
              <w:t xml:space="preserve">传统运行</w:t>
            </w:r>
          </w:p>
        </w:tc>
        <w:tc>
          <w:tcPr/>
          <w:p>
            <w:pPr>
              <w:pStyle w:val="Compact"/>
              <w:jc w:val="left"/>
            </w:pPr>
            <w:r>
              <w:t xml:space="preserve">—2018</w:t>
            </w:r>
          </w:p>
        </w:tc>
        <w:tc>
          <w:tcPr/>
          <w:p>
            <w:pPr>
              <w:pStyle w:val="Compact"/>
              <w:jc w:val="left"/>
            </w:pPr>
            <w:r>
              <w:t xml:space="preserve">L0→L1</w:t>
            </w:r>
          </w:p>
        </w:tc>
        <w:tc>
          <w:tcPr/>
          <w:p>
            <w:pPr>
              <w:pStyle w:val="Compact"/>
              <w:jc w:val="left"/>
            </w:pPr>
            <w:r>
              <w:t xml:space="preserve">SCADA监控+人工调度</w:t>
            </w:r>
          </w:p>
        </w:tc>
        <w:tc>
          <w:tcPr/>
          <w:p>
            <w:pPr>
              <w:pStyle w:val="Compact"/>
              <w:jc w:val="left"/>
            </w:pPr>
            <w:r>
              <w:t xml:space="preserve">完成全线SCADA建设</w:t>
            </w:r>
          </w:p>
        </w:tc>
      </w:tr>
      <w:tr>
        <w:tc>
          <w:tcPr/>
          <w:p>
            <w:pPr>
              <w:pStyle w:val="Compact"/>
              <w:jc w:val="left"/>
            </w:pPr>
            <w:r>
              <w:t xml:space="preserve">MPC研发</w:t>
            </w:r>
          </w:p>
        </w:tc>
        <w:tc>
          <w:tcPr/>
          <w:p>
            <w:pPr>
              <w:pStyle w:val="Compact"/>
              <w:jc w:val="left"/>
            </w:pPr>
            <w:r>
              <w:t xml:space="preserve">2018—2020</w:t>
            </w:r>
          </w:p>
        </w:tc>
        <w:tc>
          <w:tcPr/>
          <w:p>
            <w:pPr>
              <w:pStyle w:val="Compact"/>
              <w:jc w:val="left"/>
            </w:pPr>
            <w:r>
              <w:t xml:space="preserve">—</w:t>
            </w:r>
          </w:p>
        </w:tc>
        <w:tc>
          <w:tcPr/>
          <w:p>
            <w:pPr>
              <w:pStyle w:val="Compact"/>
              <w:jc w:val="left"/>
            </w:pPr>
            <w:r>
              <w:t xml:space="preserve">MIL/SIL/HIL验证</w:t>
            </w:r>
          </w:p>
        </w:tc>
        <w:tc>
          <w:tcPr/>
          <w:p>
            <w:pPr>
              <w:pStyle w:val="Compact"/>
              <w:jc w:val="left"/>
            </w:pPr>
            <w:r>
              <w:t xml:space="preserve">MPC算法通过三级验证</w:t>
            </w:r>
          </w:p>
        </w:tc>
      </w:tr>
      <w:tr>
        <w:tc>
          <w:tcPr/>
          <w:p>
            <w:pPr>
              <w:pStyle w:val="Compact"/>
              <w:jc w:val="left"/>
            </w:pPr>
            <w:r>
              <w:t xml:space="preserve">L2试运行</w:t>
            </w:r>
          </w:p>
        </w:tc>
        <w:tc>
          <w:tcPr/>
          <w:p>
            <w:pPr>
              <w:pStyle w:val="Compact"/>
              <w:jc w:val="left"/>
            </w:pPr>
            <w:r>
              <w:t xml:space="preserve">2020—2022</w:t>
            </w:r>
          </w:p>
        </w:tc>
        <w:tc>
          <w:tcPr/>
          <w:p>
            <w:pPr>
              <w:pStyle w:val="Compact"/>
              <w:jc w:val="left"/>
            </w:pPr>
            <w:r>
              <w:t xml:space="preserve">L2</w:t>
            </w:r>
          </w:p>
        </w:tc>
        <w:tc>
          <w:tcPr/>
          <w:p>
            <w:pPr>
              <w:pStyle w:val="Compact"/>
              <w:jc w:val="left"/>
            </w:pPr>
            <w:r>
              <w:t xml:space="preserve">MPC辅助+人工确认</w:t>
            </w:r>
          </w:p>
        </w:tc>
        <w:tc>
          <w:tcPr/>
          <w:p>
            <w:pPr>
              <w:pStyle w:val="Compact"/>
              <w:jc w:val="left"/>
            </w:pPr>
            <w:r>
              <w:t xml:space="preserve">ODD: 设计流量±10%</w:t>
            </w:r>
          </w:p>
        </w:tc>
      </w:tr>
      <w:tr>
        <w:tc>
          <w:tcPr/>
          <w:p>
            <w:pPr>
              <w:pStyle w:val="Compact"/>
              <w:jc w:val="left"/>
            </w:pPr>
            <w:r>
              <w:t xml:space="preserve">L2→L3跃迁</w:t>
            </w:r>
          </w:p>
        </w:tc>
        <w:tc>
          <w:tcPr/>
          <w:p>
            <w:pPr>
              <w:pStyle w:val="Compact"/>
              <w:jc w:val="left"/>
            </w:pPr>
            <w:r>
              <w:t xml:space="preserve">2022—2024</w:t>
            </w:r>
          </w:p>
        </w:tc>
        <w:tc>
          <w:tcPr/>
          <w:p>
            <w:pPr>
              <w:pStyle w:val="Compact"/>
              <w:jc w:val="left"/>
            </w:pPr>
            <w:r>
              <w:t xml:space="preserve">L2→L3</w:t>
            </w:r>
          </w:p>
        </w:tc>
        <w:tc>
          <w:tcPr/>
          <w:p>
            <w:pPr>
              <w:pStyle w:val="Compact"/>
              <w:jc w:val="left"/>
            </w:pPr>
            <w:r>
              <w:t xml:space="preserve">MPC自主+人工监督</w:t>
            </w:r>
          </w:p>
        </w:tc>
        <w:tc>
          <w:tcPr/>
          <w:p>
            <w:pPr>
              <w:pStyle w:val="Compact"/>
              <w:jc w:val="left"/>
            </w:pPr>
            <w:r>
              <w:t xml:space="preserve">ODD扩展至±30%</w:t>
            </w:r>
          </w:p>
        </w:tc>
      </w:tr>
      <w:tr>
        <w:tc>
          <w:tcPr/>
          <w:p>
            <w:pPr>
              <w:pStyle w:val="Compact"/>
              <w:jc w:val="left"/>
            </w:pPr>
            <w:r>
              <w:t xml:space="preserve">L3运行</w:t>
            </w:r>
          </w:p>
        </w:tc>
        <w:tc>
          <w:tcPr/>
          <w:p>
            <w:pPr>
              <w:pStyle w:val="Compact"/>
              <w:jc w:val="left"/>
            </w:pPr>
            <w:r>
              <w:t xml:space="preserve">2024—</w:t>
            </w:r>
          </w:p>
        </w:tc>
        <w:tc>
          <w:tcPr/>
          <w:p>
            <w:pPr>
              <w:pStyle w:val="Compact"/>
              <w:jc w:val="left"/>
            </w:pPr>
            <w:r>
              <w:t xml:space="preserve">L3</w:t>
            </w:r>
          </w:p>
        </w:tc>
        <w:tc>
          <w:tcPr/>
          <w:p>
            <w:pPr>
              <w:pStyle w:val="Compact"/>
              <w:jc w:val="left"/>
            </w:pPr>
            <w:r>
              <w:t xml:space="preserve">条件自主运行</w:t>
            </w:r>
          </w:p>
        </w:tc>
        <w:tc>
          <w:tcPr/>
          <w:p>
            <w:pPr>
              <w:pStyle w:val="Compact"/>
              <w:jc w:val="left"/>
            </w:pPr>
            <w:r>
              <w:t xml:space="preserve">含常见扰动处置能力</w:t>
            </w:r>
          </w:p>
        </w:tc>
      </w:tr>
    </w:tbl>
    <w:p>
      <w:pPr>
        <w:pStyle w:val="BodyText"/>
      </w:pPr>
      <w:r>
        <w:t xml:space="preserve">从L2到L3的跃迁是胶东调水实践中最具方法论价值的环节。L2意味着”系统建议、人工确认”——MPC计算出控制方案后，调度员逐一确认后再执行；L3意味着”系统自主、人工监督”——MPC方案在ODD范围内自动执行，调度员仅在异常时介入。这一跃迁的前提条件包括三个方面。</w:t>
      </w:r>
    </w:p>
    <w:p>
      <w:pPr>
        <w:pStyle w:val="BodyText"/>
      </w:pPr>
      <w:r>
        <w:t xml:space="preserve">第一，</w:t>
      </w:r>
      <w:r>
        <w:rPr>
          <w:bCs/>
          <w:b/>
        </w:rPr>
        <w:t xml:space="preserve">技术前提</w:t>
      </w:r>
      <w:r>
        <w:t xml:space="preserve">：MPC控制器在L2运行期间积累了超过12个月的运行数据，水位偏差在ODD范围内稳定保持在±5 cm以内，无重大安全事件。第二，</w:t>
      </w:r>
      <w:r>
        <w:rPr>
          <w:bCs/>
          <w:b/>
        </w:rPr>
        <w:t xml:space="preserve">验证前提</w:t>
      </w:r>
      <w:r>
        <w:t xml:space="preserve">：ODD每次扩展前都完成了完整的SIL/HIL验证，覆盖率达到98%以上的预定义场景。第三，</w:t>
      </w:r>
      <w:r>
        <w:rPr>
          <w:bCs/>
          <w:b/>
        </w:rPr>
        <w:t xml:space="preserve">管理前提</w:t>
      </w:r>
      <w:r>
        <w:t xml:space="preserve">：建立了完整的四态机降级机制和审计链——系统在何种条件下自动降级到L2或L1，每一次控制动作都有完整记录和可追溯的决策理由。</w:t>
      </w:r>
    </w:p>
    <w:bookmarkEnd w:id="28"/>
    <w:bookmarkStart w:id="29" w:name="运行成效与经验总结"/>
    <w:p>
      <w:pPr>
        <w:pStyle w:val="Heading3"/>
      </w:pPr>
      <w:r>
        <w:t xml:space="preserve">6.2.6 运行成效与经验总结</w:t>
      </w:r>
    </w:p>
    <w:p>
      <w:pPr>
        <w:pStyle w:val="FirstParagraph"/>
      </w:pPr>
      <w:r>
        <w:t xml:space="preserve">胶东调水MPC控制系统自L2试运行以来的运行数据，可以从三个维度评估其实际效果：</w:t>
      </w:r>
    </w:p>
    <w:p>
      <w:pPr>
        <w:pStyle w:val="BodyText"/>
      </w:pPr>
      <w:r>
        <w:rPr>
          <w:bCs/>
          <w:b/>
        </w:rPr>
        <w:t xml:space="preserve">控制精度维度。</w:t>
      </w:r>
      <w:r>
        <w:t xml:space="preserve"> </w:t>
      </w:r>
      <w:r>
        <w:t xml:space="preserve">L2运行期间，全线关键断面水位偏差从人工调度时期的±15—20 cm降低到±5 cm以内，水位差偏差（相邻渠段间的水力梯度偏差）降低幅度更为显著。进入L3后，水位偏差进一步收窄，在正常工况下稳定在±3 cm以内。</w:t>
      </w:r>
    </w:p>
    <w:p>
      <w:pPr>
        <w:pStyle w:val="BodyText"/>
      </w:pPr>
      <w:r>
        <w:rPr>
          <w:bCs/>
          <w:b/>
        </w:rPr>
        <w:t xml:space="preserve">运行效率维度。</w:t>
      </w:r>
      <w:r>
        <w:t xml:space="preserve"> </w:t>
      </w:r>
      <w:r>
        <w:t xml:space="preserve">泵站能耗降低约8%—12%（不同季节和流量条件下波动较大），主要来自MPC对泵站启停时序和运行工况的全局优化。调度员的常规操作工作量减少约60%，使其有更多精力专注于异常工况处置和运行策略优化。</w:t>
      </w:r>
    </w:p>
    <w:p>
      <w:pPr>
        <w:pStyle w:val="BodyText"/>
      </w:pPr>
      <w:r>
        <w:rPr>
          <w:bCs/>
          <w:b/>
        </w:rPr>
        <w:t xml:space="preserve">安全可靠性维度。</w:t>
      </w:r>
      <w:r>
        <w:t xml:space="preserve"> </w:t>
      </w:r>
      <w:r>
        <w:t xml:space="preserve">L3运行期间，策略门禁累计拦截了约3.2%的控制策略，其中70%为操作约束违规（如闸门调整速度过快）、25%为安全包络边界触及、5%为权限不足。每一次拦截都生成了完整的审计记录。四态机降级事件从L2初期的月均6—8次降低到L3稳定运行期的月均1—2次。</w:t>
      </w:r>
    </w:p>
    <w:p>
      <w:pPr>
        <w:pStyle w:val="BodyText"/>
      </w:pPr>
      <w:r>
        <w:t xml:space="preserve">表6-6 胶东调水五维评价</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评价维度</w:t>
            </w:r>
          </w:p>
        </w:tc>
        <w:tc>
          <w:tcPr/>
          <w:p>
            <w:pPr>
              <w:pStyle w:val="Compact"/>
              <w:jc w:val="left"/>
            </w:pPr>
            <w:r>
              <w:t xml:space="preserve">评价结论</w:t>
            </w:r>
          </w:p>
        </w:tc>
        <w:tc>
          <w:tcPr/>
          <w:p>
            <w:pPr>
              <w:pStyle w:val="Compact"/>
              <w:jc w:val="left"/>
            </w:pPr>
            <w:r>
              <w:t xml:space="preserve">关键经验</w:t>
            </w:r>
          </w:p>
        </w:tc>
      </w:tr>
      <w:tr>
        <w:tc>
          <w:tcPr/>
          <w:p>
            <w:pPr>
              <w:pStyle w:val="Compact"/>
              <w:jc w:val="left"/>
            </w:pPr>
            <w:r>
              <w:t xml:space="preserve">场景定义</w:t>
            </w:r>
          </w:p>
        </w:tc>
        <w:tc>
          <w:tcPr/>
          <w:p>
            <w:pPr>
              <w:pStyle w:val="Compact"/>
              <w:jc w:val="left"/>
            </w:pPr>
            <w:r>
              <w:t xml:space="preserve">ODD分阶段扩展，从窄到宽</w:t>
            </w:r>
          </w:p>
        </w:tc>
        <w:tc>
          <w:tcPr/>
          <w:p>
            <w:pPr>
              <w:pStyle w:val="Compact"/>
              <w:jc w:val="left"/>
            </w:pPr>
            <w:r>
              <w:t xml:space="preserve">ODD不是一次设计完成的，需要迭代验证</w:t>
            </w:r>
          </w:p>
        </w:tc>
      </w:tr>
      <w:tr>
        <w:tc>
          <w:tcPr/>
          <w:p>
            <w:pPr>
              <w:pStyle w:val="Compact"/>
              <w:jc w:val="left"/>
            </w:pPr>
            <w:r>
              <w:t xml:space="preserve">架构选择</w:t>
            </w:r>
          </w:p>
        </w:tc>
        <w:tc>
          <w:tcPr/>
          <w:p>
            <w:pPr>
              <w:pStyle w:val="Compact"/>
              <w:jc w:val="left"/>
            </w:pPr>
            <w:r>
              <w:t xml:space="preserve">SCADA叠加式升级，避免推翻重建</w:t>
            </w:r>
          </w:p>
        </w:tc>
        <w:tc>
          <w:tcPr/>
          <w:p>
            <w:pPr>
              <w:pStyle w:val="Compact"/>
              <w:jc w:val="left"/>
            </w:pPr>
            <w:r>
              <w:t xml:space="preserve">尊重已有投资，增量式改进</w:t>
            </w:r>
          </w:p>
        </w:tc>
      </w:tr>
      <w:tr>
        <w:tc>
          <w:tcPr/>
          <w:p>
            <w:pPr>
              <w:pStyle w:val="Compact"/>
              <w:jc w:val="left"/>
            </w:pPr>
            <w:r>
              <w:t xml:space="preserve">安全设计</w:t>
            </w:r>
          </w:p>
        </w:tc>
        <w:tc>
          <w:tcPr/>
          <w:p>
            <w:pPr>
              <w:pStyle w:val="Compact"/>
              <w:jc w:val="left"/>
            </w:pPr>
            <w:r>
              <w:t xml:space="preserve">三级分层保护+四态机+策略门禁</w:t>
            </w:r>
          </w:p>
        </w:tc>
        <w:tc>
          <w:tcPr/>
          <w:p>
            <w:pPr>
              <w:pStyle w:val="Compact"/>
              <w:jc w:val="left"/>
            </w:pPr>
            <w:r>
              <w:t xml:space="preserve">“</w:t>
            </w:r>
            <w:r>
              <w:t xml:space="preserve">断连可活</w:t>
            </w:r>
            <w:r>
              <w:t xml:space="preserve">”</w:t>
            </w:r>
            <w:r>
              <w:t xml:space="preserve">是核心设计约束</w:t>
            </w:r>
          </w:p>
        </w:tc>
      </w:tr>
      <w:tr>
        <w:tc>
          <w:tcPr/>
          <w:p>
            <w:pPr>
              <w:pStyle w:val="Compact"/>
              <w:jc w:val="left"/>
            </w:pPr>
            <w:r>
              <w:t xml:space="preserve">验证路径</w:t>
            </w:r>
          </w:p>
        </w:tc>
        <w:tc>
          <w:tcPr/>
          <w:p>
            <w:pPr>
              <w:pStyle w:val="Compact"/>
              <w:jc w:val="left"/>
            </w:pPr>
            <w:r>
              <w:t xml:space="preserve">MIL/SIL/HIL完整闭环</w:t>
            </w:r>
          </w:p>
        </w:tc>
        <w:tc>
          <w:tcPr/>
          <w:p>
            <w:pPr>
              <w:pStyle w:val="Compact"/>
              <w:jc w:val="left"/>
            </w:pPr>
            <w:r>
              <w:t xml:space="preserve">每个阶段都发现了关键问题</w:t>
            </w:r>
          </w:p>
        </w:tc>
      </w:tr>
      <w:tr>
        <w:tc>
          <w:tcPr/>
          <w:p>
            <w:pPr>
              <w:pStyle w:val="Compact"/>
              <w:jc w:val="left"/>
            </w:pPr>
            <w:r>
              <w:t xml:space="preserve">运维闭环</w:t>
            </w:r>
          </w:p>
        </w:tc>
        <w:tc>
          <w:tcPr/>
          <w:p>
            <w:pPr>
              <w:pStyle w:val="Compact"/>
              <w:jc w:val="left"/>
            </w:pPr>
            <w:r>
              <w:t xml:space="preserve">审计链+季度模型校正+ODD动态扩展</w:t>
            </w:r>
          </w:p>
        </w:tc>
        <w:tc>
          <w:tcPr/>
          <w:p>
            <w:pPr>
              <w:pStyle w:val="Compact"/>
              <w:jc w:val="left"/>
            </w:pPr>
            <w:r>
              <w:t xml:space="preserve">模型校正是长期运行的生命线</w:t>
            </w:r>
          </w:p>
        </w:tc>
      </w:tr>
    </w:tbl>
    <w:p>
      <w:pPr>
        <w:pStyle w:val="BodyText"/>
      </w:pPr>
      <w:r>
        <w:t xml:space="preserve">胶东调水实践的最重要经验，或许不是任何一项具体技术指标的提升，而是形成了一套”可复制的方法资产”——从ODD定义到三级验证、从分层控制到四态机降级、从策略门禁到审计链。这套方法资产可以（经过必要的参数调整后）迁移到其他长距离明渠调水工程中。</w:t>
      </w:r>
    </w:p>
    <w:p>
      <w:pPr>
        <w:pStyle w:val="BodyText"/>
      </w:pPr>
      <w:r>
        <w:t xml:space="preserve">胶东调水的成功建立在一个前提之上：控制目标相对单一——维持水位在设定值附近。但如果控制目标本身就在”打架”——发电要多蓄水、防洪要少蓄水、生态要保底放水——MPC还够用吗？沙坪水电站的实践给出了答案。</w:t>
      </w:r>
    </w:p>
    <w:p>
      <w:r>
        <w:pict>
          <v:rect style="width:0;height:1.5pt" o:hralign="center" o:hrstd="t" o:hr="t"/>
        </w:pict>
      </w:r>
    </w:p>
    <w:bookmarkEnd w:id="29"/>
    <w:bookmarkEnd w:id="30"/>
    <w:bookmarkStart w:id="36" w:name="沙坪水电站发电泄洪一体化智能控制"/>
    <w:p>
      <w:pPr>
        <w:pStyle w:val="Heading2"/>
      </w:pPr>
      <w:r>
        <w:t xml:space="preserve">6.3 沙坪水电站：发电—泄洪一体化智能控制</w:t>
      </w:r>
    </w:p>
    <w:bookmarkStart w:id="31" w:name="工程概况与特殊挑战"/>
    <w:p>
      <w:pPr>
        <w:pStyle w:val="Heading3"/>
      </w:pPr>
      <w:r>
        <w:t xml:space="preserve">6.3.1 工程概况与特殊挑战</w:t>
      </w:r>
    </w:p>
    <w:p>
      <w:pPr>
        <w:pStyle w:val="FirstParagraph"/>
      </w:pPr>
      <w:r>
        <w:t xml:space="preserve">沙坪水电站位于四川省大渡河中游，是大渡河梯级水电开发中的重要一级。大渡河干流上的蒲布、深溪沟、镇头、沙坪四座电站构成梯级调度群，总装机容量超过300万千瓦。沙坪水电站单站装机容量约72万千瓦（4台×18万千瓦），水库调节能力有限，属于径流式电站——来什么水发什么电，库容对来水的调蓄能力较弱。</w:t>
      </w:r>
    </w:p>
    <w:p>
      <w:pPr>
        <w:pStyle w:val="BodyText"/>
      </w:pPr>
      <w:r>
        <w:t xml:space="preserve">与胶东调水的”单一目标、线性拓扑”不同，沙坪水电站面临的是”多目标冲突、非线性耦合”的控制挑战：</w:t>
      </w:r>
    </w:p>
    <w:p>
      <w:pPr>
        <w:pStyle w:val="BodyText"/>
      </w:pPr>
      <w:r>
        <w:rPr>
          <w:bCs/>
          <w:b/>
        </w:rPr>
        <w:t xml:space="preserve">发电与泄洪的目标冲突。</w:t>
      </w:r>
      <w:r>
        <w:t xml:space="preserve"> </w:t>
      </w:r>
      <w:r>
        <w:t xml:space="preserve">从发电角度，希望尽量多蓄水、提高水头、最大化发电出力；从防洪角度，汛期必须预留足够的防洪库容，必要时开启泄洪闸门释放洪水。两个目标在汛期存在直接冲突——蓄水多了防洪安全受威胁，泄洪多了发电效益受损失。此外，生态下泄流量是第三个刚性约束——必须保障下游河道的最低生态流量，这在枯水期可能与发电需求形成冲突。</w:t>
      </w:r>
    </w:p>
    <w:p>
      <w:pPr>
        <w:pStyle w:val="BodyText"/>
      </w:pPr>
      <w:r>
        <w:rPr>
          <w:bCs/>
          <w:b/>
        </w:rPr>
        <w:t xml:space="preserve">梯级耦合的复杂性。</w:t>
      </w:r>
      <w:r>
        <w:t xml:space="preserve"> </w:t>
      </w:r>
      <w:r>
        <w:t xml:space="preserve">沙坪的运行不是孤立的——它的入流取决于上游镇头电站的出流，它的出流又影响下游梯级电站（如果有的话）的入流。蒲布、深溪沟、镇头、沙坪四站之间的水力传播时间从数十分钟到数小时不等，梯级联调需要考虑上下游之间的耦合效应。</w:t>
      </w:r>
    </w:p>
    <w:p>
      <w:pPr>
        <w:pStyle w:val="BodyText"/>
      </w:pPr>
      <w:r>
        <w:rPr>
          <w:bCs/>
          <w:b/>
        </w:rPr>
        <w:t xml:space="preserve">来水预报的不确定性。</w:t>
      </w:r>
      <w:r>
        <w:t xml:space="preserve"> </w:t>
      </w:r>
      <w:r>
        <w:t xml:space="preserve">大渡河流域地处横断山脉东缘，暴雨集中、汇流速度快、来水预报难度大。控制决策必须在来水预报存在较大不确定性的条件下做出，并且随着预报更新不断修正——这对控制系统的鲁棒性和自适应能力提出了很高要求。</w:t>
      </w:r>
    </w:p>
    <w:bookmarkEnd w:id="31"/>
    <w:bookmarkStart w:id="32" w:name="odd与安全设计"/>
    <w:p>
      <w:pPr>
        <w:pStyle w:val="Heading3"/>
      </w:pPr>
      <w:r>
        <w:t xml:space="preserve">6.3.2 ODD与安全设计</w:t>
      </w:r>
    </w:p>
    <w:p>
      <w:pPr>
        <w:pStyle w:val="FirstParagraph"/>
      </w:pPr>
      <w:r>
        <w:t xml:space="preserve">沙坪水电站的ODD定义比胶东调水更加复杂，因为它需要覆盖”发电”和”泄洪”两种运行模式及其切换过程。</w:t>
      </w:r>
    </w:p>
    <w:p>
      <w:pPr>
        <w:pStyle w:val="BodyText"/>
      </w:pPr>
      <w:r>
        <w:t xml:space="preserve">表6-7 沙坪水电站ODD定义（分模式）</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ODD维度</w:t>
            </w:r>
          </w:p>
        </w:tc>
        <w:tc>
          <w:tcPr/>
          <w:p>
            <w:pPr>
              <w:pStyle w:val="Compact"/>
              <w:jc w:val="left"/>
            </w:pPr>
            <w:r>
              <w:t xml:space="preserve">发电模式</w:t>
            </w:r>
          </w:p>
        </w:tc>
        <w:tc>
          <w:tcPr/>
          <w:p>
            <w:pPr>
              <w:pStyle w:val="Compact"/>
              <w:jc w:val="left"/>
            </w:pPr>
            <w:r>
              <w:t xml:space="preserve">泄洪模式</w:t>
            </w:r>
          </w:p>
        </w:tc>
        <w:tc>
          <w:tcPr/>
          <w:p>
            <w:pPr>
              <w:pStyle w:val="Compact"/>
              <w:jc w:val="left"/>
            </w:pPr>
            <w:r>
              <w:t xml:space="preserve">模式切换</w:t>
            </w:r>
          </w:p>
        </w:tc>
      </w:tr>
      <w:tr>
        <w:tc>
          <w:tcPr/>
          <w:p>
            <w:pPr>
              <w:pStyle w:val="Compact"/>
              <w:jc w:val="left"/>
            </w:pPr>
            <w:r>
              <w:t xml:space="preserve">入库流量</w:t>
            </w:r>
          </w:p>
        </w:tc>
        <w:tc>
          <w:tcPr/>
          <w:p>
            <w:pPr>
              <w:pStyle w:val="Compact"/>
              <w:jc w:val="left"/>
            </w:pPr>
            <w:r>
              <w:t xml:space="preserve">保证出力—满发区间</w:t>
            </w:r>
          </w:p>
        </w:tc>
        <w:tc>
          <w:tcPr/>
          <w:p>
            <w:pPr>
              <w:pStyle w:val="Compact"/>
              <w:jc w:val="left"/>
            </w:pPr>
            <w:r>
              <w:t xml:space="preserve">超警戒流量</w:t>
            </w:r>
          </w:p>
        </w:tc>
        <w:tc>
          <w:tcPr/>
          <w:p>
            <w:pPr>
              <w:pStyle w:val="Compact"/>
              <w:jc w:val="left"/>
            </w:pPr>
            <w:r>
              <w:t xml:space="preserve">从发电到泄洪的过渡期</w:t>
            </w:r>
          </w:p>
        </w:tc>
      </w:tr>
      <w:tr>
        <w:tc>
          <w:tcPr/>
          <w:p>
            <w:pPr>
              <w:pStyle w:val="Compact"/>
              <w:jc w:val="left"/>
            </w:pPr>
            <w:r>
              <w:t xml:space="preserve">水库水位</w:t>
            </w:r>
          </w:p>
        </w:tc>
        <w:tc>
          <w:tcPr/>
          <w:p>
            <w:pPr>
              <w:pStyle w:val="Compact"/>
              <w:jc w:val="left"/>
            </w:pPr>
            <w:r>
              <w:t xml:space="preserve">正常蓄水位—死水位</w:t>
            </w:r>
          </w:p>
        </w:tc>
        <w:tc>
          <w:tcPr/>
          <w:p>
            <w:pPr>
              <w:pStyle w:val="Compact"/>
              <w:jc w:val="left"/>
            </w:pPr>
            <w:r>
              <w:t xml:space="preserve">汛限水位以下</w:t>
            </w:r>
          </w:p>
        </w:tc>
        <w:tc>
          <w:tcPr/>
          <w:p>
            <w:pPr>
              <w:pStyle w:val="Compact"/>
              <w:jc w:val="left"/>
            </w:pPr>
            <w:r>
              <w:t xml:space="preserve">水位升降过程</w:t>
            </w:r>
          </w:p>
        </w:tc>
      </w:tr>
      <w:tr>
        <w:tc>
          <w:tcPr/>
          <w:p>
            <w:pPr>
              <w:pStyle w:val="Compact"/>
              <w:jc w:val="left"/>
            </w:pPr>
            <w:r>
              <w:t xml:space="preserve">机组状态</w:t>
            </w:r>
          </w:p>
        </w:tc>
        <w:tc>
          <w:tcPr/>
          <w:p>
            <w:pPr>
              <w:pStyle w:val="Compact"/>
              <w:jc w:val="left"/>
            </w:pPr>
            <w:r>
              <w:t xml:space="preserve">≥3台可用</w:t>
            </w:r>
          </w:p>
        </w:tc>
        <w:tc>
          <w:tcPr/>
          <w:p>
            <w:pPr>
              <w:pStyle w:val="Compact"/>
              <w:jc w:val="left"/>
            </w:pPr>
            <w:r>
              <w:t xml:space="preserve">≥2台可用+泄洪闸可操作</w:t>
            </w:r>
          </w:p>
        </w:tc>
        <w:tc>
          <w:tcPr/>
          <w:p>
            <w:pPr>
              <w:pStyle w:val="Compact"/>
              <w:jc w:val="left"/>
            </w:pPr>
            <w:r>
              <w:t xml:space="preserve">机组切换间隔≥10 min</w:t>
            </w:r>
          </w:p>
        </w:tc>
      </w:tr>
      <w:tr>
        <w:tc>
          <w:tcPr/>
          <w:p>
            <w:pPr>
              <w:pStyle w:val="Compact"/>
              <w:jc w:val="left"/>
            </w:pPr>
            <w:r>
              <w:t xml:space="preserve">通信可用率</w:t>
            </w:r>
          </w:p>
        </w:tc>
        <w:tc>
          <w:tcPr/>
          <w:p>
            <w:pPr>
              <w:pStyle w:val="Compact"/>
              <w:jc w:val="left"/>
            </w:pPr>
            <w:r>
              <w:t xml:space="preserve">≥95%</w:t>
            </w:r>
          </w:p>
        </w:tc>
        <w:tc>
          <w:tcPr/>
          <w:p>
            <w:pPr>
              <w:pStyle w:val="Compact"/>
              <w:jc w:val="left"/>
            </w:pPr>
            <w:r>
              <w:t xml:space="preserve">≥99%（安全要求更高）</w:t>
            </w:r>
          </w:p>
        </w:tc>
        <w:tc>
          <w:tcPr/>
          <w:p>
            <w:pPr>
              <w:pStyle w:val="Compact"/>
              <w:jc w:val="left"/>
            </w:pPr>
            <w:r>
              <w:t xml:space="preserve">≥99%</w:t>
            </w:r>
          </w:p>
        </w:tc>
      </w:tr>
      <w:tr>
        <w:tc>
          <w:tcPr/>
          <w:p>
            <w:pPr>
              <w:pStyle w:val="Compact"/>
              <w:jc w:val="left"/>
            </w:pPr>
            <w:r>
              <w:t xml:space="preserve">来水预报</w:t>
            </w:r>
          </w:p>
        </w:tc>
        <w:tc>
          <w:tcPr/>
          <w:p>
            <w:pPr>
              <w:pStyle w:val="Compact"/>
              <w:jc w:val="left"/>
            </w:pPr>
            <w:r>
              <w:t xml:space="preserve">6 h预报精度≥80%</w:t>
            </w:r>
          </w:p>
        </w:tc>
        <w:tc>
          <w:tcPr/>
          <w:p>
            <w:pPr>
              <w:pStyle w:val="Compact"/>
              <w:jc w:val="left"/>
            </w:pPr>
            <w:r>
              <w:t xml:space="preserve">3 h预报精度≥85%</w:t>
            </w:r>
          </w:p>
        </w:tc>
        <w:tc>
          <w:tcPr/>
          <w:p>
            <w:pPr>
              <w:pStyle w:val="Compact"/>
              <w:jc w:val="left"/>
            </w:pPr>
            <w:r>
              <w:t xml:space="preserve">—</w:t>
            </w:r>
          </w:p>
        </w:tc>
      </w:tr>
    </w:tbl>
    <w:p>
      <w:pPr>
        <w:pStyle w:val="BodyText"/>
      </w:pPr>
      <w:r>
        <w:t xml:space="preserve">安全设计方面，沙坪水电站采用了与胶东调水类似的分层保护策略，但在两个方面做了针对性强化：</w:t>
      </w:r>
    </w:p>
    <w:p>
      <w:pPr>
        <w:pStyle w:val="BodyText"/>
      </w:pPr>
      <w:r>
        <w:t xml:space="preserve">第一，</w:t>
      </w:r>
      <w:r>
        <w:rPr>
          <w:bCs/>
          <w:b/>
        </w:rPr>
        <w:t xml:space="preserve">泄洪安全优先级最高</w:t>
      </w:r>
      <w:r>
        <w:t xml:space="preserve">。在所有控制策略的安全包络中，泄洪约束是不可违反的硬约束——当来水超过警戒流量时，系统必须在预设时间内将泄洪闸门开启到安全位置，即使这意味着牺牲发电效益。这一优先级规则硬编码在策略门禁的第一层检查中。</w:t>
      </w:r>
    </w:p>
    <w:p>
      <w:pPr>
        <w:pStyle w:val="BodyText"/>
      </w:pPr>
      <w:r>
        <w:t xml:space="preserve">第二，</w:t>
      </w:r>
      <w:r>
        <w:rPr>
          <w:bCs/>
          <w:b/>
        </w:rPr>
        <w:t xml:space="preserve">模式切换的安全过渡</w:t>
      </w:r>
      <w:r>
        <w:t xml:space="preserve">。从发电模式切换到泄洪模式是最危险的运行阶段——机组需要减出力、闸门需要开启、水库水位在变化，多个操作同时进行且相互耦合。系统设计了专门的”模式切换序列”，规定各操作的严格时序和互锁条件——例如，泄洪闸门开启必须在对应机组减出力完成之后，防止出现”机组满发+泄洪全开”导致下游流量暴增的危险工况。</w:t>
      </w:r>
    </w:p>
    <w:bookmarkEnd w:id="32"/>
    <w:bookmarkStart w:id="33" w:name="一体化智能控制方案"/>
    <w:p>
      <w:pPr>
        <w:pStyle w:val="Heading3"/>
      </w:pPr>
      <w:r>
        <w:t xml:space="preserve">6.3.3 一体化智能控制方案</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给水利工程师的速览：PAI和CAI如何分工？</w:t>
            </w:r>
          </w:p>
        </w:tc>
      </w:tr>
      <w:tr>
        <w:tc>
          <w:tcPr/>
          <w:p>
            <w:pPr>
              <w:pStyle w:val="Compact"/>
              <w:jc w:val="left"/>
            </w:pPr>
            <w:r>
              <w:t xml:space="preserve">如果把调度比作下棋，物理AI引擎（PAI）相当于”棋力计算”——它能算出每一步棋的后果和最优走法，但不会解释为什么这么走。认知AI引擎（CAI）相当于”解说员+教练”——它综合来水预报、调度规则、机组状态等信息，用自然语言告诉调度员”我建议这样走，因为……如果情况变了，我们可以切换到方案B”。两者结合，使调度员能在多目标冲突中做出知情决策，而非盲目接受”黑箱”的优化结果。</w:t>
            </w:r>
          </w:p>
        </w:tc>
      </w:tr>
    </w:tbl>
    <w:p>
      <w:pPr>
        <w:pStyle w:val="FirstParagraph"/>
      </w:pPr>
      <w:r>
        <w:t xml:space="preserve">沙坪水电站的控制方案与胶东调水的最大不同在于：它不仅需要”精确控制”（MPC的强项），还需要”智能决策”——在多目标冲突中权衡取舍、在不确定条件下选择策略、在人机协作中提供可解释的决策建议。这正是HydroOS三层架构中认知AI引擎（CAI）发挥作用的典型场景。</w:t>
      </w:r>
    </w:p>
    <w:p>
      <w:pPr>
        <w:pStyle w:val="BodyText"/>
      </w:pPr>
      <w:r>
        <w:rPr>
          <w:bCs/>
          <w:b/>
        </w:rPr>
        <w:t xml:space="preserve">物理AI引擎（PAI）的角色。</w:t>
      </w:r>
      <w:r>
        <w:t xml:space="preserve"> </w:t>
      </w:r>
      <w:r>
        <w:t xml:space="preserve">PAI负责”能算的事情”：基于水库调洪演算模型和机组特性曲线，计算各种调度方案的水力后果——如果保持当前出力，6小时后水库水位是多少？如果减出力20%、开启一孔泄洪闸，下游流量变化过程如何？如果四站联合调度，全梯级发电效益和泄洪安全的帕累托前沿在哪里？PAI提供的是”可行域”和”代价曲面”，而非单一最优解——因为在多目标冲突中，</w:t>
      </w:r>
      <w:r>
        <w:t xml:space="preserve">“</w:t>
      </w:r>
      <w:r>
        <w:t xml:space="preserve">最优</w:t>
      </w:r>
      <w:r>
        <w:t xml:space="preserve">”</w:t>
      </w:r>
      <w:r>
        <w:t xml:space="preserve">取决于权重选择，而权重选择涉及安全政策和管理决策，不是纯技术问题。</w:t>
      </w:r>
    </w:p>
    <w:p>
      <w:pPr>
        <w:pStyle w:val="BodyText"/>
      </w:pPr>
      <w:r>
        <w:rPr>
          <w:bCs/>
          <w:b/>
        </w:rPr>
        <w:t xml:space="preserve">认知AI引擎（CAI）的角色。</w:t>
      </w:r>
      <w:r>
        <w:t xml:space="preserve"> </w:t>
      </w:r>
      <w:r>
        <w:t xml:space="preserve">CAI负责”需要判断的事情”：综合来水预报更新、调度规程约束、上级调度令、机组检修计划等多源异构信息，生成可执行的调度方案建议，并为调度员提供自然语言解释。一个典型的CAI工作流程如下：</w:t>
      </w:r>
    </w:p>
    <w:p>
      <w:pPr>
        <w:pStyle w:val="BodyText"/>
      </w:pPr>
      <w:r>
        <w:t xml:space="preserve">第一步，</w:t>
      </w:r>
      <w:r>
        <w:rPr>
          <w:bCs/>
          <w:b/>
        </w:rPr>
        <w:t xml:space="preserve">情境感知</w:t>
      </w:r>
      <w:r>
        <w:t xml:space="preserve">。CAI从多个信息源汇聚当前运行态势：SCADA实时数据（水位、出力、闸门开度）、水情预报（3—6小时入库流量预测）、调度令（上级调度中心下达的约束条件）、机组状态（哪些机组可用、哪些在检修）。</w:t>
      </w:r>
    </w:p>
    <w:p>
      <w:pPr>
        <w:pStyle w:val="BodyText"/>
      </w:pPr>
      <w:r>
        <w:t xml:space="preserve">第二步，</w:t>
      </w:r>
      <w:r>
        <w:rPr>
          <w:bCs/>
          <w:b/>
        </w:rPr>
        <w:t xml:space="preserve">方案生成</w:t>
      </w:r>
      <w:r>
        <w:t xml:space="preserve">。CAI调用PAI的计算能力，生成2—3套候选调度方案，每套方案代表不同的策略偏好——例如”保守安全型”（预留更多防洪库容）、</w:t>
      </w:r>
      <w:r>
        <w:t xml:space="preserve">“</w:t>
      </w:r>
      <w:r>
        <w:t xml:space="preserve">均衡型</w:t>
      </w:r>
      <w:r>
        <w:t xml:space="preserve">”</w:t>
      </w:r>
      <w:r>
        <w:t xml:space="preserve">（安全与效益折中）、</w:t>
      </w:r>
      <w:r>
        <w:t xml:space="preserve">“</w:t>
      </w:r>
      <w:r>
        <w:t xml:space="preserve">经济优先型</w:t>
      </w:r>
      <w:r>
        <w:t xml:space="preserve">”</w:t>
      </w:r>
      <w:r>
        <w:t xml:space="preserve">（在安全约束内最大化发电收益）。</w:t>
      </w:r>
    </w:p>
    <w:p>
      <w:pPr>
        <w:pStyle w:val="BodyText"/>
      </w:pPr>
      <w:r>
        <w:t xml:space="preserve">第三步，</w:t>
      </w:r>
      <w:r>
        <w:rPr>
          <w:bCs/>
          <w:b/>
        </w:rPr>
        <w:t xml:space="preserve">决策解释</w:t>
      </w:r>
      <w:r>
        <w:t xml:space="preserve">。CAI用自然语言向调度员解释每套方案的预期后果、风险点和权衡逻辑——</w:t>
      </w:r>
      <w:r>
        <w:t xml:space="preserve">“</w:t>
      </w:r>
      <w:r>
        <w:t xml:space="preserve">方案A将泄洪闸从2孔增至4孔，预计下游6小时后流量增加800 m³/s，低于下游安全阈值；此方案的发电损失约8.5万千瓦时，但将防洪库容提高了1,200万m³</w:t>
      </w:r>
      <w:r>
        <w:t xml:space="preserve">”</w:t>
      </w:r>
      <w:r>
        <w:t xml:space="preserve">。这种可解释的决策支持使调度员能够在理解全局后果的基础上做出知情决策。</w:t>
      </w:r>
    </w:p>
    <w:p>
      <w:pPr>
        <w:pStyle w:val="BodyText"/>
      </w:pPr>
      <w:r>
        <w:t xml:space="preserve">第四步，</w:t>
      </w:r>
      <w:r>
        <w:rPr>
          <w:bCs/>
          <w:b/>
        </w:rPr>
        <w:t xml:space="preserve">执行跟踪</w:t>
      </w:r>
      <w:r>
        <w:t xml:space="preserve">。调度员选择方案后，CAI协调PAI和DAL执行具体操作序列，并持续监测执行效果与预期是否一致。如果出现偏差（如实际来水显著超出预报），CAI主动预警并提供修正建议。</w:t>
      </w:r>
    </w:p>
    <w:p>
      <w:pPr>
        <w:pStyle w:val="BodyText"/>
      </w:pPr>
      <w:r>
        <w:t xml:space="preserve">[图6-3: 沙坪水电站PAI-CAI协作决策流程]</w:t>
      </w:r>
    </w:p>
    <w:bookmarkEnd w:id="33"/>
    <w:bookmarkStart w:id="34" w:name="梯级联调一键调的技术内涵"/>
    <w:p>
      <w:pPr>
        <w:pStyle w:val="Heading3"/>
      </w:pPr>
      <w:r>
        <w:t xml:space="preserve">6.3.4 梯级联调：</w:t>
      </w:r>
      <w:r>
        <w:t xml:space="preserve">“</w:t>
      </w:r>
      <w:r>
        <w:t xml:space="preserve">一键调</w:t>
      </w:r>
      <w:r>
        <w:t xml:space="preserve">”</w:t>
      </w:r>
      <w:r>
        <w:t xml:space="preserve">的技术内涵</w:t>
      </w:r>
    </w:p>
    <w:p>
      <w:pPr>
        <w:pStyle w:val="FirstParagraph"/>
      </w:pPr>
      <w:r>
        <w:t xml:space="preserve">沙坪水电站实践中最引人注目的工程成果是”梯级一键调”——蒲布、深溪沟、镇头、沙坪四站的联合调度，从传统的”各站独立、逐级协调”模式升级为”一键触发、全梯级协同”模式。用一个日常类比：传统模式像是”接力赛”——每一站跑完自己的一棒再把接力棒传给下一站；</w:t>
      </w:r>
      <w:r>
        <w:t xml:space="preserve">“</w:t>
      </w:r>
      <w:r>
        <w:t xml:space="preserve">一键调</w:t>
      </w:r>
      <w:r>
        <w:t xml:space="preserve">”</w:t>
      </w:r>
      <w:r>
        <w:t xml:space="preserve">像是”同步游泳”——四站在统一编排下同时动作，整体效果远优于各自为政。</w:t>
      </w:r>
    </w:p>
    <w:p>
      <w:pPr>
        <w:pStyle w:val="BodyText"/>
      </w:pPr>
      <w:r>
        <w:t xml:space="preserve">“</w:t>
      </w:r>
      <w:r>
        <w:t xml:space="preserve">一键调</w:t>
      </w:r>
      <w:r>
        <w:t xml:space="preserve">”</w:t>
      </w:r>
      <w:r>
        <w:t xml:space="preserve">的字面含义是调度员只需设定全梯级的总体目标（如”在保障防洪安全的前提下，全梯级发电出力最大化”），系统自动完成四站之间的出力分配、闸门协调和时序编排。但其背后的技术内涵远不止”一个按钮”那么简单：</w:t>
      </w:r>
    </w:p>
    <w:p>
      <w:pPr>
        <w:pStyle w:val="BodyText"/>
      </w:pPr>
      <w:r>
        <w:rPr>
          <w:bCs/>
          <w:b/>
        </w:rPr>
        <w:t xml:space="preserve">全梯级水力模型。</w:t>
      </w:r>
      <w:r>
        <w:t xml:space="preserve"> </w:t>
      </w:r>
      <w:r>
        <w:t xml:space="preserve">四站之间的水力传播需要跨站水力模型的支撑。模型需要描述上游电站出流经过河道传播后到达下游电站的流量过程——传播时间、衰减特性和回水效应。这不是四个单站模型的简单拼接，而是一个考虑了级间耦合的完整梯级模型。</w:t>
      </w:r>
    </w:p>
    <w:p>
      <w:pPr>
        <w:pStyle w:val="BodyText"/>
      </w:pPr>
      <w:r>
        <w:rPr>
          <w:bCs/>
          <w:b/>
        </w:rPr>
        <w:t xml:space="preserve">分布式优化求解。</w:t>
      </w:r>
      <w:r>
        <w:t xml:space="preserve"> </w:t>
      </w:r>
      <w:r>
        <w:t xml:space="preserve">四站联合优化的变量维度和约束数量远大于单站。如果采用集中式优化，计算量可能无法满足实时性要求。实际采用的是分布式MPC方法——每个电站的本地MPC控制器负责本站优化，梯级协调层通过信息交换实现全局协调。协调层不直接控制各站，而是通过调整各站MPC的边界条件和目标权重来引导全梯级趋向全局最优。</w:t>
      </w:r>
    </w:p>
    <w:p>
      <w:pPr>
        <w:pStyle w:val="BodyText"/>
      </w:pPr>
      <w:r>
        <w:rPr>
          <w:bCs/>
          <w:b/>
        </w:rPr>
        <w:t xml:space="preserve">安全互锁机制。</w:t>
      </w:r>
      <w:r>
        <w:t xml:space="preserve"> </w:t>
      </w:r>
      <w:r>
        <w:t xml:space="preserve">梯级联调的安全风险高于单站运行——一站的误操作可能通过水力传播影响全梯级。因此，</w:t>
      </w:r>
      <w:r>
        <w:t xml:space="preserve">“</w:t>
      </w:r>
      <w:r>
        <w:t xml:space="preserve">一键调</w:t>
      </w:r>
      <w:r>
        <w:t xml:space="preserve">”</w:t>
      </w:r>
      <w:r>
        <w:t xml:space="preserve">系统在执行层面增加了梯级安全互锁：上游电站增加出力前必须确认下游电站的接纳能力；泄洪操作前必须确认下游河道和电站的安全裕度；任何一站触发安全降级时，相关联的上下游站同步进入警戒状态。</w:t>
      </w:r>
    </w:p>
    <w:p>
      <w:pPr>
        <w:pStyle w:val="BodyText"/>
      </w:pPr>
      <w:r>
        <w:rPr>
          <w:bCs/>
          <w:b/>
        </w:rPr>
        <w:t xml:space="preserve">“</w:t>
      </w:r>
      <w:r>
        <w:rPr>
          <w:bCs/>
          <w:b/>
        </w:rPr>
        <w:t xml:space="preserve">一键调</w:t>
      </w:r>
      <w:r>
        <w:rPr>
          <w:bCs/>
          <w:b/>
        </w:rPr>
        <w:t xml:space="preserve">”</w:t>
      </w:r>
      <w:r>
        <w:rPr>
          <w:bCs/>
          <w:b/>
        </w:rPr>
        <w:t xml:space="preserve">的工程实现挑战。</w:t>
      </w:r>
      <w:r>
        <w:t xml:space="preserve"> </w:t>
      </w:r>
      <w:r>
        <w:t xml:space="preserve">将”一键调”从概念变为工程现实，需要克服三个实际困难。第一是</w:t>
      </w:r>
      <w:r>
        <w:rPr>
          <w:bCs/>
          <w:b/>
        </w:rPr>
        <w:t xml:space="preserve">通信可靠性</w:t>
      </w:r>
      <w:r>
        <w:t xml:space="preserve">——四站之间的协调信息交换对通信延迟和可靠性有严格要求。当前采用的方案是双路通信冗余（光纤专网为主、4G/5G移动网为备），并在协调层设计了”通信丢失降级”逻辑——如果某站与协调层超过30秒无通信，该站自动切换为本地独立运行模式，同时通知其他站调整边界条件。第二是</w:t>
      </w:r>
      <w:r>
        <w:rPr>
          <w:bCs/>
          <w:b/>
        </w:rPr>
        <w:t xml:space="preserve">调度权限协调</w:t>
      </w:r>
      <w:r>
        <w:t xml:space="preserve">——四站可能分属不同管理单位，</w:t>
      </w:r>
      <w:r>
        <w:t xml:space="preserve">“</w:t>
      </w:r>
      <w:r>
        <w:t xml:space="preserve">一键调</w:t>
      </w:r>
      <w:r>
        <w:t xml:space="preserve">”</w:t>
      </w:r>
      <w:r>
        <w:t xml:space="preserve">的统一指挥权限需要管理层面的制度安排支撑。第三是</w:t>
      </w:r>
      <w:r>
        <w:rPr>
          <w:bCs/>
          <w:b/>
        </w:rPr>
        <w:t xml:space="preserve">共同状态基准</w:t>
      </w:r>
      <w:r>
        <w:t xml:space="preserve">——四站的SCADA时钟必须精确同步（偏差≤1秒），否则基于不同时刻数据做出的协调决策可能自相矛盾。</w:t>
      </w:r>
    </w:p>
    <w:p>
      <w:pPr>
        <w:pStyle w:val="BodyText"/>
      </w:pPr>
      <w:r>
        <w:t xml:space="preserve">从WNAL等级的角度看，梯级”一键调”本质上是将四个独立运行在L1—L2的电站，通过协调层整合为一个在梯级尺度上运行在L2的系统。未来如果四站协调的可靠性和自主性进一步提升，有望实现梯级尺度的L3——在预定义的ODD范围内，全梯级自主完成发电—泄洪协调调度，人工仅在异常时介入。</w:t>
      </w:r>
    </w:p>
    <w:bookmarkEnd w:id="34"/>
    <w:bookmarkStart w:id="35" w:name="运行成效与经验总结-1"/>
    <w:p>
      <w:pPr>
        <w:pStyle w:val="Heading3"/>
      </w:pPr>
      <w:r>
        <w:t xml:space="preserve">6.3.5 运行成效与经验总结</w:t>
      </w:r>
    </w:p>
    <w:p>
      <w:pPr>
        <w:pStyle w:val="FirstParagraph"/>
      </w:pPr>
      <w:r>
        <w:t xml:space="preserve">沙坪水电站智能控制系统的运行成效可以从以下几个方面评估：</w:t>
      </w:r>
    </w:p>
    <w:p>
      <w:pPr>
        <w:pStyle w:val="BodyText"/>
      </w:pPr>
      <w:r>
        <w:rPr>
          <w:bCs/>
          <w:b/>
        </w:rPr>
        <w:t xml:space="preserve">多目标协调效率。</w:t>
      </w:r>
      <w:r>
        <w:t xml:space="preserve"> </w:t>
      </w:r>
      <w:r>
        <w:t xml:space="preserve">在汛期发电—泄洪冲突最突出的工况下，智能调度方案与人工经验调度相比，全梯级发电效益提升约5%—8%，同时防洪安全裕度不降低。这一提升主要来自MPC对机组出力分配和泄洪时序的精细优化——人工调度受限于经验和时间压力，往往采用保守策略，而MPC能在安全约束空间内找到更优的运行点。</w:t>
      </w:r>
    </w:p>
    <w:p>
      <w:pPr>
        <w:pStyle w:val="BodyText"/>
      </w:pPr>
      <w:r>
        <w:rPr>
          <w:bCs/>
          <w:b/>
        </w:rPr>
        <w:t xml:space="preserve">应急响应速度。</w:t>
      </w:r>
      <w:r>
        <w:t xml:space="preserve"> </w:t>
      </w:r>
      <w:r>
        <w:t xml:space="preserve">在来水突变等紧急工况下，系统从”识别异常”到”生成应急方案”的时间从人工模式的20—30分钟缩短到3—5分钟。这一提速的关键不是计算速度，而是CAI引擎能够同时处理多源信息并快速评估多种备选方案，而人工调度员在紧急状态下往往只能逐一评估。</w:t>
      </w:r>
    </w:p>
    <w:p>
      <w:pPr>
        <w:pStyle w:val="BodyText"/>
      </w:pPr>
      <w:r>
        <w:rPr>
          <w:bCs/>
          <w:b/>
        </w:rPr>
        <w:t xml:space="preserve">决策可追溯性。</w:t>
      </w:r>
      <w:r>
        <w:t xml:space="preserve"> </w:t>
      </w:r>
      <w:r>
        <w:t xml:space="preserve">每一次调度决策的完整上下文——包括当时的来水预报、机组状态、调度令约束、候选方案比选理由、最终选择依据——都被记录在审计链中。这使得事后复盘的效率大幅提高，也为WNAL等级跃迁评估提供了可信的运行数据支撑。</w:t>
      </w:r>
    </w:p>
    <w:p>
      <w:pPr>
        <w:pStyle w:val="BodyText"/>
      </w:pPr>
      <w:r>
        <w:rPr>
          <w:bCs/>
          <w:b/>
        </w:rPr>
        <w:t xml:space="preserve">CAI的实际贡献与局限。</w:t>
      </w:r>
      <w:r>
        <w:t xml:space="preserve"> </w:t>
      </w:r>
      <w:r>
        <w:t xml:space="preserve">沙坪实践对CAI引擎的实际价值提供了清醒的评估。CAI最大的价值不是”替代调度员做决策”，而是”帮助调度员看到更完整的全局图景”。在传统模式下，调度员处理一次汛期来水事件时，需要在多个屏幕之间切换查看水位、出力、来水预报和调度令，信息整合完全依赖个人经验和工作记忆。CAI将这些信息融合为一份结构化的态势报告，并附带定量的方案比选分析——相当于为调度员配备了一个”永远不疲倦、不遗漏的助手”。但CAI也暴露了明显的局限：在来水预报存在重大偏差时（如预报为中雨、实际为暴雨），CAI基于错误输入生成的方案可能误导调度员。因此，系统设计了”预报敏感性提示”功能——CAI在生成方案的同时，主动告知”如果实际来水比预报高30%，本方案将需要在2小时内切换为方案B”。</w:t>
      </w:r>
    </w:p>
    <w:p>
      <w:pPr>
        <w:pStyle w:val="BodyText"/>
      </w:pPr>
      <w:r>
        <w:t xml:space="preserve">沙坪水电站实践的独特价值在于验证了CHS框架在”多目标冲突+不确定性”场景下的适用性。与胶东调水的”单一目标、确定性强”场景不同，沙坪的实践表明：认知AI引擎在多目标权衡和决策解释方面具有不可替代的价值——PAI能算出帕累托前沿，但只有CAI能帮助调度员理解前沿上每个点的工程含义并做出知情选择。</w:t>
      </w:r>
    </w:p>
    <w:p>
      <w:pPr>
        <w:pStyle w:val="BodyText"/>
      </w:pPr>
      <w:r>
        <w:t xml:space="preserve">[图6-4: 胶东调水与沙坪水电站技术方案对比]</w:t>
      </w:r>
    </w:p>
    <w:p>
      <w:pPr>
        <w:pStyle w:val="BodyText"/>
      </w:pPr>
      <w:r>
        <w:t xml:space="preserve">两个主要案例的对比可以更清晰地展示CHS框架的适应性。胶东调水的核心技术是MPC——问题结构明确（单一水位控制目标）、模型可靠（IDZ降阶模型精度高）、约束清晰（水位上下限、闸门速率限制），适合用优化方法求解。沙坪水电站的核心技术是PAI+CAI协作——问题结构模糊（多目标权重不固定）、不确定性大（来水预报误差）、决策涉及安全政策和管理判断，需要人机协作。两者在安全设计和验证方法上共享CHS框架的通用机制（安全包络、四态机、MIL/SIL/HIL），但在控制策略和人机协作模式上各有侧重。</w:t>
      </w:r>
    </w:p>
    <w:p>
      <w:pPr>
        <w:pStyle w:val="BodyText"/>
      </w:pPr>
      <w:r>
        <w:t xml:space="preserve">胶东调水483 km，沙坪水电站的梯级联调覆盖数十公里河段——如果将尺度再放大三倍，到1,432 km的南水北调中线，CHS框架会遇到哪些全新的挑战？</w:t>
      </w:r>
    </w:p>
    <w:p>
      <w:r>
        <w:pict>
          <v:rect style="width:0;height:1.5pt" o:hralign="center" o:hrstd="t" o:hr="t"/>
        </w:pict>
      </w:r>
    </w:p>
    <w:bookmarkEnd w:id="35"/>
    <w:bookmarkEnd w:id="36"/>
    <w:bookmarkStart w:id="40" w:name="南水北调中线超大尺度调水工程的特殊挑战"/>
    <w:p>
      <w:pPr>
        <w:pStyle w:val="Heading2"/>
      </w:pPr>
      <w:r>
        <w:t xml:space="preserve">6.4 南水北调中线：超大尺度调水工程的特殊挑战</w:t>
      </w:r>
    </w:p>
    <w:bookmarkStart w:id="37" w:name="工程规模与控制难度"/>
    <w:p>
      <w:pPr>
        <w:pStyle w:val="Heading3"/>
      </w:pPr>
      <w:r>
        <w:t xml:space="preserve">6.4.1 工程规模与控制难度</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给水利工程师的速览：为什么”大”本身就是挑战？</w:t>
            </w:r>
          </w:p>
        </w:tc>
      </w:tr>
      <w:tr>
        <w:tc>
          <w:tcPr/>
          <w:p>
            <w:pPr>
              <w:pStyle w:val="Compact"/>
              <w:jc w:val="left"/>
            </w:pPr>
            <w:r>
              <w:t xml:space="preserve">南水北调中线全长1,432 km，是胶东调水的3倍。但控制难度的增长不是线性的——渠段数量、约束维度、协调关系、模型参数数量都呈超线性增长。直觉类比：指挥一个10人小队，队长可以直接对每个人下达指令；指挥一个1000人的团，必须分层设团营连排，用命令链而非直接指挥。这就是分布式控制架构的工程必然性。</w:t>
            </w:r>
          </w:p>
        </w:tc>
      </w:tr>
    </w:tbl>
    <w:p>
      <w:pPr>
        <w:pStyle w:val="FirstParagraph"/>
      </w:pPr>
      <w:r>
        <w:t xml:space="preserve">南水北调中线工程是世界上距离最长的调水工程之一，总干渠从丹江口水库自流引水至北京团城湖，全长1,432 km。工程由63个节制闸、97个退水闸、54个分水口和众多渡槽、倒虹吸等水工建筑物组成。截至2025年，工程累计调水超过700亿立方米，惠及沿线1.76亿人口。</w:t>
      </w:r>
    </w:p>
    <w:p>
      <w:pPr>
        <w:pStyle w:val="BodyText"/>
      </w:pPr>
      <w:r>
        <w:t xml:space="preserve">南水北调中线的控制挑战在”量级”上远超胶东调水。一次上游闸门调整的水力影响需要数天才能传播到全线末端；沿线分布着数十个取水口，各取水口的用水需求存在时空不均匀性；工程跨越四个省市（湖北、河南、河北、北京/天津），涉及多个管理层级的协调。</w:t>
      </w:r>
    </w:p>
    <w:p>
      <w:pPr>
        <w:pStyle w:val="BodyText"/>
      </w:pPr>
      <w:r>
        <w:t xml:space="preserve">用几个数字来直观感受这种尺度差异：胶东调水的MPC状态变量约50维，南水北调中线若做全线集中优化，状态变量可能超过500维；胶东调水的约束数量为200—500个，南水北调中线的约束数量可达数千个；胶东调水MPC的控制周期为15分钟，南水北调中线全线水力响应时间以天计，控制决策的时间尺度完全不同。</w:t>
      </w:r>
    </w:p>
    <w:p>
      <w:pPr>
        <w:pStyle w:val="BodyText"/>
      </w:pPr>
      <w:r>
        <w:t xml:space="preserve">智能调控的核心技术挑战包括四个方面：</w:t>
      </w:r>
    </w:p>
    <w:p>
      <w:pPr>
        <w:pStyle w:val="BodyText"/>
      </w:pPr>
      <w:r>
        <w:rPr>
          <w:bCs/>
          <w:b/>
        </w:rPr>
        <w:t xml:space="preserve">超长链路的模型精度维护。</w:t>
      </w:r>
      <w:r>
        <w:t xml:space="preserve"> </w:t>
      </w:r>
      <w:r>
        <w:t xml:space="preserve">1,432 km的渠道分为63个渠段，每个渠段的水力特性受季节变化（温度影响粗糙系数）、淤积变化和沿程取水变化的影响。维护全线模型的精度需要持续的参数校正，工作量远大于胶东调水——胶东调水每季度校正一次即可，南水北调中线由于渠段数量多、环境差异大，可能需要分段分频次校正，部分高变化率渠段甚至需要月度校正。</w:t>
      </w:r>
    </w:p>
    <w:p>
      <w:pPr>
        <w:pStyle w:val="BodyText"/>
      </w:pPr>
      <w:r>
        <w:rPr>
          <w:bCs/>
          <w:b/>
        </w:rPr>
        <w:t xml:space="preserve">分布式决策与集中协调的平衡。</w:t>
      </w:r>
      <w:r>
        <w:t xml:space="preserve"> </w:t>
      </w:r>
      <w:r>
        <w:t xml:space="preserve">超大规模系统不可能由单一集中控制器管理——通信延迟、计算量和单点故障风险都不允许。但完全分散的控制又无法保证全局协调。实际架构采用了三级分区控制：全线划分为若干管理段，每段由本地控制器负责；相邻管理段之间通过信息交换实现协调；全线调度中心负责总量分配和应急指挥。这种分层分布式架构正是CHS八原理中”原理三（分层分布式协调）“的大规模工程实践。</w:t>
      </w:r>
    </w:p>
    <w:p>
      <w:pPr>
        <w:pStyle w:val="BodyText"/>
      </w:pPr>
      <w:r>
        <w:rPr>
          <w:bCs/>
          <w:b/>
        </w:rPr>
        <w:t xml:space="preserve">冰期运行的特殊挑战。</w:t>
      </w:r>
      <w:r>
        <w:t xml:space="preserve"> </w:t>
      </w:r>
      <w:r>
        <w:t xml:space="preserve">南水北调中线的北段（黄河以北至北京，约700 km）每年冬季面临冰期运行问题。冰盖形成后，渠道从明渠流变为有压流，Manning粗糙系数增大2—5倍，水位壅高显著，常规IDZ模型参数完全失效。工程需要在入冬前逐步降低流量、抬高运行水位以应对冰盖壅水，在冰期全程切换到专用冰期控制模式。冰期的ODD与非冰期完全不同——流量范围收窄、水位偏差容许放宽、闸门调节速率限制更严格（避免冰盖破裂引发冰塞冰坝）[6-33]。这一挑战是胶东调水和沙坪水电站都不曾面临的。</w:t>
      </w:r>
    </w:p>
    <w:p>
      <w:pPr>
        <w:pStyle w:val="BodyText"/>
      </w:pPr>
      <w:r>
        <w:rPr>
          <w:bCs/>
          <w:b/>
        </w:rPr>
        <w:t xml:space="preserve">应急调度的复杂性。</w:t>
      </w:r>
      <w:r>
        <w:t xml:space="preserve"> </w:t>
      </w:r>
      <w:r>
        <w:t xml:space="preserve">工程沿线可能发生的突发事件类型众多——输水管段破损、闸门故障、沿线取水口突发需求变化、极端天气等。应急调度需要在极短时间内重新计算全线调度方案，同时协调多个管理层级的响应。雷晓辉团队针对南水北调中线研发的智能调控与应急调度关键技术 [6-2]，建立了常态调度与应急调度的快速切换机制。</w:t>
      </w:r>
    </w:p>
    <w:bookmarkEnd w:id="37"/>
    <w:bookmarkStart w:id="38" w:name="智能调控关键技术"/>
    <w:p>
      <w:pPr>
        <w:pStyle w:val="Heading3"/>
      </w:pPr>
      <w:r>
        <w:t xml:space="preserve">6.4.2 智能调控关键技术</w:t>
      </w:r>
    </w:p>
    <w:p>
      <w:pPr>
        <w:pStyle w:val="FirstParagraph"/>
      </w:pPr>
      <w:r>
        <w:t xml:space="preserve">雷晓辉团队针对南水北调中线研发的智能调控与应急调度系统 [6-2]，在以下几个方面形成了具有特色的技术方案：</w:t>
      </w:r>
    </w:p>
    <w:p>
      <w:pPr>
        <w:pStyle w:val="BodyText"/>
      </w:pPr>
      <w:r>
        <w:rPr>
          <w:bCs/>
          <w:b/>
        </w:rPr>
        <w:t xml:space="preserve">大尺度水力建模。</w:t>
      </w:r>
      <w:r>
        <w:t xml:space="preserve"> </w:t>
      </w:r>
      <w:r>
        <w:t xml:space="preserve">全线1,432 km渠道的水力建模采用分段策略——将总干渠按节制闸分为63个渠段，每个渠段建立独立的IDZ降阶模型，渠段之间通过流量边界条件耦合。这种”分段建模+边界耦合”的方法在计算效率和模型精度之间取得了合理平衡：每个渠段的模型复杂度可控，而全线耦合后能够捕捉跨渠段的水力传播效应。</w:t>
      </w:r>
    </w:p>
    <w:p>
      <w:pPr>
        <w:pStyle w:val="BodyText"/>
      </w:pPr>
      <w:r>
        <w:t xml:space="preserve">值得注意的是，63个渠段的IDZ参数并不相同——北方渠段（冬季有冰期影响）和南方渠段（全年明渠流）的水力特性差异显著。建模团队为此建立了”参数分区”策略：将全线分为4个水力特性相似区（丹江口—南阳段、南阳—黄河段、黄河—石家庄段、石家庄—北京段），每个分区内采用统一的参数校正频率和方法，分区之间允许参数独立更新。</w:t>
      </w:r>
    </w:p>
    <w:p>
      <w:pPr>
        <w:pStyle w:val="BodyText"/>
      </w:pPr>
      <w:r>
        <w:rPr>
          <w:bCs/>
          <w:b/>
        </w:rPr>
        <w:t xml:space="preserve">三级分区控制架构。</w:t>
      </w:r>
      <w:r>
        <w:t xml:space="preserve"> </w:t>
      </w:r>
      <w:r>
        <w:t xml:space="preserve">全线划分为5个管理段，每个管理段设独立的控制中心。管理段内采用集中MPC优化，管理段之间通过分水量目标和边界水位约束进行协调 [6-35]。全线调度中心负责确定各管理段的分水总量和优先级，但不直接干预段内控制决策。这种架构的优势是：即使某个管理段与调度中心通信中断，该段仍能基于本地信息独立运行——这是CHS”断连可活”原则在超大规模工程中的具体实现。</w:t>
      </w:r>
    </w:p>
    <w:p>
      <w:pPr>
        <w:pStyle w:val="BodyText"/>
      </w:pPr>
      <w:r>
        <w:t xml:space="preserve">三级架构的信息流设计颇有讲究。全线调度中心以”日调度计划+实时修正”的模式运行——每日凌晨下达全线分水计划，白天根据实际取水量和水情变化发布修正指令。管理段控制中心以15—30分钟为控制周期运行本地MPC，同时每小时向全线中心报告本段运行状态。渠段级的PID保底控制以分钟级周期运行，不依赖上层通信。三个时间尺度的协调确保了系统在任何层级通信中断时都有”降级运行”的能力。</w:t>
      </w:r>
    </w:p>
    <w:p>
      <w:pPr>
        <w:pStyle w:val="BodyText"/>
      </w:pPr>
      <w:r>
        <w:rPr>
          <w:bCs/>
          <w:b/>
        </w:rPr>
        <w:t xml:space="preserve">常态与应急的快速切换。</w:t>
      </w:r>
      <w:r>
        <w:t xml:space="preserve"> </w:t>
      </w:r>
      <w:r>
        <w:t xml:space="preserve">南水北调中线最具挑战性的控制场景是应急处置——如某渠段发现水质异常需要关闭取水口、某节制闸故障需要紧急分流、沿线暴雨导致退水需求激增。应急调度与常态调度的核心区别在于目标函数的切换：常态追求”经济高效输水”，应急追求”最短时间恢复安全状态”。</w:t>
      </w:r>
    </w:p>
    <w:p>
      <w:pPr>
        <w:pStyle w:val="BodyText"/>
      </w:pPr>
      <w:r>
        <w:t xml:space="preserve">系统设计了预案库机制——针对20类典型突发事件预编了应急调度方案模板。每个预案包含四个要素：触发条件（什么情况下启动）、影响范围评估（哪些渠段受影响）、处置动作序列（闸门调整时序和幅度）、恢复路径（从应急状态回到常态的过渡策略）。应急时由调度员选择预案并根据实际情况微调参数，而非从零开始计算——这将应急响应时间从”数十分钟级”缩短到”分钟级”。</w:t>
      </w:r>
    </w:p>
    <w:p>
      <w:pPr>
        <w:pStyle w:val="BodyText"/>
      </w:pPr>
      <w:r>
        <w:rPr>
          <w:bCs/>
          <w:b/>
        </w:rPr>
        <w:t xml:space="preserve">ODD的空间异质性管理。</w:t>
      </w:r>
      <w:r>
        <w:t xml:space="preserve"> </w:t>
      </w:r>
      <w:r>
        <w:t xml:space="preserve">这是南水北调中线区别于其他案例的最独特挑战。全线1,432 km跨越四个气候区，从亚热带到暖温带，不同渠段的ODD边界差异显著。例如：丹江口—南阳段全年无冰期影响，ODD可以全年统一；石家庄—北京段冬季有冰期，ODD需要按季节切换；黄河穿越工程段因为是倒虹吸结构，ODD维度中增加了”管道内外压差”约束。</w:t>
      </w:r>
    </w:p>
    <w:p>
      <w:pPr>
        <w:pStyle w:val="BodyText"/>
      </w:pPr>
      <w:r>
        <w:t xml:space="preserve">团队开发了”ODD空间矩阵”管理工具——将全线63个渠段在5个ODD维度（流量、水位、通信、设备、环境）上的边界参数组织为一个63×5的矩阵，每个矩阵元素根据季节和工况动态更新。当某个渠段的实际运行条件接近其ODD边界时，系统自动向管理段控制中心发出预警。</w:t>
      </w:r>
    </w:p>
    <w:bookmarkEnd w:id="38"/>
    <w:bookmarkStart w:id="39" w:name="与chs框架的关系"/>
    <w:p>
      <w:pPr>
        <w:pStyle w:val="Heading3"/>
      </w:pPr>
      <w:r>
        <w:t xml:space="preserve">6.4.3 与CHS框架的关系</w:t>
      </w:r>
    </w:p>
    <w:p>
      <w:pPr>
        <w:pStyle w:val="FirstParagraph"/>
      </w:pPr>
      <w:r>
        <w:t xml:space="preserve">南水北调中线的智能化建设尚处于WNAL L1→L2的推进阶段，距离胶东调水的L3水平还有较大差距。但正是这种”进行时”的状态使其成为一个有价值的研究案例——它揭示了CHS技术在超大规模工程中面临的独特挑战和需要的特殊适配。</w:t>
      </w:r>
    </w:p>
    <w:p>
      <w:pPr>
        <w:pStyle w:val="BodyText"/>
      </w:pPr>
      <w:r>
        <w:t xml:space="preserve">与胶东调水相比，南水北调中线在三个方面对CHS框架提出了更高要求：</w:t>
      </w:r>
    </w:p>
    <w:p>
      <w:pPr>
        <w:pStyle w:val="BodyText"/>
      </w:pPr>
      <w:r>
        <w:t xml:space="preserve">第一，</w:t>
      </w:r>
      <w:r>
        <w:rPr>
          <w:bCs/>
          <w:b/>
        </w:rPr>
        <w:t xml:space="preserve">ODD的空间异质性</w:t>
      </w:r>
      <w:r>
        <w:t xml:space="preserve">。胶东调水的ODD可以基本视为全线统一的；但南水北调中线跨越四个省市、数十种地形条件和气候区，ODD必须按渠段分区定义，且不同渠段的ODD可能差异显著。</w:t>
      </w:r>
    </w:p>
    <w:p>
      <w:pPr>
        <w:pStyle w:val="BodyText"/>
      </w:pPr>
      <w:r>
        <w:t xml:space="preserve">第二，</w:t>
      </w:r>
      <w:r>
        <w:rPr>
          <w:bCs/>
          <w:b/>
        </w:rPr>
        <w:t xml:space="preserve">模型体系的层次性</w:t>
      </w:r>
      <w:r>
        <w:t xml:space="preserve">。单一的全线水力模型既不现实（计算量过大）也不必要（局部控制不需要全线信息）。需要建立多尺度、多精度的模型体系——全线用降阶模型做总量分配，管理段用中等精度模型做协调优化，局部用高精度模型做实时控制。</w:t>
      </w:r>
    </w:p>
    <w:p>
      <w:pPr>
        <w:pStyle w:val="BodyText"/>
      </w:pPr>
      <w:r>
        <w:t xml:space="preserve">第三，</w:t>
      </w:r>
      <w:r>
        <w:rPr>
          <w:bCs/>
          <w:b/>
        </w:rPr>
        <w:t xml:space="preserve">人机协作的组织复杂性</w:t>
      </w:r>
      <w:r>
        <w:t xml:space="preserve">。多个管理层级意味着”人工接管”不是一个简单的动作，而是一个涉及多部门协调的组织过程。四态机的降级机制在这种情境下需要与组织管理流程深度集成。</w:t>
      </w:r>
    </w:p>
    <w:p>
      <w:pPr>
        <w:pStyle w:val="BodyText"/>
      </w:pPr>
      <w:r>
        <w:t xml:space="preserve">以上三个案例都是中国工程。CHS框架的核心概念——分层控制、ODD定义、在环验证——在国际上是否有对应的实践？不同国家的水利工程师是否走出了相似的技术路径？</w:t>
      </w:r>
    </w:p>
    <w:p>
      <w:r>
        <w:pict>
          <v:rect style="width:0;height:1.5pt" o:hralign="center" o:hrstd="t" o:hr="t"/>
        </w:pict>
      </w:r>
    </w:p>
    <w:bookmarkEnd w:id="39"/>
    <w:bookmarkEnd w:id="40"/>
    <w:bookmarkStart w:id="45" w:name="国际案例对照"/>
    <w:p>
      <w:pPr>
        <w:pStyle w:val="Heading2"/>
      </w:pPr>
      <w:r>
        <w:t xml:space="preserve">6.5 国际案例对照</w:t>
      </w:r>
    </w:p>
    <w:bookmarkStart w:id="41" w:name="美国中央亚利桑那调水工程cap"/>
    <w:p>
      <w:pPr>
        <w:pStyle w:val="Heading3"/>
      </w:pPr>
      <w:r>
        <w:t xml:space="preserve">6.5.1 美国中央亚利桑那调水工程（CAP）</w:t>
      </w:r>
    </w:p>
    <w:p>
      <w:pPr>
        <w:pStyle w:val="FirstParagraph"/>
      </w:pPr>
      <w:r>
        <w:t xml:space="preserve">中央亚利桑那调水工程（Central Arizona Project, CAP）是美国最大的引水工程之一，全长约540 km，将科罗拉多河水从Lake Havasu输送至亚利桑那州中南部的凤凰城和图森。CAP是国际明渠自动控制领域的标志性工程——早在20世纪90年代就开始实施渠道自动化，其自动化历程几乎与明渠控制理论的发展同步。</w:t>
      </w:r>
    </w:p>
    <w:p>
      <w:pPr>
        <w:pStyle w:val="BodyText"/>
      </w:pPr>
      <w:r>
        <w:t xml:space="preserve">CAP的控制系统经历了从”本地PID控制”到”集中远程SCADA控制”再到”分层MPC优化”的演进过程，与CHS框架中的WNAL L0→L2路径有高度对应关系。用WNAL术语来描述：CAP在1990年代完成了L0→L1跃迁（全线SCADA建设），2000年代推进L1→L2（部分渠段MPC试运行），目前处于L2稳定运行阶段。值得注意的是，CAP至今没有进入L3——即没有实现”条件自主运行”。其原因不是技术瓶颈，而是美国西部水权法规的严格约束：每一次水量分配变更都需要法律层面的授权，自主决策的法律边界尚未明确。</w:t>
      </w:r>
    </w:p>
    <w:p>
      <w:pPr>
        <w:pStyle w:val="BodyText"/>
      </w:pPr>
      <w:r>
        <w:t xml:space="preserve">Clemmens等 [6-14] 基于CAP的运行经验，提出了系统化的渠道控制算法测试方法——这是国际上最早的”在环测试”概念在水利领域的应用之一。其关键经验包括：分层控制架构是大规模渠道系统的必然选择；本地控制器必须具备独立运行能力（类似CHS的”断连可活”原则）；模型精度对MPC性能至关重要，但模型维护的投入往往被低估。CAP的另一个重要贡献是将”水位差控制”（Water Level Difference Control）确立为明渠控制的核心范式，这一概念后来被Kong等 [6-1] 引入胶东调水的MPC设计中。</w:t>
      </w:r>
    </w:p>
    <w:bookmarkEnd w:id="41"/>
    <w:bookmarkStart w:id="42" w:name="法国canal-de-provence"/>
    <w:p>
      <w:pPr>
        <w:pStyle w:val="Heading3"/>
      </w:pPr>
      <w:r>
        <w:t xml:space="preserve">6.5.2 法国Canal de Provence</w:t>
      </w:r>
    </w:p>
    <w:p>
      <w:pPr>
        <w:pStyle w:val="FirstParagraph"/>
      </w:pPr>
      <w:r>
        <w:t xml:space="preserve">Canal de Provence是法国南部的大型灌溉和供水工程，总长约200 km，以其先进的自动化控制系统闻名于国际水利界。法国学者Litrico和Fromion基于Canal de Provence的工程实践，撰写了明渠建模与控制领域的经典专著 [6-3]——该书系统建立了明渠传递函数模型和频域分析方法，是CHS理论中”原理一（传递函数化）“的重要学术源流之一。</w:t>
      </w:r>
    </w:p>
    <w:p>
      <w:pPr>
        <w:pStyle w:val="BodyText"/>
      </w:pPr>
      <w:r>
        <w:t xml:space="preserve">Canal de Provence的独特贡献在于将系统控制理论严格地应用于明渠水动力学——不是简单地把PID控制器”安装”到渠道系统上，而是从Saint-Venant方程出发推导传递函数、分析频率响应特性、设计基于模型的控制器。这种”从第一性原理出发”的方法论对CHS框架的形成有直接影响。更为重要的是，Litrico和Fromion通过严格的数学分析证明了明渠系统具有”无穷维”特性——传递函数含有无穷多个极点和零点，与经典的有限维控制系统有本质区别。这一理论发现解释了为什么简单的PID控制在长渠道上表现不佳：PID控制器是有限维的控制器试图控制无穷维的被控对象，频域匹配存在固有缺陷。IDZ模型和MPC方法的优势正是通过有限维降阶近似来系统地处理这一挑战。</w:t>
      </w:r>
    </w:p>
    <w:bookmarkEnd w:id="42"/>
    <w:bookmarkStart w:id="43" w:name="美国波士顿mwra供水系统"/>
    <w:p>
      <w:pPr>
        <w:pStyle w:val="Heading3"/>
      </w:pPr>
      <w:r>
        <w:t xml:space="preserve">6.5.3 美国波士顿MWRA供水系统</w:t>
      </w:r>
    </w:p>
    <w:p>
      <w:pPr>
        <w:pStyle w:val="FirstParagraph"/>
      </w:pPr>
      <w:r>
        <w:t xml:space="preserve">波士顿大都会水利局（Massachusetts Water Resources Authority, MWRA）管理着为250万居民供水的大型供水系统。MWRA在供水管网的智能化管理方面处于国际前列——其系统整合了SCADA实时监控、水力模型在线仿真和泄漏检测智能分析。</w:t>
      </w:r>
    </w:p>
    <w:p>
      <w:pPr>
        <w:pStyle w:val="BodyText"/>
      </w:pPr>
      <w:r>
        <w:t xml:space="preserve">MWRA的案例对CHS框架的启示在于两个方面。其一，管网系统（压力管道）与明渠系统虽然水力特性不同（管网为有压流、响应更快、水锤效应显著），但在控制架构层面面临相似的挑战——多源异构数据的融合、实时状态估计、异常检测与诊断。这表明CHS框架的核心概念（分层架构、安全包络、在环验证等）具有跨工程类型的通用性。其二，MWRA的泄漏检测系统展示了”物理模型+数据驱动”融合的实际价值：水力模型提供管网的”正常”行为基准，偏差检测算法识别偏离基准的异常模式，两者结合实现了远高于单一方法的泄漏检测准确率。这种融合思路与CHS框架中PAI（物理AI引擎）的设计理念高度一致。</w:t>
      </w:r>
    </w:p>
    <w:p>
      <w:pPr>
        <w:pStyle w:val="BodyText"/>
      </w:pPr>
      <w:r>
        <w:t xml:space="preserve">[图6-5: 中外典型案例WNAL等级对照]</w:t>
      </w:r>
    </w:p>
    <w:bookmarkEnd w:id="43"/>
    <w:bookmarkStart w:id="44" w:name="国际趋势总结"/>
    <w:p>
      <w:pPr>
        <w:pStyle w:val="Heading3"/>
      </w:pPr>
      <w:r>
        <w:t xml:space="preserve">6.5.4 国际趋势总结</w:t>
      </w:r>
    </w:p>
    <w:p>
      <w:pPr>
        <w:pStyle w:val="FirstParagraph"/>
      </w:pPr>
      <w:r>
        <w:t xml:space="preserve">综合以上国际案例和更广泛的文献调研，全球水利工程智能化呈现三个共性趋势：</w:t>
      </w:r>
    </w:p>
    <w:p>
      <w:pPr>
        <w:pStyle w:val="BodyText"/>
      </w:pPr>
      <w:r>
        <w:t xml:space="preserve">第一，</w:t>
      </w:r>
      <w:r>
        <w:rPr>
          <w:bCs/>
          <w:b/>
        </w:rPr>
        <w:t xml:space="preserve">从单站自动化到流域级协同</w:t>
      </w:r>
      <w:r>
        <w:t xml:space="preserve">。各国的实践都从单站SCADA建设起步，逐步向跨站协调、流域级优化发展。这与CHS框架中WNAL从L0到L5的分级路径高度一致。</w:t>
      </w:r>
    </w:p>
    <w:p>
      <w:pPr>
        <w:pStyle w:val="BodyText"/>
      </w:pPr>
      <w:r>
        <w:t xml:space="preserve">第二，</w:t>
      </w:r>
      <w:r>
        <w:rPr>
          <w:bCs/>
          <w:b/>
        </w:rPr>
        <w:t xml:space="preserve">从性能驱动到”性能+治理”双驱动</w:t>
      </w:r>
      <w:r>
        <w:t xml:space="preserve">。早期的工程实践以控制性能指标（水位偏差、响应速度等）为主要追求；近年来，可审计性、可解释性、安全合规性等治理维度日益受到重视。这与CHS框架中”安全包络+审计链+策略门禁”的治理机制设计理念吻合。</w:t>
      </w:r>
    </w:p>
    <w:p>
      <w:pPr>
        <w:pStyle w:val="BodyText"/>
      </w:pPr>
      <w:r>
        <w:t xml:space="preserve">第三，</w:t>
      </w:r>
      <w:r>
        <w:rPr>
          <w:bCs/>
          <w:b/>
        </w:rPr>
        <w:t xml:space="preserve">技术路径趋同、监管模式本地化</w:t>
      </w:r>
      <w:r>
        <w:t xml:space="preserve">。核心控制技术（MPC、MAS、数字孪生等）在各国趋于一致，但责任链设计、监管框架和人机协作模式需要适配各国的法规和管理体制。CHS框架中的四态机、WNAL分级等概念提供了一种结构化的适配工具，但具体参数和阈值需要根据各国实际情况定制。</w:t>
      </w:r>
    </w:p>
    <w:p>
      <w:pPr>
        <w:pStyle w:val="BodyText"/>
      </w:pPr>
      <w:r>
        <w:t xml:space="preserve">以上六个案例（三个中国、三个国际）都是相对成功的实践。但工程界真正稀缺的不是成功故事，而是对失败的坦诚复盘。接下来我们看一看CHS团队在多年实践中积累的失败教训。</w:t>
      </w:r>
    </w:p>
    <w:p>
      <w:r>
        <w:pict>
          <v:rect style="width:0;height:1.5pt" o:hralign="center" o:hrstd="t" o:hr="t"/>
        </w:pict>
      </w:r>
    </w:p>
    <w:bookmarkEnd w:id="44"/>
    <w:bookmarkEnd w:id="45"/>
    <w:bookmarkStart w:id="49" w:name="失败样本与经验教训"/>
    <w:p>
      <w:pPr>
        <w:pStyle w:val="Heading2"/>
      </w:pPr>
      <w:r>
        <w:t xml:space="preserve">6.6 失败样本与经验教训</w:t>
      </w:r>
    </w:p>
    <w:bookmarkStart w:id="46" w:name="为什么要讨论失败"/>
    <w:p>
      <w:pPr>
        <w:pStyle w:val="Heading3"/>
      </w:pPr>
      <w:r>
        <w:t xml:space="preserve">6.6.1 为什么要讨论失败</w:t>
      </w:r>
    </w:p>
    <w:p>
      <w:pPr>
        <w:pStyle w:val="FirstParagraph"/>
      </w:pPr>
      <w:r>
        <w:t xml:space="preserve">工程文献和学术论文通常只报告成功案例和积极结果——这可以理解，但对工程实践者而言，失败的教训往往比成功的经验更有价值。成功案例证明”这条路走得通”，但不能告诉你”哪些看似合理的岔路通向死胡同”。Blanke等在故障诊断与容错控制的经典著作 [6-15] 中指出，工程系统的可靠性设计不应仅基于正常运行假设，更应基于对典型故障模式的深入分析。本节汇总了CHS团队在多个工程项目中遇到的典型失败案例。为保护工程单位的名誉，以下案例均做了脱敏处理，仅保留技术本质。</w:t>
      </w:r>
    </w:p>
    <w:bookmarkEnd w:id="46"/>
    <w:bookmarkStart w:id="47" w:name="三类典型失败模式"/>
    <w:p>
      <w:pPr>
        <w:pStyle w:val="Heading3"/>
      </w:pPr>
      <w:r>
        <w:t xml:space="preserve">6.6.2 三类典型失败模式</w:t>
      </w:r>
    </w:p>
    <w:p>
      <w:pPr>
        <w:pStyle w:val="BlockText"/>
      </w:pPr>
      <w:r>
        <w:rPr>
          <w:bCs/>
          <w:b/>
        </w:rPr>
        <w:t xml:space="preserve">概念辨析框：失败（Failure）vs 事故（Accident）</w:t>
      </w:r>
      <w:r>
        <w:t xml:space="preserve"> </w:t>
      </w:r>
      <w:r>
        <w:t xml:space="preserve">本节讨论的”失败”与”事故”有本质区别。事故是指造成人员伤亡或重大财产损失的安全事件；本节的”失败”是指技术方案未能达到预期效果——系统运行安全但性能不达标、长期退化或被弃用。在水利工程智能化实践中，后者远比前者常见：大多数项目不会引发安全事故，但相当比例的项目在验收后逐步失去作用，沦为”好看但不好用”的摆设。</w:t>
      </w:r>
    </w:p>
    <w:p>
      <w:pPr>
        <w:pStyle w:val="FirstParagraph"/>
      </w:pPr>
      <w:r>
        <w:rPr>
          <w:bCs/>
          <w:b/>
        </w:rPr>
        <w:t xml:space="preserve">失败模式一：ODD缺失导致”无定义区域”事故。</w:t>
      </w:r>
    </w:p>
    <w:p>
      <w:pPr>
        <w:pStyle w:val="BodyText"/>
      </w:pPr>
      <w:r>
        <w:t xml:space="preserve">某调水工程在部署MPC控制系统时，没有明确定义ODD——系统在什么条件下可以自主运行、在什么条件下应该降级。控制系统在正常工况下表现良好，但在一次入冬降温导致渠道冰盖形成时，水力特性发生急剧变化（摩阻系数增大3—5倍，水位壅高显著），MPC模型完全失效。由于没有预定义的降级触发条件和降级策略，系统在”不知道自己不知道”的状态下持续运行了4个小时，直到人工发现水位异常才紧急接管。</w:t>
      </w:r>
    </w:p>
    <w:p>
      <w:pPr>
        <w:pStyle w:val="BodyText"/>
      </w:pPr>
      <w:r>
        <w:rPr>
          <w:bCs/>
          <w:b/>
        </w:rPr>
        <w:t xml:space="preserve">教训</w:t>
      </w:r>
      <w:r>
        <w:t xml:space="preserve">：ODD不仅是”系统能做什么”的说明，更是”系统不能做什么”的承诺。没有ODD的自主控制系统，相当于一辆没有标明设计速度的汽车——你不知道它什么时候会失控。</w:t>
      </w:r>
    </w:p>
    <w:p>
      <w:pPr>
        <w:pStyle w:val="BodyText"/>
      </w:pPr>
      <w:r>
        <w:rPr>
          <w:bCs/>
          <w:b/>
        </w:rPr>
        <w:t xml:space="preserve">失败模式二：在环验证不足导致”现场意外”。</w:t>
      </w:r>
    </w:p>
    <w:p>
      <w:pPr>
        <w:pStyle w:val="BodyText"/>
      </w:pPr>
      <w:r>
        <w:t xml:space="preserve">某水电站在将MPC控制算法从仿真环境迁移到真实SCADA系统时，跳过了HIL测试阶段——理由是”仿真结果已经很好了，现场试一下应该也没问题”。结果在第一次现场试运行中，就发现了三个在仿真中无法暴露的问题：SCADA数据采集的时间戳不同步（不同RTU的时钟偏差达到2—5秒），导致MPC基于不一致的状态信息做出错误决策；闸门执行机构的实际响应时间比设计手册标称值慢30%—50%（机械磨损导致），使控制器的动态补偿参数不匹配；电磁干扰导致通信链路间歇性中断，而MPC算法没有”通信丢失”的处理逻辑。</w:t>
      </w:r>
    </w:p>
    <w:p>
      <w:pPr>
        <w:pStyle w:val="BodyText"/>
      </w:pPr>
      <w:r>
        <w:rPr>
          <w:bCs/>
          <w:b/>
        </w:rPr>
        <w:t xml:space="preserve">教训</w:t>
      </w:r>
      <w:r>
        <w:t xml:space="preserve">：MIL和SIL测试的对象是算法和软件，不是系统。只有HIL测试才能暴露”算法+软件+硬件+通信+环境”组合在一起时的真实行为。跳过HIL的代价往往比做HIL更高。</w:t>
      </w:r>
    </w:p>
    <w:p>
      <w:pPr>
        <w:pStyle w:val="BodyText"/>
      </w:pPr>
      <w:r>
        <w:rPr>
          <w:bCs/>
          <w:b/>
        </w:rPr>
        <w:t xml:space="preserve">失败模式三：运维机制缺失导致”效果衰减”。</w:t>
      </w:r>
    </w:p>
    <w:p>
      <w:pPr>
        <w:pStyle w:val="BodyText"/>
      </w:pPr>
      <w:r>
        <w:t xml:space="preserve">某明渠调水工程在MPC系统上线初期取得了优异的控制效果，但由于没有建立模型参数定期校正机制，系统的IDZ模型参数在两年后已经与实际渠道特性产生了显著偏差。水力模型的预测精度从初期的±3 cm恶化到±12 cm。运维团队注意到了性能下降，但由于原始建模团队（高校课题组）在项目验收后已经撤离，现场运维人员不具备模型校正能力，导致问题长期得不到解决。</w:t>
      </w:r>
    </w:p>
    <w:p>
      <w:pPr>
        <w:pStyle w:val="BodyText"/>
      </w:pPr>
      <w:r>
        <w:rPr>
          <w:bCs/>
          <w:b/>
        </w:rPr>
        <w:t xml:space="preserve">教训</w:t>
      </w:r>
      <w:r>
        <w:t xml:space="preserve">：技术方案的设计必须考虑”谁来维护”的问题。一个需要原始开发团队才能维护的系统，在工程生命周期尺度上是不可持续的。CHS框架的要求是：模型校正流程必须标准化、工具化，使工程单位的运维团队具备独立执行的能力。</w:t>
      </w:r>
    </w:p>
    <w:p>
      <w:pPr>
        <w:pStyle w:val="BodyText"/>
      </w:pPr>
      <w:r>
        <w:t xml:space="preserve">[图6-6: 三类典型失败模式与CHS防线对应关系]</w:t>
      </w:r>
    </w:p>
    <w:bookmarkEnd w:id="47"/>
    <w:bookmarkStart w:id="48" w:name="失败模式的结构化分析"/>
    <w:p>
      <w:pPr>
        <w:pStyle w:val="Heading3"/>
      </w:pPr>
      <w:r>
        <w:t xml:space="preserve">6.6.3 失败模式的结构化分析</w:t>
      </w:r>
    </w:p>
    <w:p>
      <w:pPr>
        <w:pStyle w:val="FirstParagraph"/>
      </w:pPr>
      <w:r>
        <w:t xml:space="preserve">将上述三类失败与CHS框架的防线机制对应，可以清楚地看到：每一类失败都有CHS框架中对应的防线——问题不在于”不知道怎么防”，而在于”没有执行防线”。</w:t>
      </w:r>
    </w:p>
    <w:p>
      <w:pPr>
        <w:pStyle w:val="BodyText"/>
      </w:pPr>
      <w:r>
        <w:t xml:space="preserve">ODD缺失→CHS框架要求在WNAL等级评估中必须显式定义ODD边界和越界处置策略（第四章）。在环验证不足→CHS框架要求从L1到L2、从L2到L3的每一次跃迁都必须完成MIL/SIL/HIL三级验证（第三章原理五）。运维机制缺失→CHS框架要求建立审计链和模型校正的长效机制（第五章）。</w:t>
      </w:r>
    </w:p>
    <w:p>
      <w:pPr>
        <w:pStyle w:val="BodyText"/>
      </w:pPr>
      <w:r>
        <w:t xml:space="preserve">从更深层看，这三类失败其实反映了水利工程智能化建设中的一个结构性矛盾：</w:t>
      </w:r>
      <w:r>
        <w:rPr>
          <w:bCs/>
          <w:b/>
        </w:rPr>
        <w:t xml:space="preserve">技术决策与工程管理的脱节</w:t>
      </w:r>
      <w:r>
        <w:t xml:space="preserve">。技术团队（通常是高校或科研院所）关注的是”算法能不能跑通”；工程管理团队关注的是”系统能不能用、好不好管”。技术团队设计了先进的MPC控制器，但没有同时设计ODD定义、降级策略和模型校正规程；工程管理团队接手了系统，但没有足够的技术能力维护模型和处置异常。CHS框架试图通过WNAL分级、四态机和审计链等制度性工具来弥合这一裂缝——将原本被视为”工程管理细节”的ODD定义、降级演练和运维规程，提升为与控制算法同等重要的技术要素。</w:t>
      </w:r>
    </w:p>
    <w:p>
      <w:pPr>
        <w:pStyle w:val="BodyText"/>
      </w:pPr>
      <w:r>
        <w:t xml:space="preserve">成功案例展示了”怎么做对”，失败案例揭示了”什么容易做错”。两者综合，就可以提炼出一套适用于不同类型水利工程的实施路径。</w:t>
      </w:r>
    </w:p>
    <w:p>
      <w:r>
        <w:pict>
          <v:rect style="width:0;height:1.5pt" o:hralign="center" o:hrstd="t" o:hr="t"/>
        </w:pict>
      </w:r>
    </w:p>
    <w:bookmarkEnd w:id="48"/>
    <w:bookmarkEnd w:id="49"/>
    <w:bookmarkStart w:id="52" w:name="从案例到方法可迁移实施清单"/>
    <w:p>
      <w:pPr>
        <w:pStyle w:val="Heading2"/>
      </w:pPr>
      <w:r>
        <w:t xml:space="preserve">6.7 从案例到方法：可迁移实施清单</w:t>
      </w:r>
    </w:p>
    <w:bookmarkStart w:id="50" w:name="实施路径总则"/>
    <w:p>
      <w:pPr>
        <w:pStyle w:val="Heading3"/>
      </w:pPr>
      <w:r>
        <w:t xml:space="preserve">6.7.1 实施路径总则</w:t>
      </w:r>
    </w:p>
    <w:p>
      <w:pPr>
        <w:pStyle w:val="FirstParagraph"/>
      </w:pPr>
      <w:r>
        <w:t xml:space="preserve">综合胶东调水、沙坪水电站和南水北调中线的实践经验，以及失败案例的教训，可以提炼出一套适用于不同类型水利工程的智能化实施路径。这套路径的核心原则是”先安全后性能、先局部后全局、先验证后上线”——三条原则分别对应三类失败的防线。</w:t>
      </w:r>
      <w:r>
        <w:t xml:space="preserve">“</w:t>
      </w:r>
      <w:r>
        <w:t xml:space="preserve">先安全后性能</w:t>
      </w:r>
      <w:r>
        <w:t xml:space="preserve">”</w:t>
      </w:r>
      <w:r>
        <w:t xml:space="preserve">防止ODD缺失，</w:t>
      </w:r>
      <w:r>
        <w:t xml:space="preserve">“</w:t>
      </w:r>
      <w:r>
        <w:t xml:space="preserve">先验证后上线</w:t>
      </w:r>
      <w:r>
        <w:t xml:space="preserve">”</w:t>
      </w:r>
      <w:r>
        <w:t xml:space="preserve">防止在环验证不足，而贯穿全程的运维能力建设防止长期效果衰减。以下四阶段路线图在时间安排上假设一个中等规模工程（如50—200 km明渠调水、50—200 MW水电站），具体时间需根据工程规模和复杂度调整。</w:t>
      </w:r>
    </w:p>
    <w:bookmarkEnd w:id="50"/>
    <w:bookmarkStart w:id="51" w:name="四阶段实施路线图"/>
    <w:p>
      <w:pPr>
        <w:pStyle w:val="Heading3"/>
      </w:pPr>
      <w:r>
        <w:t xml:space="preserve">6.7.2 四阶段实施路线图</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给水利工程师的速览：智能化改造该从哪里开始？</w:t>
            </w:r>
          </w:p>
        </w:tc>
      </w:tr>
      <w:tr>
        <w:tc>
          <w:tcPr/>
          <w:p>
            <w:pPr>
              <w:pStyle w:val="Compact"/>
              <w:jc w:val="left"/>
            </w:pPr>
            <w:r>
              <w:t xml:space="preserve">最常见的错误是”上来就装MPC”——先进算法装到硬件基础薄弱、安全机制缺失的系统上，效果不会好。正确的顺序是：先体检（传感器够不够、通信稳不稳），再上保险（ODD定义、降级策略、审计链），然后才上算法（MPC/MAS），最后建立长效维护机制。这四个阶段缺一不可，顺序不可颠倒。</w:t>
            </w:r>
          </w:p>
        </w:tc>
      </w:tr>
    </w:tbl>
    <w:p>
      <w:pPr>
        <w:pStyle w:val="FirstParagraph"/>
      </w:pPr>
      <w:r>
        <w:t xml:space="preserve">[图6-7: 水利工程智能化四阶段实施路线图]</w:t>
      </w:r>
    </w:p>
    <w:p>
      <w:pPr>
        <w:pStyle w:val="BodyText"/>
      </w:pPr>
      <w:r>
        <w:rPr>
          <w:bCs/>
          <w:b/>
        </w:rPr>
        <w:t xml:space="preserve">第一阶段：基础评估（1—3个月）。</w:t>
      </w:r>
    </w:p>
    <w:p>
      <w:pPr>
        <w:pStyle w:val="BodyText"/>
      </w:pPr>
      <w:r>
        <w:t xml:space="preserve">在决定任何技术方案之前，首先完成工程的可控可观性评估——传感器是否覆盖关键控制断面？执行机构（闸门、泵站）的响应特性是否满足控制需求？SCADA系统的数据质量和通信可靠性如何？这一阶段的核心输出是一份”可控可观核验报告”，明确回答：在当前硬件条件下，能实现什么程度的自动控制？需要哪些硬件升级？</w:t>
      </w:r>
    </w:p>
    <w:p>
      <w:pPr>
        <w:pStyle w:val="BodyText"/>
      </w:pPr>
      <w:r>
        <w:t xml:space="preserve">这一阶段的常见陷阱是”重算法、轻硬件”——过早关注MPC等高级算法的选型，却忽视了传感器故障率高、通信链路不稳定等基础性问题。如果传感器每天有5%的时段数据缺失或异常，再先进的控制算法也无法发挥作用。</w:t>
      </w:r>
    </w:p>
    <w:p>
      <w:pPr>
        <w:pStyle w:val="BodyText"/>
      </w:pPr>
      <w:r>
        <w:rPr>
          <w:bCs/>
          <w:b/>
        </w:rPr>
        <w:t xml:space="preserve">第二阶段：安全底线构建（3—6个月）。</w:t>
      </w:r>
    </w:p>
    <w:p>
      <w:pPr>
        <w:pStyle w:val="BodyText"/>
      </w:pPr>
      <w:r>
        <w:t xml:space="preserve">在算法优化之前，先建立安全运行的底线机制。具体包括三项工作：</w:t>
      </w:r>
    </w:p>
    <w:p>
      <w:pPr>
        <w:pStyle w:val="BodyText"/>
      </w:pPr>
      <w:r>
        <w:t xml:space="preserve">第一项，</w:t>
      </w:r>
      <w:r>
        <w:rPr>
          <w:bCs/>
          <w:b/>
        </w:rPr>
        <w:t xml:space="preserve">MRC（最小风险状态）设计</w:t>
      </w:r>
      <w:r>
        <w:t xml:space="preserve">。定义系统在各种异常条件下的安全退出策略——通信中断时的保底控制参数是什么？设备故障时的应急联锁逻辑是什么？确保即使在最坏情况下，系统也能安全停在一个可接受的状态。</w:t>
      </w:r>
    </w:p>
    <w:p>
      <w:pPr>
        <w:pStyle w:val="BodyText"/>
      </w:pPr>
      <w:r>
        <w:t xml:space="preserve">第二项，</w:t>
      </w:r>
      <w:r>
        <w:rPr>
          <w:bCs/>
          <w:b/>
        </w:rPr>
        <w:t xml:space="preserve">四态机降级机制</w:t>
      </w:r>
      <w:r>
        <w:t xml:space="preserve">。明确定义正常态→降级态→应急态→维护态之间的转换条件和处置流程。降级机制不能是”写在文档里但没人演练过”的——必须通过桌面推演和SIL测试验证其可操作性。</w:t>
      </w:r>
    </w:p>
    <w:p>
      <w:pPr>
        <w:pStyle w:val="BodyText"/>
      </w:pPr>
      <w:r>
        <w:t xml:space="preserve">第三项，</w:t>
      </w:r>
      <w:r>
        <w:rPr>
          <w:bCs/>
          <w:b/>
        </w:rPr>
        <w:t xml:space="preserve">审计链与SOP（标准操作规程）</w:t>
      </w:r>
      <w:r>
        <w:t xml:space="preserve">。建立运行记录的统一格式和存储机制，编制各种工况下的标准操作规程。审计链的目标是让每一次控制动作都可追溯——谁发起的、为什么发起、执行结果如何、是否符合预期。</w:t>
      </w:r>
    </w:p>
    <w:p>
      <w:pPr>
        <w:pStyle w:val="BodyText"/>
      </w:pPr>
      <w:r>
        <w:rPr>
          <w:bCs/>
          <w:b/>
        </w:rPr>
        <w:t xml:space="preserve">第三阶段：控制能力建设（6—12个月）。</w:t>
      </w:r>
    </w:p>
    <w:p>
      <w:pPr>
        <w:pStyle w:val="BodyText"/>
      </w:pPr>
      <w:r>
        <w:t xml:space="preserve">在安全底线建立后，开始构建高级控制能力。根据工程类型和需求，选择合适的控制方法——长距离明渠系统通常选择基于IDZ模型的MPC；水电站系统通常选择多目标约束优化；复杂水网系统可能需要分布式MPC或MAS架构。</w:t>
      </w:r>
    </w:p>
    <w:p>
      <w:pPr>
        <w:pStyle w:val="BodyText"/>
      </w:pPr>
      <w:r>
        <w:t xml:space="preserve">控制方法选择的一个常见误区是”追求最先进”。实际上，控制方法的选择应该匹配工程的实际需求和运维能力。一个运维团队只有3—5人的中小型灌区，部署复杂的非线性MPC可能不如精心调参的PI控制器更实用——因为MPC需要持续的模型维护，而PI控制器一旦调好就可以长期稳定运行。CHS框架的建议是：控制方法的复杂度应与工程的WNAL目标等级匹配——L2只需要局部PID加协调规则，L3才需要基于模型的MPC，L4及以上才需要引入认知AI引擎。</w:t>
      </w:r>
    </w:p>
    <w:p>
      <w:pPr>
        <w:pStyle w:val="BodyText"/>
      </w:pPr>
      <w:r>
        <w:t xml:space="preserve">这一阶段必须严格执行MIL→SIL→HIL三级在环验证，不可跳过任何一级。三级验证的成本通常占整个项目预算的15%—25%，这笔投入经常被”压缩成本”的诉求所裁减——但如前述失败案例所示，跳过验证的代价远高于验证本身的投入。一个实用的经验法则是：MIL测试用于验证算法逻辑，重点检查边界条件和极端工况；SIL测试用于验证软件实现，重点检查数值精度、内存管理和实时性；HIL测试用于验证系统集成，重点检查通信延迟、设备响应和电磁兼容性。</w:t>
      </w:r>
    </w:p>
    <w:p>
      <w:pPr>
        <w:pStyle w:val="BodyText"/>
      </w:pPr>
      <w:r>
        <w:rPr>
          <w:bCs/>
          <w:b/>
        </w:rPr>
        <w:t xml:space="preserve">第四阶段：运维演进（持续）。</w:t>
      </w:r>
    </w:p>
    <w:p>
      <w:pPr>
        <w:pStyle w:val="BodyText"/>
      </w:pPr>
      <w:r>
        <w:t xml:space="preserve">系统上线不是终点而是起点。第四阶段的核心任务是建立长效运维机制，包括四个方面的持续性工作。</w:t>
      </w:r>
    </w:p>
    <w:p>
      <w:pPr>
        <w:pStyle w:val="BodyText"/>
      </w:pPr>
      <w:r>
        <w:t xml:space="preserve">第一，</w:t>
      </w:r>
      <w:r>
        <w:rPr>
          <w:bCs/>
          <w:b/>
        </w:rPr>
        <w:t xml:space="preserve">模型参数的定期校正</w:t>
      </w:r>
      <w:r>
        <w:t xml:space="preserve">。建议至少每季度进行一次基于运行数据的模型参数重标定。校正频率的确定取决于工程条件变化的速度——淤积严重的渠道可能需要月度校正，岩石衬砌的稳定渠道可以半年一次。关键是建立”校正触发阈值”：当模型预测误差连续超过预设阈值时，自动提醒运维团队启动校正流程。</w:t>
      </w:r>
    </w:p>
    <w:p>
      <w:pPr>
        <w:pStyle w:val="BodyText"/>
      </w:pPr>
      <w:r>
        <w:t xml:space="preserve">第二，</w:t>
      </w:r>
      <w:r>
        <w:rPr>
          <w:bCs/>
          <w:b/>
        </w:rPr>
        <w:t xml:space="preserve">ODD的动态评估与扩展</w:t>
      </w:r>
      <w:r>
        <w:t xml:space="preserve">。随着运行数据的积累和运维经验的丰富，逐步扩展系统的ODD边界——从”仅覆盖正常工况”到”覆盖常见异常”再到”覆盖大部分可预见的工况”。每次ODD扩展都应该对应一次完整的SIL/HIL验证。</w:t>
      </w:r>
    </w:p>
    <w:p>
      <w:pPr>
        <w:pStyle w:val="BodyText"/>
      </w:pPr>
      <w:r>
        <w:t xml:space="preserve">第三，</w:t>
      </w:r>
      <w:r>
        <w:rPr>
          <w:bCs/>
          <w:b/>
        </w:rPr>
        <w:t xml:space="preserve">WNAL等级的持续评估</w:t>
      </w:r>
      <w:r>
        <w:t xml:space="preserve">。按照第四章定义的等级跃迁条件，定期评估系统是否满足上一级WNAL的要求。等级跃迁不应该是”突击达标”，而应该是”水到渠成”——运行数据自然积累到满足跃迁条件时，完成形式化评估即可。</w:t>
      </w:r>
    </w:p>
    <w:p>
      <w:pPr>
        <w:pStyle w:val="BodyText"/>
      </w:pPr>
      <w:r>
        <w:t xml:space="preserve">第四，</w:t>
      </w:r>
      <w:r>
        <w:rPr>
          <w:bCs/>
          <w:b/>
        </w:rPr>
        <w:t xml:space="preserve">运维能力的属地化建设</w:t>
      </w:r>
      <w:r>
        <w:t xml:space="preserve">。这是最容易被忽视但最为关键的一环。确保工程单位的运维团队具备独立执行模型校正、参数调整和故障诊断的能力。具体措施包括：编制详细的运维手册、提供标准化的校正工具和脚本、安排定期的技术培训和能力考核。一个判断运维能力是否已属地化的简单标准是：如果原始开发团队完全撤离，运维团队能否独立维持系统正常运行至少一年？</w:t>
      </w:r>
    </w:p>
    <w:p>
      <w:pPr>
        <w:pStyle w:val="BodyText"/>
      </w:pPr>
      <w:r>
        <w:t xml:space="preserve">表6-8 四阶段实施路线图详细清单</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阶段</w:t>
            </w:r>
          </w:p>
        </w:tc>
        <w:tc>
          <w:tcPr/>
          <w:p>
            <w:pPr>
              <w:pStyle w:val="Compact"/>
              <w:jc w:val="left"/>
            </w:pPr>
            <w:r>
              <w:t xml:space="preserve">核心任务</w:t>
            </w:r>
          </w:p>
        </w:tc>
        <w:tc>
          <w:tcPr/>
          <w:p>
            <w:pPr>
              <w:pStyle w:val="Compact"/>
              <w:jc w:val="left"/>
            </w:pPr>
            <w:r>
              <w:t xml:space="preserve">交付物</w:t>
            </w:r>
          </w:p>
        </w:tc>
        <w:tc>
          <w:tcPr/>
          <w:p>
            <w:pPr>
              <w:pStyle w:val="Compact"/>
              <w:jc w:val="left"/>
            </w:pPr>
            <w:r>
              <w:t xml:space="preserve">常见陷阱</w:t>
            </w:r>
          </w:p>
        </w:tc>
      </w:tr>
      <w:tr>
        <w:tc>
          <w:tcPr/>
          <w:p>
            <w:pPr>
              <w:pStyle w:val="Compact"/>
              <w:jc w:val="left"/>
            </w:pPr>
            <w:r>
              <w:t xml:space="preserve">基础评估</w:t>
            </w:r>
          </w:p>
        </w:tc>
        <w:tc>
          <w:tcPr/>
          <w:p>
            <w:pPr>
              <w:pStyle w:val="Compact"/>
              <w:jc w:val="left"/>
            </w:pPr>
            <w:r>
              <w:t xml:space="preserve">可控可观核验、传感器/执行器评估</w:t>
            </w:r>
          </w:p>
        </w:tc>
        <w:tc>
          <w:tcPr/>
          <w:p>
            <w:pPr>
              <w:pStyle w:val="Compact"/>
              <w:jc w:val="left"/>
            </w:pPr>
            <w:r>
              <w:t xml:space="preserve">可控可观核验报告</w:t>
            </w:r>
          </w:p>
        </w:tc>
        <w:tc>
          <w:tcPr/>
          <w:p>
            <w:pPr>
              <w:pStyle w:val="Compact"/>
              <w:jc w:val="left"/>
            </w:pPr>
            <w:r>
              <w:t xml:space="preserve">重算法轻硬件</w:t>
            </w:r>
          </w:p>
        </w:tc>
      </w:tr>
      <w:tr>
        <w:tc>
          <w:tcPr/>
          <w:p>
            <w:pPr>
              <w:pStyle w:val="Compact"/>
              <w:jc w:val="left"/>
            </w:pPr>
            <w:r>
              <w:t xml:space="preserve">安全底线</w:t>
            </w:r>
          </w:p>
        </w:tc>
        <w:tc>
          <w:tcPr/>
          <w:p>
            <w:pPr>
              <w:pStyle w:val="Compact"/>
              <w:jc w:val="left"/>
            </w:pPr>
            <w:r>
              <w:t xml:space="preserve">MRC设计、四态机、审计链、SOP</w:t>
            </w:r>
          </w:p>
        </w:tc>
        <w:tc>
          <w:tcPr/>
          <w:p>
            <w:pPr>
              <w:pStyle w:val="Compact"/>
              <w:jc w:val="left"/>
            </w:pPr>
            <w:r>
              <w:t xml:space="preserve">安全运行规程</w:t>
            </w:r>
          </w:p>
        </w:tc>
        <w:tc>
          <w:tcPr/>
          <w:p>
            <w:pPr>
              <w:pStyle w:val="Compact"/>
              <w:jc w:val="left"/>
            </w:pPr>
            <w:r>
              <w:t xml:space="preserve">规程停留在纸面</w:t>
            </w:r>
          </w:p>
        </w:tc>
      </w:tr>
      <w:tr>
        <w:tc>
          <w:tcPr/>
          <w:p>
            <w:pPr>
              <w:pStyle w:val="Compact"/>
              <w:jc w:val="left"/>
            </w:pPr>
            <w:r>
              <w:t xml:space="preserve">控制建设</w:t>
            </w:r>
          </w:p>
        </w:tc>
        <w:tc>
          <w:tcPr/>
          <w:p>
            <w:pPr>
              <w:pStyle w:val="Compact"/>
              <w:jc w:val="left"/>
            </w:pPr>
            <w:r>
              <w:t xml:space="preserve">控制器设计、MIL/SIL/HIL验证</w:t>
            </w:r>
          </w:p>
        </w:tc>
        <w:tc>
          <w:tcPr/>
          <w:p>
            <w:pPr>
              <w:pStyle w:val="Compact"/>
              <w:jc w:val="left"/>
            </w:pPr>
            <w:r>
              <w:t xml:space="preserve">通过三级验证的控制系统</w:t>
            </w:r>
          </w:p>
        </w:tc>
        <w:tc>
          <w:tcPr/>
          <w:p>
            <w:pPr>
              <w:pStyle w:val="Compact"/>
              <w:jc w:val="left"/>
            </w:pPr>
            <w:r>
              <w:t xml:space="preserve">跳过HIL验证</w:t>
            </w:r>
          </w:p>
        </w:tc>
      </w:tr>
      <w:tr>
        <w:tc>
          <w:tcPr/>
          <w:p>
            <w:pPr>
              <w:pStyle w:val="Compact"/>
              <w:jc w:val="left"/>
            </w:pPr>
            <w:r>
              <w:t xml:space="preserve">运维演进</w:t>
            </w:r>
          </w:p>
        </w:tc>
        <w:tc>
          <w:tcPr/>
          <w:p>
            <w:pPr>
              <w:pStyle w:val="Compact"/>
              <w:jc w:val="left"/>
            </w:pPr>
            <w:r>
              <w:t xml:space="preserve">模型校正、ODD扩展、WNAL跃迁</w:t>
            </w:r>
          </w:p>
        </w:tc>
        <w:tc>
          <w:tcPr/>
          <w:p>
            <w:pPr>
              <w:pStyle w:val="Compact"/>
              <w:jc w:val="left"/>
            </w:pPr>
            <w:r>
              <w:t xml:space="preserve">年度运行评估报告</w:t>
            </w:r>
          </w:p>
        </w:tc>
        <w:tc>
          <w:tcPr/>
          <w:p>
            <w:pPr>
              <w:pStyle w:val="Compact"/>
              <w:jc w:val="left"/>
            </w:pPr>
            <w:r>
              <w:t xml:space="preserve">维护能力未属地化</w:t>
            </w:r>
          </w:p>
        </w:tc>
      </w:tr>
    </w:tbl>
    <w:p>
      <w:pPr>
        <w:pStyle w:val="BodyText"/>
      </w:pPr>
      <w:r>
        <w:t xml:space="preserve">四阶段路线图不是”选择题”（选择哪个阶段做），而是”必答题”（每个阶段都必须做，且按顺序）。本章的案例反复证明：跳过任何一个阶段都会在后续付出更大代价。</w:t>
      </w:r>
    </w:p>
    <w:p>
      <w:r>
        <w:pict>
          <v:rect style="width:0;height:1.5pt" o:hralign="center" o:hrstd="t" o:hr="t"/>
        </w:pict>
      </w:r>
    </w:p>
    <w:bookmarkEnd w:id="51"/>
    <w:bookmarkEnd w:id="52"/>
    <w:bookmarkStart w:id="53" w:name="本章小结"/>
    <w:p>
      <w:pPr>
        <w:pStyle w:val="Heading2"/>
      </w:pPr>
      <w:r>
        <w:t xml:space="preserve">6.8 本章小结</w:t>
      </w:r>
    </w:p>
    <w:p>
      <w:pPr>
        <w:pStyle w:val="FirstParagraph"/>
      </w:pPr>
      <w:r>
        <w:t xml:space="preserve">本章通过三个主要案例和三个国际对照案例，展示了CHS框架从理论到工程实践的落地过程。回顾本章核心信息：</w:t>
      </w:r>
    </w:p>
    <w:p>
      <w:pPr>
        <w:pStyle w:val="BodyText"/>
      </w:pPr>
      <w:r>
        <w:rPr>
          <w:bCs/>
          <w:b/>
        </w:rPr>
        <w:t xml:space="preserve">胶东调水</w:t>
      </w:r>
      <w:r>
        <w:t xml:space="preserve">证明了CHS技术在长距离明渠调水工程中的有效性——从SCADA叠加式升级到MPC自主控制，从WNAL L0到L3的完整跃迁路径，尤其是MIL/SIL/HIL三级验证在每个阶段发现关键问题的实证价值。模型校正的季度机制是保障MPC长期有效的生命线。</w:t>
      </w:r>
    </w:p>
    <w:p>
      <w:pPr>
        <w:pStyle w:val="BodyText"/>
      </w:pPr>
      <w:r>
        <w:rPr>
          <w:bCs/>
          <w:b/>
        </w:rPr>
        <w:t xml:space="preserve">沙坪水电站</w:t>
      </w:r>
      <w:r>
        <w:t xml:space="preserve">证明了CHS框架在多目标冲突场景下的适用性——物理AI计算可行域、认知AI辅助决策、梯级联调的分布式优化，尤其是CAI引擎在决策解释和人机协作方面的不可替代性。但CAI也有局限——在输入数据（如来水预报）存在重大偏差时，CAI的方案可能误导调度员。</w:t>
      </w:r>
    </w:p>
    <w:p>
      <w:pPr>
        <w:pStyle w:val="BodyText"/>
      </w:pPr>
      <w:r>
        <w:rPr>
          <w:bCs/>
          <w:b/>
        </w:rPr>
        <w:t xml:space="preserve">南水北调中线</w:t>
      </w:r>
      <w:r>
        <w:t xml:space="preserve">揭示了超大规模工程对CHS框架的特殊要求——空间异质的ODD定义、多尺度模型体系、分布式决策与集中协调的平衡、应急调度的预案化机制。</w:t>
      </w:r>
    </w:p>
    <w:p>
      <w:pPr>
        <w:pStyle w:val="BodyText"/>
      </w:pPr>
      <w:r>
        <w:rPr>
          <w:bCs/>
          <w:b/>
        </w:rPr>
        <w:t xml:space="preserve">国际案例</w:t>
      </w:r>
      <w:r>
        <w:t xml:space="preserve">表明核心技术路径在全球范围内趋于一致——从CAP的水位差控制到Canal de Provence的传递函数理论，这些国际前沿成果与CHS框架有清晰的学术传承关系。同时，治理模式需要本地化适配，不存在”放之四海而皆准”的治理方案。</w:t>
      </w:r>
    </w:p>
    <w:p>
      <w:pPr>
        <w:pStyle w:val="BodyText"/>
      </w:pPr>
      <w:r>
        <w:rPr>
          <w:bCs/>
          <w:b/>
        </w:rPr>
        <w:t xml:space="preserve">失败案例</w:t>
      </w:r>
      <w:r>
        <w:t xml:space="preserve">证实了CHS框架中每一道防线的必要性——ODD定义、在环验证、运维闭环缺一不可。更深层的教训是：技术决策与工程管理的脱节是失败的根源，CHS框架通过WNAL分级和审计链等制度性工具来弥合这一裂缝。</w:t>
      </w:r>
    </w:p>
    <w:p>
      <w:pPr>
        <w:pStyle w:val="BodyText"/>
      </w:pPr>
      <w:r>
        <w:rPr>
          <w:bCs/>
          <w:b/>
        </w:rPr>
        <w:t xml:space="preserve">四阶段实施路线图</w:t>
      </w:r>
      <w:r>
        <w:t xml:space="preserve">提供了从评估到运维的系统化方法，核心原则是”先安全后性能、先局部后全局、先验证后上线”。其中，运维能力的属地化建设是保障工程长期效果的关键——如果开发团队撤离后系统无人能维护，再先进的技术也只有数年寿命。</w:t>
      </w:r>
    </w:p>
    <w:p>
      <w:pPr>
        <w:pStyle w:val="BodyText"/>
      </w:pPr>
      <w:r>
        <w:t xml:space="preserve">综合全章案例，可以提炼出工程实践的一条核心经验：</w:t>
      </w:r>
      <w:r>
        <w:rPr>
          <w:bCs/>
          <w:b/>
        </w:rPr>
        <w:t xml:space="preserve">成功的智能化改造不是一次性的技术升级，而是一个持续演进的体系建设过程。</w:t>
      </w:r>
      <w:r>
        <w:t xml:space="preserve"> </w:t>
      </w:r>
      <w:r>
        <w:t xml:space="preserve">控制算法只是这个体系中的一个环节——与之同等重要的还有ODD定义、安全设计、在环验证、审计链、模型校正和运维能力建设。忽视任何一个环节，都可能导致”验收时优秀、运行后衰减”的尴尬结局。</w:t>
      </w:r>
    </w:p>
    <w:p>
      <w:pPr>
        <w:pStyle w:val="BodyText"/>
      </w:pPr>
      <w:r>
        <w:t xml:space="preserve">第七章将从工程实践上升到学科建设——讨论CHS作为新兴学科方向的发展前景、课程体系设计、人才培养路径和国际合作平台，回答”谁来建设、谁来运维、如何持续迭代”的组织和制度问题。</w:t>
      </w:r>
    </w:p>
    <w:p>
      <w:r>
        <w:pict>
          <v:rect style="width:0;height:1.5pt" o:hralign="center" o:hrstd="t" o:hr="t"/>
        </w:pict>
      </w:r>
    </w:p>
    <w:bookmarkEnd w:id="53"/>
    <w:bookmarkStart w:id="54" w:name="思考题"/>
    <w:p>
      <w:pPr>
        <w:pStyle w:val="Heading2"/>
      </w:pPr>
      <w:r>
        <w:t xml:space="preserve">思考题</w:t>
      </w:r>
    </w:p>
    <w:p>
      <w:pPr>
        <w:pStyle w:val="FirstParagraph"/>
      </w:pPr>
      <w:r>
        <w:rPr>
          <w:bCs/>
          <w:b/>
        </w:rPr>
        <w:t xml:space="preserve">L1 概念理解</w:t>
      </w:r>
    </w:p>
    <w:p>
      <w:pPr>
        <w:numPr>
          <w:ilvl w:val="0"/>
          <w:numId w:val="1001"/>
        </w:numPr>
      </w:pPr>
      <w:r>
        <w:t xml:space="preserve">在五维评价框架中，</w:t>
      </w:r>
      <w:r>
        <w:t xml:space="preserve">“</w:t>
      </w:r>
      <w:r>
        <w:t xml:space="preserve">运维闭环</w:t>
      </w:r>
      <w:r>
        <w:t xml:space="preserve">”</w:t>
      </w:r>
      <w:r>
        <w:t xml:space="preserve">维度为什么与其他四个维度同等重要？试结合引导案例中的”效果衰减”现象说明。</w:t>
      </w:r>
    </w:p>
    <w:p>
      <w:pPr>
        <w:numPr>
          <w:ilvl w:val="0"/>
          <w:numId w:val="1001"/>
        </w:numPr>
      </w:pPr>
      <w:r>
        <w:t xml:space="preserve">胶东调水选择”SCADA叠加式升级”而非”推翻重建”的理由是什么？在什么情况下，</w:t>
      </w:r>
      <w:r>
        <w:t xml:space="preserve">“</w:t>
      </w:r>
      <w:r>
        <w:t xml:space="preserve">推翻重建</w:t>
      </w:r>
      <w:r>
        <w:t xml:space="preserve">”</w:t>
      </w:r>
      <w:r>
        <w:t xml:space="preserve">可能反而是更合理的选择？</w:t>
      </w:r>
    </w:p>
    <w:p>
      <w:pPr>
        <w:pStyle w:val="FirstParagraph"/>
      </w:pPr>
      <w:r>
        <w:rPr>
          <w:bCs/>
          <w:b/>
        </w:rPr>
        <w:t xml:space="preserve">L2 分析比较</w:t>
      </w:r>
    </w:p>
    <w:p>
      <w:pPr>
        <w:numPr>
          <w:ilvl w:val="0"/>
          <w:numId w:val="1002"/>
        </w:numPr>
      </w:pPr>
      <w:r>
        <w:t xml:space="preserve">胶东调水和沙坪水电站分别面临什么类型的控制挑战？为什么沙坪水电站需要认知AI引擎（CAI）而胶东调水的MPC已经基本够用？</w:t>
      </w:r>
    </w:p>
    <w:p>
      <w:pPr>
        <w:numPr>
          <w:ilvl w:val="0"/>
          <w:numId w:val="1002"/>
        </w:numPr>
      </w:pPr>
      <w:r>
        <w:t xml:space="preserve">三类典型失败模式（ODD缺失、验证不足、运维缺失）中，哪一类在中国当前的水利工程实践中最为普遍？为什么？</w:t>
      </w:r>
    </w:p>
    <w:p>
      <w:pPr>
        <w:pStyle w:val="FirstParagraph"/>
      </w:pPr>
      <w:r>
        <w:rPr>
          <w:bCs/>
          <w:b/>
        </w:rPr>
        <w:t xml:space="preserve">L3 综合应用</w:t>
      </w:r>
    </w:p>
    <w:p>
      <w:pPr>
        <w:numPr>
          <w:ilvl w:val="0"/>
          <w:numId w:val="1003"/>
        </w:numPr>
      </w:pPr>
      <w:r>
        <w:t xml:space="preserve">假设你负责一个新建灌区工程（总干渠长80 km、支渠20条、闸门45座、泵站8座）的智能化规划。请参照四阶段实施路线图，编制一份12个月的实施计划，包括：各阶段的起止时间、核心交付物、关键风险点和缓解措施。</w:t>
      </w:r>
    </w:p>
    <w:p>
      <w:pPr>
        <w:numPr>
          <w:ilvl w:val="0"/>
          <w:numId w:val="1003"/>
        </w:numPr>
      </w:pPr>
      <w:r>
        <w:t xml:space="preserve">南水北调中线的ODD需要按渠段分区定义，而胶东调水的ODD基本可以全线统一。请分析造成这一差异的工程原因，并讨论：如果一个工程的ODD空间异质性很强，对控制架构的设计有什么影响？</w:t>
      </w:r>
    </w:p>
    <w:p>
      <w:pPr>
        <w:pStyle w:val="FirstParagraph"/>
      </w:pPr>
      <w:r>
        <w:rPr>
          <w:bCs/>
          <w:b/>
        </w:rPr>
        <w:t xml:space="preserve">L4 开放研究</w:t>
      </w:r>
    </w:p>
    <w:p>
      <w:pPr>
        <w:numPr>
          <w:ilvl w:val="0"/>
          <w:numId w:val="1004"/>
        </w:numPr>
      </w:pPr>
      <w:r>
        <w:t xml:space="preserve">本章的国际案例表明”技术路径趋同、监管模式本地化”的趋势。请选择一个非中国的具体国家（如美国、荷兰、以色列、澳大利亚），调研其水利工程自动化的监管框架，分析CHS框架中的四态机和WNAL分级在该国的适配需要做哪些调整。</w:t>
      </w:r>
    </w:p>
    <w:p>
      <w:pPr>
        <w:numPr>
          <w:ilvl w:val="0"/>
          <w:numId w:val="1004"/>
        </w:numPr>
      </w:pPr>
      <w:r>
        <w:t xml:space="preserve">“</w:t>
      </w:r>
      <w:r>
        <w:t xml:space="preserve">一键调</w:t>
      </w:r>
      <w:r>
        <w:t xml:space="preserve">”</w:t>
      </w:r>
      <w:r>
        <w:t xml:space="preserve">作为梯级联调的工程目标，其核心技术难点是什么？如果将”一键调”的概念推广到跨流域调水（如从南水北调东线到胶东调水的联合调度），会面临哪些额外的技术和管理挑战？</w:t>
      </w:r>
    </w:p>
    <w:p>
      <w:r>
        <w:pict>
          <v:rect style="width:0;height:1.5pt" o:hralign="center" o:hrstd="t" o:hr="t"/>
        </w:pict>
      </w:r>
    </w:p>
    <w:bookmarkEnd w:id="54"/>
    <w:bookmarkStart w:id="55" w:name="本章参考文献"/>
    <w:p>
      <w:pPr>
        <w:pStyle w:val="Heading2"/>
      </w:pPr>
      <w:r>
        <w:t xml:space="preserve">本章参考文献</w:t>
      </w:r>
    </w:p>
    <w:p>
      <w:pPr>
        <w:pStyle w:val="BlockText"/>
      </w:pPr>
      <w:r>
        <w:rPr>
          <w:bCs/>
          <w:b/>
        </w:rPr>
        <w:t xml:space="preserve">核实说明</w:t>
      </w:r>
      <w:r>
        <w:t xml:space="preserve">：标注 ✅ 为经搜索核实的文献；⚠️ 为基本信息可信但部分细节待确认；👉 为作者本人论文需自行补充完整信息。定稿前务必逐条核对，删除本说明段。</w:t>
      </w:r>
    </w:p>
    <w:p>
      <w:pPr>
        <w:pStyle w:val="FirstParagraph"/>
      </w:pPr>
      <w:r>
        <w:t xml:space="preserve">[6-1] Kong L, Lei X, Wang H, et al. A model predictive water-level difference control method for automatic control of irrigation canals [J]. Water, 2019, 11(4): 762. DOI:10.3390/w11040762. ✅</w:t>
      </w:r>
    </w:p>
    <w:p>
      <w:pPr>
        <w:pStyle w:val="BodyText"/>
      </w:pPr>
      <w:r>
        <w:t xml:space="preserve">[6-2] 雷晓辉, 王浩, 尚毅梓. 南水北调中线工程智能调控与应急调度关键技术 [J]. 南水北调与水利科技, 2017, 15(2): 1-8. ✅</w:t>
      </w:r>
    </w:p>
    <w:p>
      <w:pPr>
        <w:pStyle w:val="BodyText"/>
      </w:pPr>
      <w:r>
        <w:t xml:space="preserve">[6-3] Litrico X, Fromion V. Modeling and Control of Hydrosystems [M]. London: Springer, 2009. ✅</w:t>
      </w:r>
    </w:p>
    <w:p>
      <w:pPr>
        <w:pStyle w:val="BodyText"/>
      </w:pPr>
      <w:r>
        <w:t xml:space="preserve">[6-4] Van Overloop P J. Model Predictive Control on Open Water Systems [D]. Delft: Delft University of Technology, 2006. ✅</w:t>
      </w:r>
    </w:p>
    <w:p>
      <w:pPr>
        <w:pStyle w:val="BodyText"/>
      </w:pPr>
      <w:r>
        <w:t xml:space="preserve">[6-5] ASCE. Manual of Practice 131: Canal Automation for Irrigation Systems [M]. Reston: ASCE, 2014. ✅</w:t>
      </w:r>
    </w:p>
    <w:p>
      <w:pPr>
        <w:pStyle w:val="BodyText"/>
      </w:pPr>
      <w:r>
        <w:t xml:space="preserve">[6-6] Malaterre P O, Rogers D C, Schuurmans J. Classification of canal control algorithms [J]. Journal of Irrigation and Drainage Engineering, 1998, 124(1): 3-10. ✅</w:t>
      </w:r>
    </w:p>
    <w:p>
      <w:pPr>
        <w:pStyle w:val="BodyText"/>
      </w:pPr>
      <w:r>
        <w:t xml:space="preserve">[6-7] Cantoni M, Weyer E, Li Y, et al. Control of large-scale irrigation networks [J]. Proceedings of the IEEE, 2007, 95(1): 75-91. ✅</w:t>
      </w:r>
    </w:p>
    <w:p>
      <w:pPr>
        <w:pStyle w:val="BodyText"/>
      </w:pPr>
      <w:r>
        <w:t xml:space="preserve">[6-8] 雷晓辉, 龙岩, 许慧敏, 等. 水系统控制论：提出背景、技术框架与研究范式 [J]. 南水北调与水利科技(中英文), 2025, 23(04): 761-769+904. DOI:10.13476/j.cnki.nsbdqk.2025.0077. ✅</w:t>
      </w:r>
    </w:p>
    <w:p>
      <w:pPr>
        <w:pStyle w:val="BodyText"/>
      </w:pPr>
      <w:r>
        <w:t xml:space="preserve">[6-9] 雷晓辉, 苏承国, 龙岩, 等. 基于无人驾驶理念的下一代自主运行智慧水网架构与关键技术 [J]. 南水北调与水利科技(中英文), 2025, 23(04): 778-786. DOI:10.13476/j.cnki.nsbdqk.2025.0079. ✅</w:t>
      </w:r>
    </w:p>
    <w:p>
      <w:pPr>
        <w:pStyle w:val="BodyText"/>
      </w:pPr>
      <w:r>
        <w:t xml:space="preserve">[6-10] 雷晓辉, 张峥, 苏承国, 等. 自主运行智能水网的在环测试体系 [J]. 南水北调与水利科技(中英文), 2025, 23(04): 787-793. DOI:10.13476/j.cnki.nsbdqk.2025.0080. ✅</w:t>
      </w:r>
    </w:p>
    <w:p>
      <w:pPr>
        <w:pStyle w:val="BodyText"/>
      </w:pPr>
      <w:r>
        <w:t xml:space="preserve">[6-11] Buyalski C P. Canal Systems Automation Manual [M]. Denver: US Bureau of Reclamation, 1991. ✅</w:t>
      </w:r>
    </w:p>
    <w:p>
      <w:pPr>
        <w:pStyle w:val="BodyText"/>
      </w:pPr>
      <w:r>
        <w:t xml:space="preserve">[6-12] Wylie E B. Control of transient free-surface flow [J]. Journal of the Hydraulics Division, ASCE, 1969, 95(HY1): 347-361. ✅</w:t>
      </w:r>
    </w:p>
    <w:p>
      <w:pPr>
        <w:pStyle w:val="BodyText"/>
      </w:pPr>
      <w:r>
        <w:t xml:space="preserve">[6-13] Schuurmans J, Bosgra O H, Brouwer R. Open-channel flow model approximation for controller design [J]. Applied Mathematical Modelling, 1995, 19(9): 525-530. ✅</w:t>
      </w:r>
    </w:p>
    <w:p>
      <w:pPr>
        <w:pStyle w:val="BodyText"/>
      </w:pPr>
      <w:r>
        <w:t xml:space="preserve">[6-14] Clemmens A J, Kacerek T F, Grawitz B, Schuurmans J. Test cases for canal control algorithms [J]. Journal of Irrigation and Drainage Engineering, 1998, 124(1): 23-30. ✅</w:t>
      </w:r>
    </w:p>
    <w:p>
      <w:pPr>
        <w:pStyle w:val="BodyText"/>
      </w:pPr>
      <w:r>
        <w:t xml:space="preserve">[6-15] Blanke M, Kinnaert M, Lunze J, Staroswiecki M. Diagnosis and Fault-Tolerant Control [M]. 3rd ed. Berlin: Springer, 2016. ✅</w:t>
      </w:r>
    </w:p>
    <w:p>
      <w:pPr>
        <w:pStyle w:val="BodyText"/>
      </w:pPr>
      <w:r>
        <w:t xml:space="preserve">[6-16] 雷晓辉, 孔令仲, 蒋云钟, 等. 水资源系统分析方法新进展与展望 [J]. 南水北调与水利科技(中英文), 2025, 23(04): 794-802. DOI:10.13476/j.cnki.nsbdqk.2025.0081. ✅</w:t>
      </w:r>
    </w:p>
    <w:p>
      <w:pPr>
        <w:pStyle w:val="BodyText"/>
      </w:pPr>
      <w:r>
        <w:t xml:space="preserve">[6-17] Kopetz H. Real-Time Systems: Design Principles for Distributed Embedded Applications [M]. 2nd ed. New York: Springer, 2011. ✅</w:t>
      </w:r>
    </w:p>
    <w:p>
      <w:pPr>
        <w:pStyle w:val="BodyText"/>
      </w:pPr>
      <w:r>
        <w:t xml:space="preserve">[6-18] Burt C M, Piao X, Gaudi F, Busch B, Taufik N N. Electric motor efficiency under variable frequencies and loads [J]. Journal of Irrigation and Drainage Engineering, 2008, 134(2): 129-136. ✅</w:t>
      </w:r>
    </w:p>
    <w:p>
      <w:pPr>
        <w:pStyle w:val="BodyText"/>
      </w:pPr>
      <w:r>
        <w:t xml:space="preserve">[6-19] Wahlin B T, Clemmens A J. Automatic downstream water-level feedback control of branching canal networks: theory [J]. Journal of Irrigation and Drainage Engineering, 2006, 132(3): 198-207. ✅</w:t>
      </w:r>
    </w:p>
    <w:p>
      <w:pPr>
        <w:pStyle w:val="BodyText"/>
      </w:pPr>
      <w:r>
        <w:t xml:space="preserve">[6-20] Xu M, Van Overloop P J, Van de Giesen N C. On the study of control effectiveness and computational efficiency of reduced Saint-Venant model in canal control [J]. Advances in Water Resources, 2011, 34(5): 676-684. ✅</w:t>
      </w:r>
    </w:p>
    <w:p>
      <w:pPr>
        <w:pStyle w:val="BodyText"/>
      </w:pPr>
      <w:r>
        <w:t xml:space="preserve">[6-21] Horváth K, Galvis E, Valentín M G, Baños Martínez H L. Is it better to use gate opening as control variable than discharge to control irrigation canals? [J]. Journal of Irrigation and Drainage Engineering, 2015, 141(3): 04014054. ✅</w:t>
      </w:r>
    </w:p>
    <w:p>
      <w:pPr>
        <w:pStyle w:val="BodyText"/>
      </w:pPr>
      <w:r>
        <w:t xml:space="preserve">[6-22] Lee E A. Cyber physical systems: Design challenges [C]//Proceedings of the 11th IEEE International Symposium on Object and Component-Oriented Real-Time Distributed Computing (ISORC). Orlando: IEEE, 2008: 363-369. ✅</w:t>
      </w:r>
    </w:p>
    <w:p>
      <w:pPr>
        <w:pStyle w:val="BodyText"/>
      </w:pPr>
      <w:r>
        <w:t xml:space="preserve">[6-23] Griffor E R, Greer C, Wollman D A, Burns M J. Framework for Cyber-Physical Systems: Volume 1, Overview [R]. NIST Special Publication 1500-201. Gaithersburg: NIST, 2017. ✅</w:t>
      </w:r>
    </w:p>
    <w:p>
      <w:pPr>
        <w:pStyle w:val="BodyText"/>
      </w:pPr>
      <w:r>
        <w:t xml:space="preserve">[6-24] Wooldridge M. An Introduction to MultiAgent Systems [M]. 2nd ed. Chichester: Wiley, 2009. ✅</w:t>
      </w:r>
    </w:p>
    <w:p>
      <w:pPr>
        <w:pStyle w:val="BodyText"/>
      </w:pPr>
      <w:r>
        <w:t xml:space="preserve">[6-25] Van Overloop P J, Schuurmans J, Brouwer R, Burt C M. Multiple-model optimization of proportional integral controllers on canals [J]. Journal of Irrigation and Drainage Engineering, 2005, 131(2): 190-196. ✅</w:t>
      </w:r>
    </w:p>
    <w:p>
      <w:pPr>
        <w:pStyle w:val="BodyText"/>
      </w:pPr>
      <w:r>
        <w:t xml:space="preserve">[6-26] Negenborn R R, Van Overloop P J, Keviczky T, De Schutter B. Distributed model predictive control of irrigation canals [J]. Networks and Heterogeneous Media, 2009, 4(2): 359-380. ✅</w:t>
      </w:r>
    </w:p>
    <w:p>
      <w:pPr>
        <w:pStyle w:val="BodyText"/>
      </w:pPr>
      <w:r>
        <w:t xml:space="preserve">[6-27] Lemos J M, Machado F, Nogueira N, Rato L, Rijo M. Adaptive and non-adaptive model predictive control of an irrigation channel [J]. Networks and Heterogeneous Media, 2009, 4(2): 303-324. ✅</w:t>
      </w:r>
    </w:p>
    <w:p>
      <w:pPr>
        <w:pStyle w:val="BodyText"/>
      </w:pPr>
      <w:r>
        <w:t xml:space="preserve">[6-28] Weyer E. System identification of an open water channel [J]. Control Engineering Practice, 2001, 9(12): 1289-1299. ✅</w:t>
      </w:r>
    </w:p>
    <w:p>
      <w:pPr>
        <w:pStyle w:val="BodyText"/>
      </w:pPr>
      <w:r>
        <w:t xml:space="preserve">[6-29] Ooi S K, Krutzen M P M, Weyer E. On physical and data driven modelling of irrigation channels [J]. Control Engineering Practice, 2005, 13(4): 461-471. ✅</w:t>
      </w:r>
    </w:p>
    <w:p>
      <w:pPr>
        <w:pStyle w:val="BodyText"/>
      </w:pPr>
      <w:r>
        <w:t xml:space="preserve">[6-30] Li Y, Cantoni M. Distributed controller design for open water channels [C]//Proceedings of the 17th IFAC World Congress. Seoul: IFAC, 2008: 10033-10038. ✅</w:t>
      </w:r>
    </w:p>
    <w:p>
      <w:pPr>
        <w:pStyle w:val="BodyText"/>
      </w:pPr>
      <w:r>
        <w:t xml:space="preserve">[6-31] Mavkov B, Grosso J M, Puig V, Ocampo-Martinez C. Multi-objective optimization for model predictive control of water transport networks [C]//Proceedings of the European Control Conference. Linz: IEEE, 2015: 3474-3479. ✅</w:t>
      </w:r>
    </w:p>
    <w:p>
      <w:pPr>
        <w:pStyle w:val="BodyText"/>
      </w:pPr>
      <w:r>
        <w:t xml:space="preserve">[6-32] Raso L, Schwanenberg D, Van de Giesen N C, Van Overloop P J. Short-term optimal operation of water systems using ensemble forecasts [J]. Advances in Water Resources, 2014, 71: 200-208. ✅</w:t>
      </w:r>
    </w:p>
    <w:p>
      <w:pPr>
        <w:pStyle w:val="BodyText"/>
      </w:pPr>
      <w:r>
        <w:t xml:space="preserve">[6-33] 穆祥鹏, 雷晓辉, 蒋云钟, 等. 基于冰期水力学特征的南水北调中线冰期输水调度方法 [J]. 水利学报, 2019, 50(11): 1358-1367. ⚠️</w:t>
      </w:r>
    </w:p>
    <w:p>
      <w:pPr>
        <w:pStyle w:val="BodyText"/>
      </w:pPr>
      <w:r>
        <w:t xml:space="preserve">[6-34] Zheng Y, Wie H, Chen S. Application of multi-agent system in water resources management and decision support: A review [J]. Water Resources Management, 2023, 37: 4873-4893. ⚠️</w:t>
      </w:r>
    </w:p>
    <w:p>
      <w:pPr>
        <w:pStyle w:val="BodyText"/>
      </w:pPr>
      <w:r>
        <w:t xml:space="preserve">[6-35] Scattolini R. Architectures for distributed and hierarchical model predictive control: A review [J]. Journal of Process Control, 2009, 19(5): 723-731. ✅</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���������������������T1-CN���</dc:creator>
  <cp:keywords/>
  <dcterms:created xsi:type="dcterms:W3CDTF">2026-02-20T06:38:59Z</dcterms:created>
  <dcterms:modified xsi:type="dcterms:W3CDTF">2026-02-20T06:38:59Z</dcterms:modified>
</cp:coreProperties>
</file>

<file path=docProps/custom.xml><?xml version="1.0" encoding="utf-8"?>
<Properties xmlns="http://schemas.openxmlformats.org/officeDocument/2006/custom-properties" xmlns:vt="http://schemas.openxmlformats.org/officeDocument/2006/docPropsVTypes"/>
</file>