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第七章-学科前景与人才培养"/>
    <w:p>
      <w:pPr>
        <w:pStyle w:val="Heading1"/>
      </w:pPr>
      <w:r>
        <w:t xml:space="preserve">第七章 学科前景与人才培养</w:t>
      </w:r>
    </w:p>
    <w:bookmarkEnd w:id="20"/>
    <w:bookmarkStart w:id="62" w:name="Xdaf7fdd1bc472855236a00333cfdbea82d615df"/>
    <w:p>
      <w:pPr>
        <w:pStyle w:val="Heading1"/>
      </w:pPr>
      <w:r>
        <w:t xml:space="preserve">Chapter 7: Disciplinary Perspectives and Talent Development</w:t>
      </w:r>
    </w:p>
    <w:p>
      <w:r>
        <w:pict>
          <v:rect style="width:0;height:1.5pt" o:hralign="center" o:hrstd="t" o:hr="t"/>
        </w:pict>
      </w:r>
    </w:p>
    <w:p>
      <w:pPr>
        <w:pStyle w:val="BlockText"/>
      </w:pPr>
      <w:r>
        <w:rPr>
          <w:bCs/>
          <w:b/>
        </w:rPr>
        <w:t xml:space="preserve">引导案例：一场跨流域调度演练暴露的”人才断层”</w:t>
      </w:r>
    </w:p>
    <w:p>
      <w:pPr>
        <w:pStyle w:val="BlockText"/>
      </w:pPr>
      <w:r>
        <w:t xml:space="preserve">某跨流域调水工程在年度联合应急演练中，技术系统运行稳定——SCADA数据完好、MPC算法正常输出建议方案、安全包络未被触发。然而，在”突发来水叠加通信抖动叠加检修并发”的复合情景下，调度组、运维组与算法组之间出现了系统性的理解偏差。调度员看不懂模型输出的”最优方案”背后的约束优先级，问出”为什么不直接关这个闸”时，算法工程师用数学语言解释了30分钟，双方仍未达成共识。运维人员面对四态机从”正常态”跳入”受限态”的提示，不确定是应该继续观察还是立即接管——因为他从未在真实工况中经历过这一状态迁移。算法组在事后被问及”模型建议方案的安全裕度有多大”时，给出的回答涉及约束松弛量和罚函数权重，调度长完全无法转化为运行决策语言。</w:t>
      </w:r>
    </w:p>
    <w:p>
      <w:pPr>
        <w:pStyle w:val="BlockText"/>
      </w:pPr>
      <w:r>
        <w:t xml:space="preserve">演练复盘得出一个共识：系统能力已接近水网自主等级（Water Network Autonomy Levels, WNAL）L3，但组织能力仍停留在”单岗位经验驱动”。三个岗位各自胜任，但缺乏共同的控制语言、共同的安全边界认知和共同的异常处置流程。这不是”培训不够”的问题——三个组分别参加过各自领域的培训；这是”学科缺失”的问题——没有一个统一的知识体系，把水力学、控制科学和运行治理编织成一套可共享的认知框架。</w:t>
      </w:r>
    </w:p>
    <w:p>
      <w:pPr>
        <w:pStyle w:val="FirstParagraph"/>
      </w:pPr>
      <w:r>
        <w:rPr>
          <w:bCs/>
          <w:b/>
        </w:rPr>
        <w:t xml:space="preserve">本章目标</w:t>
      </w:r>
      <w:r>
        <w:t xml:space="preserve">：帮助读者理解水系统控制论（Cybernetics of Hydro Systems, CHS）从”技术方向”成长为”学科方向”的必要性和路径。本章从技术成功到学科成形的差距出发，提出CHS人才的四类复合能力模型，设计四支柱课程体系和三层培养路径，阐述实践平台建设策略，讨论以IAHR为核心的国际合作网络，最后给出2026—2035十年路线图和机构推进指南。读完本章，读者应能回答三个问题：CHS学科建设为什么不能等同于技术推广？面向水网自主运行的人才需要哪些复合能力？一个机构如何启动CHS能力建设？</w:t>
      </w:r>
    </w:p>
    <w:p>
      <w:r>
        <w:pict>
          <v:rect style="width:0;height:1.5pt" o:hralign="center" o:hrstd="t" o:hr="t"/>
        </w:pict>
      </w:r>
    </w:p>
    <w:bookmarkStart w:id="24" w:name="从工程成果到学科共识"/>
    <w:p>
      <w:pPr>
        <w:pStyle w:val="Heading2"/>
      </w:pPr>
      <w:r>
        <w:t xml:space="preserve">7.1 从工程成果到学科共识</w:t>
      </w:r>
    </w:p>
    <w:bookmarkStart w:id="21" w:name="技术可复制不等于学科可复制"/>
    <w:p>
      <w:pPr>
        <w:pStyle w:val="Heading3"/>
      </w:pPr>
      <w:r>
        <w:t xml:space="preserve">7.1.1 技术可复制不等于学科可复制</w:t>
      </w:r>
    </w:p>
    <w:p>
      <w:pPr>
        <w:pStyle w:val="FirstParagraph"/>
      </w:pPr>
      <w:r>
        <w:t xml:space="preserve">第六章展示了胶东调水和沙坪水电站的工程实践：Water Network Operating System (HydroOS) 三层架构可部署、分层分布式控制（Hierarchical Distributed Control, HDC）可落地、在环测试（In-the-Loop Testing）可验证。然而，一个工程的技术成功与一个学科的形成之间，存在本质差距。技术成功回答的是”这个系统能不能跑起来”；学科成形回答的是”一批人能不能在不同工程中重复地、可预期地把类似系统建好、运好、验好、改好”。</w:t>
      </w:r>
    </w:p>
    <w:p>
      <w:pPr>
        <w:pStyle w:val="BodyText"/>
      </w:pPr>
      <w:r>
        <w:t xml:space="preserve">用一个类比来理解这种差距：一位外科医生成功完成了一台高难度手术，这是”技术成功”；一所医学院能够持续培养出具备同等手术能力的外科医生，这是”学科成形”。前者依赖个人天赋和师徒传承，后者依赖系统化的课程、标准化的临床训练和规范化的考核认证。水利工程的自主运行同样如此——少数团队做出了一个好系统不等于整个行业具备了建设和运维这类系统的能力。</w:t>
      </w:r>
    </w:p>
    <w:p>
      <w:pPr>
        <w:pStyle w:val="BodyText"/>
      </w:pPr>
      <w:r>
        <w:t xml:space="preserve">这一差距在水利行业尤为突出。传统水利工程教育以”设计-施工”为主线——课程围绕结构设计、水力计算和工程管理展开，</w:t>
      </w:r>
      <w:r>
        <w:t xml:space="preserve">“</w:t>
      </w:r>
      <w:r>
        <w:t xml:space="preserve">运行</w:t>
      </w:r>
      <w:r>
        <w:t xml:space="preserve">”</w:t>
      </w:r>
      <w:r>
        <w:t xml:space="preserve">长期被视为经验积累的产物而非系统训练的对象。当工程进入自主运行时代，运行管理从”值班盯屏”升级为”模型决策+人机协同+持续验证”，原有的知识结构和人才培养体系出现了结构性空白。</w:t>
      </w:r>
    </w:p>
    <w:p>
      <w:pPr>
        <w:pStyle w:val="BodyText"/>
      </w:pPr>
      <w:r>
        <w:t xml:space="preserve">Loucks和van Beek [7-2] 在其经典教材中指出，水资源系统规划已经从”静态设计”转向”动态管理”，但教育体系的转型远落后于技术实践。Oki和Kanae [7-1] 早在2006年就呼吁水文学科需要培养能够整合观测、模型与决策的复合型人才。近二十年过去，这一呼吁在自主运行语境下更加紧迫。回顾引导案例，演练暴露的不是个体能力的缺陷——每个人在自己的专业领域都是合格的——而是”跨领域共识”的缺失。这恰恰是”有技术、无学科”的典型症状。</w:t>
      </w:r>
    </w:p>
    <w:bookmarkEnd w:id="21"/>
    <w:bookmarkStart w:id="22" w:name="学科形成的四个标志"/>
    <w:p>
      <w:pPr>
        <w:pStyle w:val="Heading3"/>
      </w:pPr>
      <w:r>
        <w:t xml:space="preserve">7.1.2 学科形成的四个标志</w:t>
      </w:r>
    </w:p>
    <w:p>
      <w:pPr>
        <w:pStyle w:val="FirstParagraph"/>
      </w:pPr>
      <w:r>
        <w:t xml:space="preserve">一个研究方向成为学科方向，通常需要同时具备四个条件：有独立的核心问题域，有可传授的方法论体系，有可培养人才的课程和平台，有持续运转的学术共同体。表7-1对CHS与两个参照学科——自动控制和软件工程——的学科成熟度进行了对标分析。</w:t>
      </w:r>
    </w:p>
    <w:tbl>
      <w:tblPr>
        <w:tblStyle w:val="Table"/>
        <w:tblW w:type="pct" w:w="5000"/>
        <w:tblLook w:firstRow="1" w:lastRow="0" w:firstColumn="0" w:lastColumn="0" w:noHBand="0" w:noVBand="0" w:val="0020"/>
        <w:jc w:val="start"/>
      </w:tblPr>
      <w:tblGrid>
        <w:gridCol w:w="698"/>
        <w:gridCol w:w="2445"/>
        <w:gridCol w:w="2445"/>
        <w:gridCol w:w="2329"/>
      </w:tblGrid>
      <w:tr>
        <w:trPr>
          <w:tblHeader w:val="true"/>
        </w:trPr>
        <w:tc>
          <w:tcPr/>
          <w:p>
            <w:pPr>
              <w:pStyle w:val="Compact"/>
              <w:jc w:val="left"/>
            </w:pPr>
            <w:r>
              <w:t xml:space="preserve">维度</w:t>
            </w:r>
          </w:p>
        </w:tc>
        <w:tc>
          <w:tcPr/>
          <w:p>
            <w:pPr>
              <w:pStyle w:val="Compact"/>
              <w:jc w:val="left"/>
            </w:pPr>
            <w:r>
              <w:t xml:space="preserve">自动控制（成熟学科）</w:t>
            </w:r>
          </w:p>
        </w:tc>
        <w:tc>
          <w:tcPr/>
          <w:p>
            <w:pPr>
              <w:pStyle w:val="Compact"/>
              <w:jc w:val="left"/>
            </w:pPr>
            <w:r>
              <w:t xml:space="preserve">软件工程（中等成熟）</w:t>
            </w:r>
          </w:p>
        </w:tc>
        <w:tc>
          <w:tcPr/>
          <w:p>
            <w:pPr>
              <w:pStyle w:val="Compact"/>
              <w:jc w:val="left"/>
            </w:pPr>
            <w:r>
              <w:t xml:space="preserve">CHS（建设初期）</w:t>
            </w:r>
          </w:p>
        </w:tc>
      </w:tr>
      <w:tr>
        <w:tc>
          <w:tcPr/>
          <w:p>
            <w:pPr>
              <w:pStyle w:val="Compact"/>
              <w:jc w:val="left"/>
            </w:pPr>
            <w:r>
              <w:t xml:space="preserve">核心问题域</w:t>
            </w:r>
          </w:p>
        </w:tc>
        <w:tc>
          <w:tcPr/>
          <w:p>
            <w:pPr>
              <w:pStyle w:val="Compact"/>
              <w:jc w:val="left"/>
            </w:pPr>
            <w:r>
              <w:t xml:space="preserve">反馈稳定性、最优控制</w:t>
            </w:r>
          </w:p>
        </w:tc>
        <w:tc>
          <w:tcPr/>
          <w:p>
            <w:pPr>
              <w:pStyle w:val="Compact"/>
              <w:jc w:val="left"/>
            </w:pPr>
            <w:r>
              <w:t xml:space="preserve">软件可靠性、开发效率</w:t>
            </w:r>
          </w:p>
        </w:tc>
        <w:tc>
          <w:tcPr/>
          <w:p>
            <w:pPr>
              <w:pStyle w:val="Compact"/>
              <w:jc w:val="left"/>
            </w:pPr>
            <w:r>
              <w:t xml:space="preserve">水网自主运行、人机协同</w:t>
            </w:r>
          </w:p>
        </w:tc>
      </w:tr>
      <w:tr>
        <w:tc>
          <w:tcPr/>
          <w:p>
            <w:pPr>
              <w:pStyle w:val="Compact"/>
              <w:jc w:val="left"/>
            </w:pPr>
            <w:r>
              <w:t xml:space="preserve">方法论体系</w:t>
            </w:r>
          </w:p>
        </w:tc>
        <w:tc>
          <w:tcPr/>
          <w:p>
            <w:pPr>
              <w:pStyle w:val="Compact"/>
              <w:jc w:val="left"/>
            </w:pPr>
            <w:r>
              <w:t xml:space="preserve">完整（教科书体系50年+）</w:t>
            </w:r>
          </w:p>
        </w:tc>
        <w:tc>
          <w:tcPr/>
          <w:p>
            <w:pPr>
              <w:pStyle w:val="Compact"/>
              <w:jc w:val="left"/>
            </w:pPr>
            <w:r>
              <w:t xml:space="preserve">较完整（设计模式、敏捷等）</w:t>
            </w:r>
          </w:p>
        </w:tc>
        <w:tc>
          <w:tcPr/>
          <w:p>
            <w:pPr>
              <w:pStyle w:val="Compact"/>
              <w:jc w:val="left"/>
            </w:pPr>
            <w:r>
              <w:t xml:space="preserve">初步（八原理框架+WNAL）</w:t>
            </w:r>
          </w:p>
        </w:tc>
      </w:tr>
      <w:tr>
        <w:tc>
          <w:tcPr/>
          <w:p>
            <w:pPr>
              <w:pStyle w:val="Compact"/>
              <w:jc w:val="left"/>
            </w:pPr>
            <w:r>
              <w:t xml:space="preserve">课程与平台</w:t>
            </w:r>
          </w:p>
        </w:tc>
        <w:tc>
          <w:tcPr/>
          <w:p>
            <w:pPr>
              <w:pStyle w:val="Compact"/>
              <w:jc w:val="left"/>
            </w:pPr>
            <w:r>
              <w:t xml:space="preserve">全球数千所高校开设</w:t>
            </w:r>
          </w:p>
        </w:tc>
        <w:tc>
          <w:tcPr/>
          <w:p>
            <w:pPr>
              <w:pStyle w:val="Compact"/>
              <w:jc w:val="left"/>
            </w:pPr>
            <w:r>
              <w:t xml:space="preserve">全球普遍纳入CS培养方案</w:t>
            </w:r>
          </w:p>
        </w:tc>
        <w:tc>
          <w:tcPr/>
          <w:p>
            <w:pPr>
              <w:pStyle w:val="Compact"/>
              <w:jc w:val="left"/>
            </w:pPr>
            <w:r>
              <w:t xml:space="preserve">试点（2-3所高校试验课程）</w:t>
            </w:r>
          </w:p>
        </w:tc>
      </w:tr>
      <w:tr>
        <w:tc>
          <w:tcPr/>
          <w:p>
            <w:pPr>
              <w:pStyle w:val="Compact"/>
              <w:jc w:val="left"/>
            </w:pPr>
            <w:r>
              <w:t xml:space="preserve">学术共同体</w:t>
            </w:r>
          </w:p>
        </w:tc>
        <w:tc>
          <w:tcPr/>
          <w:p>
            <w:pPr>
              <w:pStyle w:val="Compact"/>
              <w:jc w:val="left"/>
            </w:pPr>
            <w:r>
              <w:t xml:space="preserve">IFAC、IEEE CSS等</w:t>
            </w:r>
          </w:p>
        </w:tc>
        <w:tc>
          <w:tcPr/>
          <w:p>
            <w:pPr>
              <w:pStyle w:val="Compact"/>
              <w:jc w:val="left"/>
            </w:pPr>
            <w:r>
              <w:t xml:space="preserve">ACM、IEEE SE等</w:t>
            </w:r>
          </w:p>
        </w:tc>
        <w:tc>
          <w:tcPr/>
          <w:p>
            <w:pPr>
              <w:pStyle w:val="Compact"/>
              <w:jc w:val="left"/>
            </w:pPr>
            <w:r>
              <w:t xml:space="preserve">IAHR工作组筹建中</w:t>
            </w:r>
          </w:p>
        </w:tc>
      </w:tr>
      <w:tr>
        <w:tc>
          <w:tcPr/>
          <w:p>
            <w:pPr>
              <w:pStyle w:val="Compact"/>
              <w:jc w:val="left"/>
            </w:pPr>
            <w:r>
              <w:t xml:space="preserve">行业认证</w:t>
            </w:r>
          </w:p>
        </w:tc>
        <w:tc>
          <w:tcPr/>
          <w:p>
            <w:pPr>
              <w:pStyle w:val="Compact"/>
              <w:jc w:val="left"/>
            </w:pPr>
            <w:r>
              <w:t xml:space="preserve">PE（控制方向）、注册工程师</w:t>
            </w:r>
          </w:p>
        </w:tc>
        <w:tc>
          <w:tcPr/>
          <w:p>
            <w:pPr>
              <w:pStyle w:val="Compact"/>
              <w:jc w:val="left"/>
            </w:pPr>
            <w:r>
              <w:t xml:space="preserve">CMMI、PMP等</w:t>
            </w:r>
          </w:p>
        </w:tc>
        <w:tc>
          <w:tcPr/>
          <w:p>
            <w:pPr>
              <w:pStyle w:val="Compact"/>
              <w:jc w:val="left"/>
            </w:pPr>
            <w:r>
              <w:t xml:space="preserve">尚无专门认证</w:t>
            </w:r>
          </w:p>
        </w:tc>
      </w:tr>
    </w:tbl>
    <w:p>
      <w:pPr>
        <w:pStyle w:val="BodyText"/>
      </w:pPr>
      <w:r>
        <w:t xml:space="preserve">这张表清晰地表明：CHS在前两个条件上已经取得进展——第二章至第五章建立了从控制论视角分析水系统的理论框架和技术架构，八原理和WNAL构成了初步的方法论体系。但后三个条件——课程体系、学术共同体和行业认证——仍在建设初期。本章的任务正是为这三个条件提出建设路径。</w:t>
      </w:r>
    </w:p>
    <w:p>
      <w:pPr>
        <w:pStyle w:val="BlockText"/>
      </w:pPr>
      <w:r>
        <w:rPr>
          <w:bCs/>
          <w:b/>
        </w:rPr>
        <w:t xml:space="preserve">概念速览：学科 vs. 技术方向</w:t>
      </w:r>
    </w:p>
    <w:p>
      <w:pPr>
        <w:pStyle w:val="BlockText"/>
      </w:pPr>
      <w:r>
        <w:t xml:space="preserve">“</w:t>
      </w:r>
      <w:r>
        <w:t xml:space="preserve">技术方向</w:t>
      </w:r>
      <w:r>
        <w:t xml:space="preserve">”</w:t>
      </w:r>
      <w:r>
        <w:t xml:space="preserve">依赖少数团队的研发能力，成功经验难以标准化传播；</w:t>
      </w:r>
      <w:r>
        <w:t xml:space="preserve">“</w:t>
      </w:r>
      <w:r>
        <w:t xml:space="preserve">学科方向</w:t>
      </w:r>
      <w:r>
        <w:t xml:space="preserve">”</w:t>
      </w:r>
      <w:r>
        <w:t xml:space="preserve">具备可复制的人才培养方案、可共享的术语与方法标准、可持续运转的学术交流机制。CHS要从前者成长为后者，核心挑战不在于”做更多项目”，而在于”建可复制的能力供给链”。</w:t>
      </w:r>
    </w:p>
    <w:bookmarkEnd w:id="22"/>
    <w:bookmarkStart w:id="23" w:name="chs学科建设的独特挑战"/>
    <w:p>
      <w:pPr>
        <w:pStyle w:val="Heading3"/>
      </w:pPr>
      <w:r>
        <w:t xml:space="preserve">7.1.3 CHS学科建设的独特挑战</w:t>
      </w:r>
    </w:p>
    <w:p>
      <w:pPr>
        <w:pStyle w:val="FirstParagraph"/>
      </w:pPr>
      <w:r>
        <w:t xml:space="preserve">CHS面临三个特殊困难。</w:t>
      </w:r>
      <w:r>
        <w:rPr>
          <w:bCs/>
          <w:b/>
        </w:rPr>
        <w:t xml:space="preserve">第一，跨学科门槛高。</w:t>
      </w:r>
      <w:r>
        <w:t xml:space="preserve"> </w:t>
      </w:r>
      <w:r>
        <w:t xml:space="preserve">CHS横跨水利工程、自动控制、计算机科学和公共治理四个学科——任何单一学科背景的人才都不具备完整能力，但现有高校院系几乎没有覆盖这四个领域的交叉培养方案。Borg [7-16] 对跨学科研究生教育的研究表明，仅仅把不同学科的课程拼接在一起并不能产生真正的跨学科能力——必须通过”边界对象”（boundary objects）和”共享实践”来实现知识的融合而非叠加。在CHS语境下，HydroOS平台和WNAL分级体系正是这种”边界对象”——它们为不同专业背景的人提供了一个共同的讨论框架。</w:t>
      </w:r>
    </w:p>
    <w:p>
      <w:pPr>
        <w:pStyle w:val="BodyText"/>
      </w:pPr>
      <w:r>
        <w:rPr>
          <w:bCs/>
          <w:b/>
        </w:rPr>
        <w:t xml:space="preserve">第二，实践验证成本高。</w:t>
      </w:r>
      <w:r>
        <w:t xml:space="preserve"> </w:t>
      </w:r>
      <w:r>
        <w:t xml:space="preserve">与计算机科学可以在实验室反复试错不同，水系统的物理测试代价极高（参见第四章§4.2.2差异五 [4-3]），人才培养必须依赖高保真仿真平台而非真实工程试错。一次错误的闸门操作可能导致数百万立方米的水资源损失或下游安全事故——这使得”在做中学”的成本远高于IT行业，对仿真平台的保真度提出了严格要求。</w:t>
      </w:r>
    </w:p>
    <w:p>
      <w:pPr>
        <w:pStyle w:val="BodyText"/>
      </w:pPr>
      <w:r>
        <w:rPr>
          <w:bCs/>
          <w:b/>
        </w:rPr>
        <w:t xml:space="preserve">第三，行业存量大转型难。</w:t>
      </w:r>
      <w:r>
        <w:t xml:space="preserve"> </w:t>
      </w:r>
      <w:r>
        <w:t xml:space="preserve">中国现有水利从业人员超过百万，其中具备控制理论和软件工程背景的不足5%。学科建设不仅要培养增量人才（新毕业生），更要升级存量人才（在岗工程师）——后者的规模远大于前者。Senge [7-17] 在组织学习理论中指出，大型组织的知识转型最大的阻力不是技术本身，而是”心智模式”的惯性——在水利行业，这表现为”运行就是值班”的根深蒂固的认知，以及”算法是学术界的事、现场不需要”的组织文化。</w:t>
      </w:r>
    </w:p>
    <w:p>
      <w:r>
        <w:pict>
          <v:rect style="width:0;height:1.5pt" o:hralign="center" o:hrstd="t" o:hr="t"/>
        </w:pict>
      </w:r>
    </w:p>
    <w:bookmarkEnd w:id="23"/>
    <w:bookmarkEnd w:id="24"/>
    <w:bookmarkStart w:id="29" w:name="chs的人才能力模型"/>
    <w:p>
      <w:pPr>
        <w:pStyle w:val="Heading2"/>
      </w:pPr>
      <w:r>
        <w:t xml:space="preserve">7.2 CHS的人才能力模型</w:t>
      </w:r>
    </w:p>
    <w:bookmarkStart w:id="25" w:name="四类复合能力"/>
    <w:p>
      <w:pPr>
        <w:pStyle w:val="Heading3"/>
      </w:pPr>
      <w:r>
        <w:t xml:space="preserve">7.2.1 四类复合能力</w:t>
      </w:r>
    </w:p>
    <w:p>
      <w:pPr>
        <w:pStyle w:val="FirstParagraph"/>
      </w:pPr>
      <w:r>
        <w:t xml:space="preserve">面向CHS的人才，不再是”单一学科高分者”，而是需要具备四类相互交织的复合能力。这一模型借鉴了自动驾驶行业”感知-规划-控制-安全”的能力分层思想 [7-11]，并针对水系统的公共基础设施属性做了根本性调整。</w:t>
      </w:r>
    </w:p>
    <w:p>
      <w:pPr>
        <w:pStyle w:val="BodyText"/>
      </w:pPr>
      <w:r>
        <w:rPr>
          <w:bCs/>
          <w:b/>
        </w:rPr>
        <w:t xml:space="preserve">能力一：水工机理能力（Hydro-Physics Competency）。</w:t>
      </w:r>
      <w:r>
        <w:t xml:space="preserve"> </w:t>
      </w:r>
      <w:r>
        <w:t xml:space="preserve">理解明渠、管网、梯级水电站等对象的物理边界与运行规律。这是CHS的”根”——不理解圣维南方程的物理含义（第二章§2.3），就无法判断模型输出是否合理；不理解闸门-水位响应的时滞特性，就无法设计有效的控制策略。</w:t>
      </w:r>
    </w:p>
    <w:p>
      <w:pPr>
        <w:pStyle w:val="BodyText"/>
      </w:pPr>
      <w:r>
        <w:rPr>
          <w:bCs/>
          <w:b/>
        </w:rPr>
        <w:t xml:space="preserve">能力二：控制与优化能力（Control &amp; Optimization Competency）。</w:t>
      </w:r>
      <w:r>
        <w:t xml:space="preserve"> </w:t>
      </w:r>
      <w:r>
        <w:t xml:space="preserve">能够把工程目标表达为约束优化问题，并据此设计可执行策略。这是CHS的”骨”——从第二章的状态方程形式化，到第三章的模型预测控制（Model Predictive Control, MPC）和安全包络（Safety Envelope），核心方法论都属于这一能力域。</w:t>
      </w:r>
    </w:p>
    <w:p>
      <w:pPr>
        <w:pStyle w:val="BodyText"/>
      </w:pPr>
      <w:r>
        <w:rPr>
          <w:bCs/>
          <w:b/>
        </w:rPr>
        <w:t xml:space="preserve">能力三：智能与软件能力（AI &amp; Software Competency）。</w:t>
      </w:r>
      <w:r>
        <w:t xml:space="preserve"> </w:t>
      </w:r>
      <w:r>
        <w:t xml:space="preserve">能够在HydroOS中部署策略，管理数据流与服务接口，设计和维护多智能体系统（Multi-Agent System, MAS）。这是CHS的”肉”——算法停留在论文中没有价值，必须成为可运行、可监控、可更新的工程软件。</w:t>
      </w:r>
    </w:p>
    <w:p>
      <w:pPr>
        <w:pStyle w:val="BodyText"/>
      </w:pPr>
      <w:r>
        <w:rPr>
          <w:bCs/>
          <w:b/>
        </w:rPr>
        <w:t xml:space="preserve">能力四：治理与安全能力（Governance &amp; Safety Competency）。</w:t>
      </w:r>
      <w:r>
        <w:t xml:space="preserve"> </w:t>
      </w:r>
      <w:r>
        <w:t xml:space="preserve">理解运行设计域（Operational Design Domain, ODD）、安全包络与责任分工，确保系统”可审计、可问责、可持续”。这是CHS的”魂”——第四章论述的WNAL等级跃迁四重门槛中，治理门槛和运行门槛（§4.5）通常是最难通过的，因为它们要求的不是个人技术能力，而是组织制度能力。</w:t>
      </w:r>
    </w:p>
    <w:p>
      <w:pPr>
        <w:pStyle w:val="BlockText"/>
      </w:pPr>
      <w:r>
        <w:t xml:space="preserve">图7-1: CHS四类复合能力模型图。图示内容：四象限雷达图，四个轴分别标注”水工机理”</w:t>
      </w:r>
      <w:r>
        <w:t xml:space="preserve">“</w:t>
      </w:r>
      <w:r>
        <w:t xml:space="preserve">控制与优化</w:t>
      </w:r>
      <w:r>
        <w:t xml:space="preserve">”</w:t>
      </w:r>
      <w:r>
        <w:t xml:space="preserve">“</w:t>
      </w:r>
      <w:r>
        <w:t xml:space="preserve">智能与软件</w:t>
      </w:r>
      <w:r>
        <w:t xml:space="preserve">”</w:t>
      </w:r>
      <w:r>
        <w:t xml:space="preserve">“</w:t>
      </w:r>
      <w:r>
        <w:t xml:space="preserve">治理与安全</w:t>
      </w:r>
      <w:r>
        <w:t xml:space="preserve">”</w:t>
      </w:r>
      <w:r>
        <w:t xml:space="preserve">。图中叠放三条不同颜色的多边形轮廓：蓝色虚线为”传统水利工程师能力分布”（水工机理强，其余三项弱），绿色虚线为”IT背景工程师能力分布”（智能与软件强，其余弱），红色实线为”CHS目标人才能力分布”（四项均衡偏高）。中心标注”CHS复合人才”。四角各标注一个关键词：根/骨/肉/魂。</w:t>
      </w:r>
    </w:p>
    <w:bookmarkEnd w:id="25"/>
    <w:bookmarkStart w:id="26" w:name="能力模型与岗位角色对应"/>
    <w:p>
      <w:pPr>
        <w:pStyle w:val="Heading3"/>
      </w:pPr>
      <w:r>
        <w:t xml:space="preserve">7.2.2 能力模型与岗位角色对应</w:t>
      </w:r>
    </w:p>
    <w:p>
      <w:pPr>
        <w:pStyle w:val="FirstParagraph"/>
      </w:pPr>
      <w:r>
        <w:t xml:space="preserve">四类能力在实际工程组织中映射到不同岗位角色。以下对应表源自第六章胶东调水和沙坪水电站实践的人员配置经验：</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能力维度</w:t>
            </w:r>
          </w:p>
        </w:tc>
        <w:tc>
          <w:tcPr/>
          <w:p>
            <w:pPr>
              <w:pStyle w:val="Compact"/>
              <w:jc w:val="left"/>
            </w:pPr>
            <w:r>
              <w:t xml:space="preserve">典型岗位</w:t>
            </w:r>
          </w:p>
        </w:tc>
        <w:tc>
          <w:tcPr/>
          <w:p>
            <w:pPr>
              <w:pStyle w:val="Compact"/>
              <w:jc w:val="left"/>
            </w:pPr>
            <w:r>
              <w:t xml:space="preserve">关键任务</w:t>
            </w:r>
          </w:p>
        </w:tc>
        <w:tc>
          <w:tcPr/>
          <w:p>
            <w:pPr>
              <w:pStyle w:val="Compact"/>
              <w:jc w:val="left"/>
            </w:pPr>
            <w:r>
              <w:t xml:space="preserve">对WNAL跃迁的贡献</w:t>
            </w:r>
          </w:p>
        </w:tc>
      </w:tr>
      <w:tr>
        <w:tc>
          <w:tcPr/>
          <w:p>
            <w:pPr>
              <w:pStyle w:val="Compact"/>
              <w:jc w:val="left"/>
            </w:pPr>
            <w:r>
              <w:t xml:space="preserve">水工机理能力</w:t>
            </w:r>
          </w:p>
        </w:tc>
        <w:tc>
          <w:tcPr/>
          <w:p>
            <w:pPr>
              <w:pStyle w:val="Compact"/>
              <w:jc w:val="left"/>
            </w:pPr>
            <w:r>
              <w:t xml:space="preserve">工程建模工程师</w:t>
            </w:r>
          </w:p>
        </w:tc>
        <w:tc>
          <w:tcPr/>
          <w:p>
            <w:pPr>
              <w:pStyle w:val="Compact"/>
              <w:jc w:val="left"/>
            </w:pPr>
            <w:r>
              <w:t xml:space="preserve">建模、参数校核、边界条件定义</w:t>
            </w:r>
          </w:p>
        </w:tc>
        <w:tc>
          <w:tcPr/>
          <w:p>
            <w:pPr>
              <w:pStyle w:val="Compact"/>
              <w:jc w:val="left"/>
            </w:pPr>
            <w:r>
              <w:t xml:space="preserve">保证L2→L3阶段模型可信度</w:t>
            </w:r>
          </w:p>
        </w:tc>
      </w:tr>
      <w:tr>
        <w:tc>
          <w:tcPr/>
          <w:p>
            <w:pPr>
              <w:pStyle w:val="Compact"/>
              <w:jc w:val="left"/>
            </w:pPr>
            <w:r>
              <w:t xml:space="preserve">控制与优化能力</w:t>
            </w:r>
          </w:p>
        </w:tc>
        <w:tc>
          <w:tcPr/>
          <w:p>
            <w:pPr>
              <w:pStyle w:val="Compact"/>
              <w:jc w:val="left"/>
            </w:pPr>
            <w:r>
              <w:t xml:space="preserve">控制策略工程师</w:t>
            </w:r>
          </w:p>
        </w:tc>
        <w:tc>
          <w:tcPr/>
          <w:p>
            <w:pPr>
              <w:pStyle w:val="Compact"/>
              <w:jc w:val="left"/>
            </w:pPr>
            <w:r>
              <w:t xml:space="preserve">策略设计、约束处理、性能调优</w:t>
            </w:r>
          </w:p>
        </w:tc>
        <w:tc>
          <w:tcPr/>
          <w:p>
            <w:pPr>
              <w:pStyle w:val="Compact"/>
              <w:jc w:val="left"/>
            </w:pPr>
            <w:r>
              <w:t xml:space="preserve">支撑L3阶段稳定自治</w:t>
            </w:r>
          </w:p>
        </w:tc>
      </w:tr>
      <w:tr>
        <w:tc>
          <w:tcPr/>
          <w:p>
            <w:pPr>
              <w:pStyle w:val="Compact"/>
              <w:jc w:val="left"/>
            </w:pPr>
            <w:r>
              <w:t xml:space="preserve">智能与软件能力</w:t>
            </w:r>
          </w:p>
        </w:tc>
        <w:tc>
          <w:tcPr/>
          <w:p>
            <w:pPr>
              <w:pStyle w:val="Compact"/>
              <w:jc w:val="left"/>
            </w:pPr>
            <w:r>
              <w:t xml:space="preserve">平台/算法工程师</w:t>
            </w:r>
          </w:p>
        </w:tc>
        <w:tc>
          <w:tcPr/>
          <w:p>
            <w:pPr>
              <w:pStyle w:val="Compact"/>
              <w:jc w:val="left"/>
            </w:pPr>
            <w:r>
              <w:t xml:space="preserve">服务部署、接口治理、在线更新</w:t>
            </w:r>
          </w:p>
        </w:tc>
        <w:tc>
          <w:tcPr/>
          <w:p>
            <w:pPr>
              <w:pStyle w:val="Compact"/>
              <w:jc w:val="left"/>
            </w:pPr>
            <w:r>
              <w:t xml:space="preserve">支撑L3→L4的系统扩展能力</w:t>
            </w:r>
          </w:p>
        </w:tc>
      </w:tr>
      <w:tr>
        <w:tc>
          <w:tcPr/>
          <w:p>
            <w:pPr>
              <w:pStyle w:val="Compact"/>
              <w:jc w:val="left"/>
            </w:pPr>
            <w:r>
              <w:t xml:space="preserve">治理与安全能力</w:t>
            </w:r>
          </w:p>
        </w:tc>
        <w:tc>
          <w:tcPr/>
          <w:p>
            <w:pPr>
              <w:pStyle w:val="Compact"/>
              <w:jc w:val="left"/>
            </w:pPr>
            <w:r>
              <w:t xml:space="preserve">调度长/安全官</w:t>
            </w:r>
          </w:p>
        </w:tc>
        <w:tc>
          <w:tcPr/>
          <w:p>
            <w:pPr>
              <w:pStyle w:val="Compact"/>
              <w:jc w:val="left"/>
            </w:pPr>
            <w:r>
              <w:t xml:space="preserve">ODD管理、接管规则、审计闭环</w:t>
            </w:r>
          </w:p>
        </w:tc>
        <w:tc>
          <w:tcPr/>
          <w:p>
            <w:pPr>
              <w:pStyle w:val="Compact"/>
              <w:jc w:val="left"/>
            </w:pPr>
            <w:r>
              <w:t xml:space="preserve">保证全等级可控可审计</w:t>
            </w:r>
          </w:p>
        </w:tc>
      </w:tr>
    </w:tbl>
    <w:p>
      <w:pPr>
        <w:pStyle w:val="BodyText"/>
      </w:pPr>
      <w:r>
        <w:t xml:space="preserve">需要强调的是，</w:t>
      </w:r>
      <w:r>
        <w:t xml:space="preserve">“</w:t>
      </w:r>
      <w:r>
        <w:t xml:space="preserve">四类能力</w:t>
      </w:r>
      <w:r>
        <w:t xml:space="preserve">”</w:t>
      </w:r>
      <w:r>
        <w:t xml:space="preserve">不等于”四个人”。在小型团队中，一个人可能需要覆盖两到三类能力；在大型组织中，每类能力可能有专门的团队。关键不在于岗位如何设置，而在于四类能力是否被完整覆盖——引导案例中演练失败的根本原因，正是四类能力各自存在但缺乏交叉融合。</w:t>
      </w:r>
    </w:p>
    <w:bookmarkEnd w:id="26"/>
    <w:bookmarkStart w:id="27" w:name="引导案例的能力缺口剖析"/>
    <w:p>
      <w:pPr>
        <w:pStyle w:val="Heading3"/>
      </w:pPr>
      <w:r>
        <w:t xml:space="preserve">7.2.3 引导案例的能力缺口剖析</w:t>
      </w:r>
    </w:p>
    <w:p>
      <w:pPr>
        <w:pStyle w:val="FirstParagraph"/>
      </w:pPr>
      <w:r>
        <w:t xml:space="preserve">回到本章引导案例，用四类能力模型重新审视演练中的三次沟通失败：</w:t>
      </w:r>
    </w:p>
    <w:p>
      <w:pPr>
        <w:pStyle w:val="BodyText"/>
      </w:pPr>
      <w:r>
        <w:rPr>
          <w:bCs/>
          <w:b/>
        </w:rPr>
        <w:t xml:space="preserve">失败一：调度员 vs. 算法工程师。</w:t>
      </w:r>
      <w:r>
        <w:t xml:space="preserve"> </w:t>
      </w:r>
      <w:r>
        <w:t xml:space="preserve">调度员问”为什么不直接关这个闸”，本质上是在用水工机理直觉质疑控制策略逻辑——他理解水力响应但不理解MPC的约束优先级排序。算法工程师的回答涉及罚函数权重，说明他具备控制与优化能力但缺乏将数学结论”翻译”为运行语言的能力。这是能力一和能力二之间的”接口断裂”。</w:t>
      </w:r>
    </w:p>
    <w:p>
      <w:pPr>
        <w:pStyle w:val="BodyText"/>
      </w:pPr>
      <w:r>
        <w:rPr>
          <w:bCs/>
          <w:b/>
        </w:rPr>
        <w:t xml:space="preserve">失败二：运维人员面对四态机状态迁移。</w:t>
      </w:r>
      <w:r>
        <w:t xml:space="preserve"> </w:t>
      </w:r>
      <w:r>
        <w:t xml:space="preserve">运维人员对”受限态”缺乏应对经验，反映的是治理与安全能力的缺失——他从未在培训中系统学习过四态机的状态迁移条件和对应处置规程（第二章§2.7）。更深层地说，这暴露了平台操作训练（能力三）与安全治理训练（能力四）之间的脱节。</w:t>
      </w:r>
    </w:p>
    <w:p>
      <w:pPr>
        <w:pStyle w:val="BodyText"/>
      </w:pPr>
      <w:r>
        <w:rPr>
          <w:bCs/>
          <w:b/>
        </w:rPr>
        <w:t xml:space="preserve">失败三：算法组无法回答”安全裕度有多大”。</w:t>
      </w:r>
      <w:r>
        <w:t xml:space="preserve"> </w:t>
      </w:r>
      <w:r>
        <w:t xml:space="preserve">这个问题看似是控制工程问题，实际上是一个治理问题——</w:t>
      </w:r>
      <w:r>
        <w:t xml:space="preserve">“</w:t>
      </w:r>
      <w:r>
        <w:t xml:space="preserve">安全裕度</w:t>
      </w:r>
      <w:r>
        <w:t xml:space="preserve">”</w:t>
      </w:r>
      <w:r>
        <w:t xml:space="preserve">在运行决策语境中意味着”我们离红线还有多远、还能承受什么量级的扰动”。算法组用数学语言回答，说明他们在能力二的框架内思考，但调度长需要的是能力四框架下的回答。这是”同一个问题、两种语言”的典型案例。</w:t>
      </w:r>
    </w:p>
    <w:p>
      <w:pPr>
        <w:pStyle w:val="BodyText"/>
      </w:pPr>
      <w:r>
        <w:t xml:space="preserve">这三次失败的共同根源是：每个岗位在自己的能力维度内都是合格的，但”能力间的翻译机制”不存在——而这种翻译机制正是CHS作为统一学科框架要提供的核心价值。</w:t>
      </w:r>
    </w:p>
    <w:bookmarkEnd w:id="27"/>
    <w:bookmarkStart w:id="28" w:name="从wnal等级看能力需求演进"/>
    <w:p>
      <w:pPr>
        <w:pStyle w:val="Heading3"/>
      </w:pPr>
      <w:r>
        <w:t xml:space="preserve">7.2.4 从WNAL等级看能力需求演进</w:t>
      </w:r>
    </w:p>
    <w:p>
      <w:pPr>
        <w:pStyle w:val="FirstParagraph"/>
      </w:pPr>
      <w:r>
        <w:t xml:space="preserve">WNAL不同等级对人才能力的要求有显著差异。简单地说：等级越低，对个体经验要求越高、对系统能力要求越低；等级越高，对个体经验要求降低、但对团队复合能力和组织制度能力要求急剧上升。</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WNAL等级</w:t>
            </w:r>
          </w:p>
        </w:tc>
        <w:tc>
          <w:tcPr/>
          <w:p>
            <w:pPr>
              <w:pStyle w:val="Compact"/>
              <w:jc w:val="left"/>
            </w:pPr>
            <w:r>
              <w:t xml:space="preserve">人的核心角色</w:t>
            </w:r>
          </w:p>
        </w:tc>
        <w:tc>
          <w:tcPr/>
          <w:p>
            <w:pPr>
              <w:pStyle w:val="Compact"/>
              <w:jc w:val="left"/>
            </w:pPr>
            <w:r>
              <w:t xml:space="preserve">关键能力需求</w:t>
            </w:r>
          </w:p>
        </w:tc>
        <w:tc>
          <w:tcPr/>
          <w:p>
            <w:pPr>
              <w:pStyle w:val="Compact"/>
              <w:jc w:val="left"/>
            </w:pPr>
            <w:r>
              <w:t xml:space="preserve">典型短板</w:t>
            </w:r>
          </w:p>
        </w:tc>
      </w:tr>
      <w:tr>
        <w:tc>
          <w:tcPr/>
          <w:p>
            <w:pPr>
              <w:pStyle w:val="Compact"/>
              <w:jc w:val="left"/>
            </w:pPr>
            <w:r>
              <w:t xml:space="preserve">L0-L1</w:t>
            </w:r>
          </w:p>
        </w:tc>
        <w:tc>
          <w:tcPr/>
          <w:p>
            <w:pPr>
              <w:pStyle w:val="Compact"/>
              <w:jc w:val="left"/>
            </w:pPr>
            <w:r>
              <w:t xml:space="preserve">操作执行者</w:t>
            </w:r>
          </w:p>
        </w:tc>
        <w:tc>
          <w:tcPr/>
          <w:p>
            <w:pPr>
              <w:pStyle w:val="Compact"/>
              <w:jc w:val="left"/>
            </w:pPr>
            <w:r>
              <w:t xml:space="preserve">水工机理（经验为主）</w:t>
            </w:r>
          </w:p>
        </w:tc>
        <w:tc>
          <w:tcPr/>
          <w:p>
            <w:pPr>
              <w:pStyle w:val="Compact"/>
              <w:jc w:val="left"/>
            </w:pPr>
            <w:r>
              <w:t xml:space="preserve">经验难以传承</w:t>
            </w:r>
          </w:p>
        </w:tc>
      </w:tr>
      <w:tr>
        <w:tc>
          <w:tcPr/>
          <w:p>
            <w:pPr>
              <w:pStyle w:val="Compact"/>
              <w:jc w:val="left"/>
            </w:pPr>
            <w:r>
              <w:t xml:space="preserve">L2</w:t>
            </w:r>
          </w:p>
        </w:tc>
        <w:tc>
          <w:tcPr/>
          <w:p>
            <w:pPr>
              <w:pStyle w:val="Compact"/>
              <w:jc w:val="left"/>
            </w:pPr>
            <w:r>
              <w:t xml:space="preserve">监督确认者</w:t>
            </w:r>
          </w:p>
        </w:tc>
        <w:tc>
          <w:tcPr/>
          <w:p>
            <w:pPr>
              <w:pStyle w:val="Compact"/>
              <w:jc w:val="left"/>
            </w:pPr>
            <w:r>
              <w:t xml:space="preserve">水工机理 + 控制基础</w:t>
            </w:r>
          </w:p>
        </w:tc>
        <w:tc>
          <w:tcPr/>
          <w:p>
            <w:pPr>
              <w:pStyle w:val="Compact"/>
              <w:jc w:val="left"/>
            </w:pPr>
            <w:r>
              <w:t xml:space="preserve">不理解模型建议的逻辑</w:t>
            </w:r>
          </w:p>
        </w:tc>
      </w:tr>
      <w:tr>
        <w:tc>
          <w:tcPr/>
          <w:p>
            <w:pPr>
              <w:pStyle w:val="Compact"/>
              <w:jc w:val="left"/>
            </w:pPr>
            <w:r>
              <w:t xml:space="preserve">L3</w:t>
            </w:r>
          </w:p>
        </w:tc>
        <w:tc>
          <w:tcPr/>
          <w:p>
            <w:pPr>
              <w:pStyle w:val="Compact"/>
              <w:jc w:val="left"/>
            </w:pPr>
            <w:r>
              <w:t xml:space="preserve">异常处置者</w:t>
            </w:r>
          </w:p>
        </w:tc>
        <w:tc>
          <w:tcPr/>
          <w:p>
            <w:pPr>
              <w:pStyle w:val="Compact"/>
              <w:jc w:val="left"/>
            </w:pPr>
            <w:r>
              <w:t xml:space="preserve">四类均衡，侧重治理与安全</w:t>
            </w:r>
          </w:p>
        </w:tc>
        <w:tc>
          <w:tcPr/>
          <w:p>
            <w:pPr>
              <w:pStyle w:val="Compact"/>
              <w:jc w:val="left"/>
            </w:pPr>
            <w:r>
              <w:t xml:space="preserve">缺乏ODD/安全包络共识</w:t>
            </w:r>
          </w:p>
        </w:tc>
      </w:tr>
      <w:tr>
        <w:tc>
          <w:tcPr/>
          <w:p>
            <w:pPr>
              <w:pStyle w:val="Compact"/>
              <w:jc w:val="left"/>
            </w:pPr>
            <w:r>
              <w:t xml:space="preserve">L4</w:t>
            </w:r>
          </w:p>
        </w:tc>
        <w:tc>
          <w:tcPr/>
          <w:p>
            <w:pPr>
              <w:pStyle w:val="Compact"/>
              <w:jc w:val="left"/>
            </w:pPr>
            <w:r>
              <w:t xml:space="preserve">系统管理者</w:t>
            </w:r>
          </w:p>
        </w:tc>
        <w:tc>
          <w:tcPr/>
          <w:p>
            <w:pPr>
              <w:pStyle w:val="Compact"/>
              <w:jc w:val="left"/>
            </w:pPr>
            <w:r>
              <w:t xml:space="preserve">四类均衡，侧重智能与软件</w:t>
            </w:r>
          </w:p>
        </w:tc>
        <w:tc>
          <w:tcPr/>
          <w:p>
            <w:pPr>
              <w:pStyle w:val="Compact"/>
              <w:jc w:val="left"/>
            </w:pPr>
            <w:r>
              <w:t xml:space="preserve">缺乏大系统运维能力</w:t>
            </w:r>
          </w:p>
        </w:tc>
      </w:tr>
    </w:tbl>
    <w:p>
      <w:pPr>
        <w:pStyle w:val="BodyText"/>
      </w:pPr>
      <w:r>
        <w:t xml:space="preserve">从L2到L3是能力需求的”质变点”——这与第四章§4.3.4论述的”L2→L3是水网自主化的质变节点”完全对应。技术系统的质变要求人才能力的质变：调度员必须理解安全包络的含义，算法工程师必须理解运行约束的物理背景，运维人员必须掌握四态机的处置规程。任何一方的能力缺口都会成为等级跃迁的瓶颈。</w:t>
      </w:r>
    </w:p>
    <w:p>
      <w:r>
        <w:pict>
          <v:rect style="width:0;height:1.5pt" o:hralign="center" o:hrstd="t" o:hr="t"/>
        </w:pict>
      </w:r>
    </w:p>
    <w:bookmarkEnd w:id="28"/>
    <w:bookmarkEnd w:id="29"/>
    <w:bookmarkStart w:id="36" w:name="四支柱课程体系"/>
    <w:p>
      <w:pPr>
        <w:pStyle w:val="Heading2"/>
      </w:pPr>
      <w:r>
        <w:t xml:space="preserve">7.3 四支柱课程体系</w:t>
      </w:r>
    </w:p>
    <w:p>
      <w:pPr>
        <w:pStyle w:val="FirstParagraph"/>
      </w:pPr>
      <w:r>
        <w:t xml:space="preserve">为避免”学了很多课，仍不会做系统工程”，CHS建议以四支柱重构培养方案。四支柱与四类能力一一对应，但课程设计强调交叉而非孤立。</w:t>
      </w:r>
    </w:p>
    <w:bookmarkStart w:id="30" w:name="支柱a水系统建模与控制基础"/>
    <w:p>
      <w:pPr>
        <w:pStyle w:val="Heading3"/>
      </w:pPr>
      <w:r>
        <w:t xml:space="preserve">7.3.1 支柱A：水系统建模与控制基础</w:t>
      </w:r>
    </w:p>
    <w:p>
      <w:pPr>
        <w:pStyle w:val="FirstParagraph"/>
      </w:pPr>
      <w:r>
        <w:t xml:space="preserve">核心课程包括：水动力学基础、系统辨识与降阶建模、模型预测控制（MPC）、状态估计与故障诊断。目标是让学生具备”从物理对象到控制对象”的抽象能力（对应第二章§2.2的形式化过程）。</w:t>
      </w:r>
    </w:p>
    <w:p>
      <w:pPr>
        <w:pStyle w:val="BodyText"/>
      </w:pPr>
      <w:r>
        <w:t xml:space="preserve">这一支柱的教学难点在于”数学-直觉平衡”。传统水利课程重视物理直觉但缺乏控制理论训练，传统控制课程数学严谨但缺乏水利工程情境。Litrico和Fromion [7-3] 的教材在这方面做出了开创性尝试——用传递函数方法统一处理明渠控制问题，为跨学科教学提供了范本。建议在教学中采用”先直觉后数学”的策略：先用工程案例让学生理解”为什么需要控制”，再引入数学工具回答”怎么做控制”。</w:t>
      </w:r>
    </w:p>
    <w:bookmarkEnd w:id="30"/>
    <w:bookmarkStart w:id="31" w:name="支柱b智能算法与认知增强"/>
    <w:p>
      <w:pPr>
        <w:pStyle w:val="Heading3"/>
      </w:pPr>
      <w:r>
        <w:t xml:space="preserve">7.3.2 支柱B：智能算法与认知增强</w:t>
      </w:r>
    </w:p>
    <w:p>
      <w:pPr>
        <w:pStyle w:val="FirstParagraph"/>
      </w:pPr>
      <w:r>
        <w:t xml:space="preserve">核心课程包括：机器学习基础、物理信息神经网络（PINN）、强化学习在水系统中的应用、认知AI与人机协同。目标不是训练”模型竞赛选手”，而是培养”能把算法嵌入工程约束”的系统工程师。</w:t>
      </w:r>
    </w:p>
    <w:p>
      <w:pPr>
        <w:pStyle w:val="BodyText"/>
      </w:pPr>
      <w:r>
        <w:t xml:space="preserve">这一支柱的关键原则是”AI服务于控制，而非替代控制”。Russell和Norvig [7-4] 在其AI经典教材中强调，智能体的设计必须考虑环境的不确定性和行动的后果。在水系统语境中，这意味着算法工程师必须理解：模型输出不是”答案”，而是”建议”——建议必须通过安全包络的过滤，必须在ODD范围内有效，必须可被调度员理解和审核。Garrido-Baserba等 [7-18] 对水务行业AI应用的综述表明，成功部署的关键不是算法的理论性能，而是算法与运行流程的嵌入深度。</w:t>
      </w:r>
    </w:p>
    <w:bookmarkEnd w:id="31"/>
    <w:bookmarkStart w:id="32" w:name="支柱c系统工程与软件平台"/>
    <w:p>
      <w:pPr>
        <w:pStyle w:val="Heading3"/>
      </w:pPr>
      <w:r>
        <w:t xml:space="preserve">7.3.3 支柱C：系统工程与软件平台</w:t>
      </w:r>
    </w:p>
    <w:p>
      <w:pPr>
        <w:pStyle w:val="FirstParagraph"/>
      </w:pPr>
      <w:r>
        <w:t xml:space="preserve">核心课程包括：SCADA+MAS融合架构（SCADA+MAS Fusion Architecture）、微服务与实时数据中台、在环测试工程（SIL/HIL方法论）、软件系统可靠性。目标是把”算法原型”升级为”工程可运维系统”。</w:t>
      </w:r>
    </w:p>
    <w:p>
      <w:pPr>
        <w:pStyle w:val="BodyText"/>
      </w:pPr>
      <w:r>
        <w:t xml:space="preserve">Savic等 [7-5] 在水系统”严肃游戏”（Serious Gaming）研究中指出，工程系统的运维能力不能仅靠课堂讲授获得，必须通过沉浸式仿真和反复演练来建立。这一发现对CHS课程设计有直接启示：支柱C的教学必须以实际平台为载体，学生需要在HydroOS或类似系统上完成从部署、测试到运维的全流程。</w:t>
      </w:r>
    </w:p>
    <w:bookmarkEnd w:id="32"/>
    <w:bookmarkStart w:id="33" w:name="支柱d运行治理与行业规范"/>
    <w:p>
      <w:pPr>
        <w:pStyle w:val="Heading3"/>
      </w:pPr>
      <w:r>
        <w:t xml:space="preserve">7.3.4 支柱D：运行治理与行业规范</w:t>
      </w:r>
    </w:p>
    <w:p>
      <w:pPr>
        <w:pStyle w:val="FirstParagraph"/>
      </w:pPr>
      <w:r>
        <w:t xml:space="preserve">核心课程包括：运行风险管理、水网信息安全、调度组织机制设计、行业标准与合规。目标是让技术方案具备制度落地能力，避免”技术正确、治理失效”。</w:t>
      </w:r>
    </w:p>
    <w:p>
      <w:pPr>
        <w:pStyle w:val="BodyText"/>
      </w:pPr>
      <w:r>
        <w:t xml:space="preserve">Leveson [7-6] 在系统安全工程领域的工作表明，复杂系统的事故往往不是单一技术故障导致，而是技术、组织和管理多层面失效的耦合结果。水利工程作为公共基础设施，其治理复杂性远超一般工业系统——涉及多级政府、多个部门和多方利益相关者（第四章§4.2.2差异四）。因此，CHS人才即使不从事治理工作，也必须理解治理框架对技术决策的约束。</w:t>
      </w:r>
    </w:p>
    <w:bookmarkEnd w:id="33"/>
    <w:bookmarkStart w:id="34" w:name="四支柱协同一个课程设计案例"/>
    <w:p>
      <w:pPr>
        <w:pStyle w:val="Heading3"/>
      </w:pPr>
      <w:r>
        <w:t xml:space="preserve">7.3.5 四支柱协同：一个课程设计案例</w:t>
      </w:r>
    </w:p>
    <w:p>
      <w:pPr>
        <w:pStyle w:val="FirstParagraph"/>
      </w:pPr>
      <w:r>
        <w:t xml:space="preserve">四支柱不应作为四组独立课程教授，而应通过”贯穿式项目”实现融合。以下是一个建议的综合设计课程模板：</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阶段</w:t>
            </w:r>
          </w:p>
        </w:tc>
        <w:tc>
          <w:tcPr/>
          <w:p>
            <w:pPr>
              <w:pStyle w:val="Compact"/>
              <w:jc w:val="left"/>
            </w:pPr>
            <w:r>
              <w:t xml:space="preserve">支柱A任务</w:t>
            </w:r>
          </w:p>
        </w:tc>
        <w:tc>
          <w:tcPr/>
          <w:p>
            <w:pPr>
              <w:pStyle w:val="Compact"/>
              <w:jc w:val="left"/>
            </w:pPr>
            <w:r>
              <w:t xml:space="preserve">支柱B任务</w:t>
            </w:r>
          </w:p>
        </w:tc>
        <w:tc>
          <w:tcPr/>
          <w:p>
            <w:pPr>
              <w:pStyle w:val="Compact"/>
              <w:jc w:val="left"/>
            </w:pPr>
            <w:r>
              <w:t xml:space="preserve">支柱C任务</w:t>
            </w:r>
          </w:p>
        </w:tc>
        <w:tc>
          <w:tcPr/>
          <w:p>
            <w:pPr>
              <w:pStyle w:val="Compact"/>
              <w:jc w:val="left"/>
            </w:pPr>
            <w:r>
              <w:t xml:space="preserve">支柱D任务</w:t>
            </w:r>
          </w:p>
        </w:tc>
      </w:tr>
      <w:tr>
        <w:tc>
          <w:tcPr/>
          <w:p>
            <w:pPr>
              <w:pStyle w:val="Compact"/>
              <w:jc w:val="left"/>
            </w:pPr>
            <w:r>
              <w:t xml:space="preserve">第1-4周</w:t>
            </w:r>
          </w:p>
        </w:tc>
        <w:tc>
          <w:tcPr/>
          <w:p>
            <w:pPr>
              <w:pStyle w:val="Compact"/>
              <w:jc w:val="left"/>
            </w:pPr>
            <w:r>
              <w:t xml:space="preserve">建立渠段水力模型</w:t>
            </w:r>
          </w:p>
        </w:tc>
        <w:tc>
          <w:tcPr/>
          <w:p>
            <w:pPr>
              <w:pStyle w:val="Compact"/>
              <w:jc w:val="left"/>
            </w:pPr>
            <w:r>
              <w:t xml:space="preserve">数据预处理与特征工程</w:t>
            </w:r>
          </w:p>
        </w:tc>
        <w:tc>
          <w:tcPr/>
          <w:p>
            <w:pPr>
              <w:pStyle w:val="Compact"/>
              <w:jc w:val="left"/>
            </w:pPr>
            <w:r>
              <w:t xml:space="preserve">搭建仿真环境</w:t>
            </w:r>
          </w:p>
        </w:tc>
        <w:tc>
          <w:tcPr/>
          <w:p>
            <w:pPr>
              <w:pStyle w:val="Compact"/>
              <w:jc w:val="left"/>
            </w:pPr>
            <w:r>
              <w:t xml:space="preserve">定义ODD与安全约束</w:t>
            </w:r>
          </w:p>
        </w:tc>
      </w:tr>
      <w:tr>
        <w:tc>
          <w:tcPr/>
          <w:p>
            <w:pPr>
              <w:pStyle w:val="Compact"/>
              <w:jc w:val="left"/>
            </w:pPr>
            <w:r>
              <w:t xml:space="preserve">第5-8周</w:t>
            </w:r>
          </w:p>
        </w:tc>
        <w:tc>
          <w:tcPr/>
          <w:p>
            <w:pPr>
              <w:pStyle w:val="Compact"/>
              <w:jc w:val="left"/>
            </w:pPr>
            <w:r>
              <w:t xml:space="preserve">设计MPC控制策略</w:t>
            </w:r>
          </w:p>
        </w:tc>
        <w:tc>
          <w:tcPr/>
          <w:p>
            <w:pPr>
              <w:pStyle w:val="Compact"/>
              <w:jc w:val="left"/>
            </w:pPr>
            <w:r>
              <w:t xml:space="preserve">训练预测模型辅助MPC</w:t>
            </w:r>
          </w:p>
        </w:tc>
        <w:tc>
          <w:tcPr/>
          <w:p>
            <w:pPr>
              <w:pStyle w:val="Compact"/>
              <w:jc w:val="left"/>
            </w:pPr>
            <w:r>
              <w:t xml:space="preserve">在SIL环境部署策略</w:t>
            </w:r>
          </w:p>
        </w:tc>
        <w:tc>
          <w:tcPr/>
          <w:p>
            <w:pPr>
              <w:pStyle w:val="Compact"/>
              <w:jc w:val="left"/>
            </w:pPr>
            <w:r>
              <w:t xml:space="preserve">设计接管规则与审计链</w:t>
            </w:r>
          </w:p>
        </w:tc>
      </w:tr>
      <w:tr>
        <w:tc>
          <w:tcPr/>
          <w:p>
            <w:pPr>
              <w:pStyle w:val="Compact"/>
              <w:jc w:val="left"/>
            </w:pPr>
            <w:r>
              <w:t xml:space="preserve">第9-12周</w:t>
            </w:r>
          </w:p>
        </w:tc>
        <w:tc>
          <w:tcPr/>
          <w:p>
            <w:pPr>
              <w:pStyle w:val="Compact"/>
              <w:jc w:val="left"/>
            </w:pPr>
            <w:r>
              <w:t xml:space="preserve">异常工况调参</w:t>
            </w:r>
          </w:p>
        </w:tc>
        <w:tc>
          <w:tcPr/>
          <w:p>
            <w:pPr>
              <w:pStyle w:val="Compact"/>
              <w:jc w:val="left"/>
            </w:pPr>
            <w:r>
              <w:t xml:space="preserve">在线学习与模型更新</w:t>
            </w:r>
          </w:p>
        </w:tc>
        <w:tc>
          <w:tcPr/>
          <w:p>
            <w:pPr>
              <w:pStyle w:val="Compact"/>
              <w:jc w:val="left"/>
            </w:pPr>
            <w:r>
              <w:t xml:space="preserve">HIL联调测试</w:t>
            </w:r>
          </w:p>
        </w:tc>
        <w:tc>
          <w:tcPr/>
          <w:p>
            <w:pPr>
              <w:pStyle w:val="Compact"/>
              <w:jc w:val="left"/>
            </w:pPr>
            <w:r>
              <w:t xml:space="preserve">演练四态机处置流程</w:t>
            </w:r>
          </w:p>
        </w:tc>
      </w:tr>
      <w:tr>
        <w:tc>
          <w:tcPr/>
          <w:p>
            <w:pPr>
              <w:pStyle w:val="Compact"/>
              <w:jc w:val="left"/>
            </w:pPr>
            <w:r>
              <w:t xml:space="preserve">第13-16周</w:t>
            </w:r>
          </w:p>
        </w:tc>
        <w:tc>
          <w:tcPr/>
          <w:p>
            <w:pPr>
              <w:pStyle w:val="Compact"/>
              <w:jc w:val="left"/>
            </w:pPr>
            <w:r>
              <w:t xml:space="preserve">性能评估与复盘</w:t>
            </w:r>
          </w:p>
        </w:tc>
        <w:tc>
          <w:tcPr/>
          <w:p>
            <w:pPr>
              <w:pStyle w:val="Compact"/>
              <w:jc w:val="left"/>
            </w:pPr>
            <w:r>
              <w:t xml:space="preserve">模型解释报告</w:t>
            </w:r>
          </w:p>
        </w:tc>
        <w:tc>
          <w:tcPr/>
          <w:p>
            <w:pPr>
              <w:pStyle w:val="Compact"/>
              <w:jc w:val="left"/>
            </w:pPr>
            <w:r>
              <w:t xml:space="preserve">部署运维报告</w:t>
            </w:r>
          </w:p>
        </w:tc>
        <w:tc>
          <w:tcPr/>
          <w:p>
            <w:pPr>
              <w:pStyle w:val="Compact"/>
              <w:jc w:val="left"/>
            </w:pPr>
            <w:r>
              <w:t xml:space="preserve">合规审计报告</w:t>
            </w:r>
          </w:p>
        </w:tc>
      </w:tr>
    </w:tbl>
    <w:p>
      <w:pPr>
        <w:pStyle w:val="BodyText"/>
      </w:pPr>
      <w:r>
        <w:t xml:space="preserve">这一设计的核心思想是：每个团队在16周内完整经历一次”建模→控制→部署→治理”的全流程，每位成员负责一个支柱但必须理解其余三个支柱的接口——与真实工程中的团队协作模式一致。</w:t>
      </w:r>
    </w:p>
    <w:bookmarkEnd w:id="34"/>
    <w:bookmarkStart w:id="35" w:name="国际课程对标"/>
    <w:p>
      <w:pPr>
        <w:pStyle w:val="Heading3"/>
      </w:pPr>
      <w:r>
        <w:t xml:space="preserve">7.3.6 国际课程对标</w:t>
      </w:r>
    </w:p>
    <w:p>
      <w:pPr>
        <w:pStyle w:val="FirstParagraph"/>
      </w:pPr>
      <w:r>
        <w:t xml:space="preserve">CHS课程体系的设计并非从零开始，而是可以借鉴多个国际先行者的经验：</w:t>
      </w:r>
    </w:p>
    <w:tbl>
      <w:tblPr>
        <w:tblStyle w:val="Table"/>
        <w:tblW w:type="pct" w:w="5000"/>
        <w:tblLook w:firstRow="1" w:lastRow="0" w:firstColumn="0" w:lastColumn="0" w:noHBand="0" w:noVBand="0" w:val="0020"/>
        <w:jc w:val="start"/>
      </w:tblPr>
      <w:tblGrid>
        <w:gridCol w:w="1827"/>
        <w:gridCol w:w="1827"/>
        <w:gridCol w:w="2640"/>
        <w:gridCol w:w="1624"/>
      </w:tblGrid>
      <w:tr>
        <w:trPr>
          <w:tblHeader w:val="true"/>
        </w:trPr>
        <w:tc>
          <w:tcPr/>
          <w:p>
            <w:pPr>
              <w:pStyle w:val="Compact"/>
              <w:jc w:val="left"/>
            </w:pPr>
            <w:r>
              <w:t xml:space="preserve">对标对象</w:t>
            </w:r>
          </w:p>
        </w:tc>
        <w:tc>
          <w:tcPr/>
          <w:p>
            <w:pPr>
              <w:pStyle w:val="Compact"/>
              <w:jc w:val="left"/>
            </w:pPr>
            <w:r>
              <w:t xml:space="preserve">课程特色</w:t>
            </w:r>
          </w:p>
        </w:tc>
        <w:tc>
          <w:tcPr/>
          <w:p>
            <w:pPr>
              <w:pStyle w:val="Compact"/>
              <w:jc w:val="left"/>
            </w:pPr>
            <w:r>
              <w:t xml:space="preserve">CHS可借鉴之处</w:t>
            </w:r>
          </w:p>
        </w:tc>
        <w:tc>
          <w:tcPr/>
          <w:p>
            <w:pPr>
              <w:pStyle w:val="Compact"/>
              <w:jc w:val="left"/>
            </w:pPr>
            <w:r>
              <w:t xml:space="preserve">局限性</w:t>
            </w:r>
          </w:p>
        </w:tc>
      </w:tr>
      <w:tr>
        <w:tc>
          <w:tcPr/>
          <w:p>
            <w:pPr>
              <w:pStyle w:val="Compact"/>
              <w:jc w:val="left"/>
            </w:pPr>
            <w:r>
              <w:t xml:space="preserve">TU Delft 水资源管理硕士 [7-14]</w:t>
            </w:r>
          </w:p>
        </w:tc>
        <w:tc>
          <w:tcPr/>
          <w:p>
            <w:pPr>
              <w:pStyle w:val="Compact"/>
              <w:jc w:val="left"/>
            </w:pPr>
            <w:r>
              <w:t xml:space="preserve">控制理论与灌溉水力学深度融合</w:t>
            </w:r>
          </w:p>
        </w:tc>
        <w:tc>
          <w:tcPr/>
          <w:p>
            <w:pPr>
              <w:pStyle w:val="Compact"/>
              <w:jc w:val="left"/>
            </w:pPr>
            <w:r>
              <w:t xml:space="preserve">支柱A的”数学-直觉平衡”教学法</w:t>
            </w:r>
          </w:p>
        </w:tc>
        <w:tc>
          <w:tcPr/>
          <w:p>
            <w:pPr>
              <w:pStyle w:val="Compact"/>
              <w:jc w:val="left"/>
            </w:pPr>
            <w:r>
              <w:t xml:space="preserve">规模小、聚焦灌溉</w:t>
            </w:r>
          </w:p>
        </w:tc>
      </w:tr>
      <w:tr>
        <w:tc>
          <w:tcPr/>
          <w:p>
            <w:pPr>
              <w:pStyle w:val="Compact"/>
              <w:jc w:val="left"/>
            </w:pPr>
            <w:r>
              <w:t xml:space="preserve">墨尔本大学系统控制 [7-15]</w:t>
            </w:r>
          </w:p>
        </w:tc>
        <w:tc>
          <w:tcPr/>
          <w:p>
            <w:pPr>
              <w:pStyle w:val="Compact"/>
              <w:jc w:val="left"/>
            </w:pPr>
            <w:r>
              <w:t xml:space="preserve">分布式控制架构+实验验证</w:t>
            </w:r>
          </w:p>
        </w:tc>
        <w:tc>
          <w:tcPr/>
          <w:p>
            <w:pPr>
              <w:pStyle w:val="Compact"/>
              <w:jc w:val="left"/>
            </w:pPr>
            <w:r>
              <w:t xml:space="preserve">支柱C的平台化教学</w:t>
            </w:r>
          </w:p>
        </w:tc>
        <w:tc>
          <w:tcPr/>
          <w:p>
            <w:pPr>
              <w:pStyle w:val="Compact"/>
              <w:jc w:val="left"/>
            </w:pPr>
            <w:r>
              <w:t xml:space="preserve">偏理论、缺治理维度</w:t>
            </w:r>
          </w:p>
        </w:tc>
      </w:tr>
      <w:tr>
        <w:tc>
          <w:tcPr/>
          <w:p>
            <w:pPr>
              <w:pStyle w:val="Compact"/>
              <w:jc w:val="left"/>
            </w:pPr>
            <w:r>
              <w:t xml:space="preserve">IHE Delft 水信息学 [7-19]</w:t>
            </w:r>
          </w:p>
        </w:tc>
        <w:tc>
          <w:tcPr/>
          <w:p>
            <w:pPr>
              <w:pStyle w:val="Compact"/>
              <w:jc w:val="left"/>
            </w:pPr>
            <w:r>
              <w:t xml:space="preserve">水文数据科学+决策支持系统</w:t>
            </w:r>
          </w:p>
        </w:tc>
        <w:tc>
          <w:tcPr/>
          <w:p>
            <w:pPr>
              <w:pStyle w:val="Compact"/>
              <w:jc w:val="left"/>
            </w:pPr>
            <w:r>
              <w:t xml:space="preserve">支柱B的数据驱动方法教学</w:t>
            </w:r>
          </w:p>
        </w:tc>
        <w:tc>
          <w:tcPr/>
          <w:p>
            <w:pPr>
              <w:pStyle w:val="Compact"/>
              <w:jc w:val="left"/>
            </w:pPr>
            <w:r>
              <w:t xml:space="preserve">缺控制理论基础</w:t>
            </w:r>
          </w:p>
        </w:tc>
      </w:tr>
      <w:tr>
        <w:tc>
          <w:tcPr/>
          <w:p>
            <w:pPr>
              <w:pStyle w:val="Compact"/>
              <w:jc w:val="left"/>
            </w:pPr>
            <w:r>
              <w:t xml:space="preserve">ASCE渠道自动化体系 [7-12]</w:t>
            </w:r>
          </w:p>
        </w:tc>
        <w:tc>
          <w:tcPr/>
          <w:p>
            <w:pPr>
              <w:pStyle w:val="Compact"/>
              <w:jc w:val="left"/>
            </w:pPr>
            <w:r>
              <w:t xml:space="preserve">行业指南+测试基准+工程案例</w:t>
            </w:r>
          </w:p>
        </w:tc>
        <w:tc>
          <w:tcPr/>
          <w:p>
            <w:pPr>
              <w:pStyle w:val="Compact"/>
              <w:jc w:val="left"/>
            </w:pPr>
            <w:r>
              <w:t xml:space="preserve">继续教育的模块化设计</w:t>
            </w:r>
          </w:p>
        </w:tc>
        <w:tc>
          <w:tcPr/>
          <w:p>
            <w:pPr>
              <w:pStyle w:val="Compact"/>
              <w:jc w:val="left"/>
            </w:pPr>
            <w:r>
              <w:t xml:space="preserve">非学位项目、覆盖面窄</w:t>
            </w:r>
          </w:p>
        </w:tc>
      </w:tr>
    </w:tbl>
    <w:p>
      <w:pPr>
        <w:pStyle w:val="BodyText"/>
      </w:pPr>
      <w:r>
        <w:t xml:space="preserve">CHS的独特定位在于：它不是上述任何一个方向的简单复制，而是要把”物理建模+控制设计+软件工程+运行治理”四个维度纳入一个统一框架——这在全球范围内尚无成熟先例。</w:t>
      </w:r>
    </w:p>
    <w:p>
      <w:r>
        <w:pict>
          <v:rect style="width:0;height:1.5pt" o:hralign="center" o:hrstd="t" o:hr="t"/>
        </w:pict>
      </w:r>
    </w:p>
    <w:bookmarkEnd w:id="35"/>
    <w:bookmarkEnd w:id="36"/>
    <w:bookmarkStart w:id="40" w:name="三层培养路径"/>
    <w:p>
      <w:pPr>
        <w:pStyle w:val="Heading2"/>
      </w:pPr>
      <w:r>
        <w:t xml:space="preserve">7.4 三层培养路径</w:t>
      </w:r>
    </w:p>
    <w:bookmarkStart w:id="37" w:name="本科层认知建立"/>
    <w:p>
      <w:pPr>
        <w:pStyle w:val="Heading3"/>
      </w:pPr>
      <w:r>
        <w:t xml:space="preserve">7.4.1 本科层：认知建立</w:t>
      </w:r>
    </w:p>
    <w:p>
      <w:pPr>
        <w:pStyle w:val="FirstParagraph"/>
      </w:pPr>
      <w:r>
        <w:t xml:space="preserve">本科阶段的目标不是培养CHS专家，而是建立跨学科认知基础。建议在水利工程本科高年级开设1-2门交叉选修课：一门”水系统智能控制导论”（覆盖支柱A+B的基础概念），一门”水利工程运行管理”（覆盖支柱C+D的基础概念）。课程以案例教学为主，数学推导控制在最低限度，重在帮助学生理解”运行与设计同等重要”的范式转变。</w:t>
      </w:r>
    </w:p>
    <w:p>
      <w:pPr>
        <w:pStyle w:val="BodyText"/>
      </w:pPr>
      <w:r>
        <w:t xml:space="preserve">清华大学水利水电工程系在2024年率先试点”智慧水利”交叉方向 [7-10]，将控制理论、机器学习和软件工程纳入水利专业培养方案——这是中国高校在CHS相关交叉培养方面的重要探索。武汉大学水利水电学院也在本科培养方案中增设了智能调度相关课程 [7-9]。</w:t>
      </w:r>
    </w:p>
    <w:bookmarkEnd w:id="37"/>
    <w:bookmarkStart w:id="38" w:name="硕士层方法成型"/>
    <w:p>
      <w:pPr>
        <w:pStyle w:val="Heading3"/>
      </w:pPr>
      <w:r>
        <w:t xml:space="preserve">7.4.2 硕士层：方法成型</w:t>
      </w:r>
    </w:p>
    <w:p>
      <w:pPr>
        <w:pStyle w:val="FirstParagraph"/>
      </w:pPr>
      <w:r>
        <w:t xml:space="preserve">硕士阶段是CHS人才培养的核心层。建议以四支柱为骨架设计专业方向，学生选择一个支柱为主方向，辅修一个支柱为副方向。学位论文应涉及至少两个支柱的交叉——例如”基于物理信息神经网络的明渠降阶建模”横跨支柱A和B，</w:t>
      </w:r>
      <w:r>
        <w:t xml:space="preserve">“</w:t>
      </w:r>
      <w:r>
        <w:t xml:space="preserve">面向WNAL L3的在环测试框架设计</w:t>
      </w:r>
      <w:r>
        <w:t xml:space="preserve">”</w:t>
      </w:r>
      <w:r>
        <w:t xml:space="preserve">横跨支柱C和D。</w:t>
      </w:r>
    </w:p>
    <w:p>
      <w:pPr>
        <w:pStyle w:val="BodyText"/>
      </w:pPr>
      <w:r>
        <w:t xml:space="preserve">硕士培养的关键质量指标是”能否在真实或高保真仿真环境中完成一次完整的控制系统部署”。纸上谈兵式的毕业论文在CHS语境中价值有限——这也是为什么实践平台建设（§7.5）对硕士培养至关重要。具体而言，建议硕士生在毕业前至少完成以下三项实践能力验证：在数字孪生平台上独立完成一个控制策略的SIL测试、参与一次跨岗位联合演练、撰写一份含安全分析的策略部署报告。</w:t>
      </w:r>
    </w:p>
    <w:bookmarkEnd w:id="38"/>
    <w:bookmarkStart w:id="39" w:name="继续教育层岗位升级"/>
    <w:p>
      <w:pPr>
        <w:pStyle w:val="Heading3"/>
      </w:pPr>
      <w:r>
        <w:t xml:space="preserve">7.4.3 继续教育层：岗位升级</w:t>
      </w:r>
    </w:p>
    <w:p>
      <w:pPr>
        <w:pStyle w:val="FirstParagraph"/>
      </w:pPr>
      <w:r>
        <w:t xml:space="preserve">继续教育面向调度中心、流域管理机构和设备厂商的在岗人员，是CHS学科建设中规模最大、影响最直接的环节。中国水利行业的存量从业人员远多于每年新增毕业生——如果只培养新人而不升级存量，行业整体能力的提升将极其缓慢。</w:t>
      </w:r>
    </w:p>
    <w:p>
      <w:pPr>
        <w:pStyle w:val="BodyText"/>
      </w:pPr>
      <w:r>
        <w:t xml:space="preserve">建议采用”短周期、强场景、可认证”的模块化培训体系：</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培训模块</w:t>
            </w:r>
          </w:p>
        </w:tc>
        <w:tc>
          <w:tcPr/>
          <w:p>
            <w:pPr>
              <w:pStyle w:val="Compact"/>
              <w:jc w:val="left"/>
            </w:pPr>
            <w:r>
              <w:t xml:space="preserve">时长</w:t>
            </w:r>
          </w:p>
        </w:tc>
        <w:tc>
          <w:tcPr/>
          <w:p>
            <w:pPr>
              <w:pStyle w:val="Compact"/>
              <w:jc w:val="left"/>
            </w:pPr>
            <w:r>
              <w:t xml:space="preserve">面向角色</w:t>
            </w:r>
          </w:p>
        </w:tc>
        <w:tc>
          <w:tcPr/>
          <w:p>
            <w:pPr>
              <w:pStyle w:val="Compact"/>
              <w:jc w:val="left"/>
            </w:pPr>
            <w:r>
              <w:t xml:space="preserve">核心内容</w:t>
            </w:r>
          </w:p>
        </w:tc>
        <w:tc>
          <w:tcPr/>
          <w:p>
            <w:pPr>
              <w:pStyle w:val="Compact"/>
              <w:jc w:val="left"/>
            </w:pPr>
            <w:r>
              <w:t xml:space="preserve">考核方式</w:t>
            </w:r>
          </w:p>
        </w:tc>
      </w:tr>
      <w:tr>
        <w:tc>
          <w:tcPr/>
          <w:p>
            <w:pPr>
              <w:pStyle w:val="Compact"/>
              <w:jc w:val="left"/>
            </w:pPr>
            <w:r>
              <w:t xml:space="preserve">CHS概念与WNAL分级</w:t>
            </w:r>
          </w:p>
        </w:tc>
        <w:tc>
          <w:tcPr/>
          <w:p>
            <w:pPr>
              <w:pStyle w:val="Compact"/>
              <w:jc w:val="left"/>
            </w:pPr>
            <w:r>
              <w:t xml:space="preserve">2天</w:t>
            </w:r>
          </w:p>
        </w:tc>
        <w:tc>
          <w:tcPr/>
          <w:p>
            <w:pPr>
              <w:pStyle w:val="Compact"/>
              <w:jc w:val="left"/>
            </w:pPr>
            <w:r>
              <w:t xml:space="preserve">管理者/调度长</w:t>
            </w:r>
          </w:p>
        </w:tc>
        <w:tc>
          <w:tcPr/>
          <w:p>
            <w:pPr>
              <w:pStyle w:val="Compact"/>
              <w:jc w:val="left"/>
            </w:pPr>
            <w:r>
              <w:t xml:space="preserve">八原理概述、WNAL L0-L5、ODD基本概念</w:t>
            </w:r>
          </w:p>
        </w:tc>
        <w:tc>
          <w:tcPr/>
          <w:p>
            <w:pPr>
              <w:pStyle w:val="Compact"/>
              <w:jc w:val="left"/>
            </w:pPr>
            <w:r>
              <w:t xml:space="preserve">案例分析报告</w:t>
            </w:r>
          </w:p>
        </w:tc>
      </w:tr>
      <w:tr>
        <w:tc>
          <w:tcPr/>
          <w:p>
            <w:pPr>
              <w:pStyle w:val="Compact"/>
              <w:jc w:val="left"/>
            </w:pPr>
            <w:r>
              <w:t xml:space="preserve">控制策略基础</w:t>
            </w:r>
          </w:p>
        </w:tc>
        <w:tc>
          <w:tcPr/>
          <w:p>
            <w:pPr>
              <w:pStyle w:val="Compact"/>
              <w:jc w:val="left"/>
            </w:pPr>
            <w:r>
              <w:t xml:space="preserve">5天</w:t>
            </w:r>
          </w:p>
        </w:tc>
        <w:tc>
          <w:tcPr/>
          <w:p>
            <w:pPr>
              <w:pStyle w:val="Compact"/>
              <w:jc w:val="left"/>
            </w:pPr>
            <w:r>
              <w:t xml:space="preserve">调度员</w:t>
            </w:r>
          </w:p>
        </w:tc>
        <w:tc>
          <w:tcPr/>
          <w:p>
            <w:pPr>
              <w:pStyle w:val="Compact"/>
              <w:jc w:val="left"/>
            </w:pPr>
            <w:r>
              <w:t xml:space="preserve">反馈/前馈、MPC直觉、安全包络解读</w:t>
            </w:r>
          </w:p>
        </w:tc>
        <w:tc>
          <w:tcPr/>
          <w:p>
            <w:pPr>
              <w:pStyle w:val="Compact"/>
              <w:jc w:val="left"/>
            </w:pPr>
            <w:r>
              <w:t xml:space="preserve">仿真沙盘操作考核</w:t>
            </w:r>
          </w:p>
        </w:tc>
      </w:tr>
      <w:tr>
        <w:tc>
          <w:tcPr/>
          <w:p>
            <w:pPr>
              <w:pStyle w:val="Compact"/>
              <w:jc w:val="left"/>
            </w:pPr>
            <w:r>
              <w:t xml:space="preserve">HydroOS平台运维</w:t>
            </w:r>
          </w:p>
        </w:tc>
        <w:tc>
          <w:tcPr/>
          <w:p>
            <w:pPr>
              <w:pStyle w:val="Compact"/>
              <w:jc w:val="left"/>
            </w:pPr>
            <w:r>
              <w:t xml:space="preserve">5天</w:t>
            </w:r>
          </w:p>
        </w:tc>
        <w:tc>
          <w:tcPr/>
          <w:p>
            <w:pPr>
              <w:pStyle w:val="Compact"/>
              <w:jc w:val="left"/>
            </w:pPr>
            <w:r>
              <w:t xml:space="preserve">运维工程师</w:t>
            </w:r>
          </w:p>
        </w:tc>
        <w:tc>
          <w:tcPr/>
          <w:p>
            <w:pPr>
              <w:pStyle w:val="Compact"/>
              <w:jc w:val="left"/>
            </w:pPr>
            <w:r>
              <w:t xml:space="preserve">平台架构、服务监控、在线更新</w:t>
            </w:r>
          </w:p>
        </w:tc>
        <w:tc>
          <w:tcPr/>
          <w:p>
            <w:pPr>
              <w:pStyle w:val="Compact"/>
              <w:jc w:val="left"/>
            </w:pPr>
            <w:r>
              <w:t xml:space="preserve">实操故障排除</w:t>
            </w:r>
          </w:p>
        </w:tc>
      </w:tr>
      <w:tr>
        <w:tc>
          <w:tcPr/>
          <w:p>
            <w:pPr>
              <w:pStyle w:val="Compact"/>
              <w:jc w:val="left"/>
            </w:pPr>
            <w:r>
              <w:t xml:space="preserve">在环测试方法</w:t>
            </w:r>
          </w:p>
        </w:tc>
        <w:tc>
          <w:tcPr/>
          <w:p>
            <w:pPr>
              <w:pStyle w:val="Compact"/>
              <w:jc w:val="left"/>
            </w:pPr>
            <w:r>
              <w:t xml:space="preserve">3天</w:t>
            </w:r>
          </w:p>
        </w:tc>
        <w:tc>
          <w:tcPr/>
          <w:p>
            <w:pPr>
              <w:pStyle w:val="Compact"/>
              <w:jc w:val="left"/>
            </w:pPr>
            <w:r>
              <w:t xml:space="preserve">算法/测试工程师</w:t>
            </w:r>
          </w:p>
        </w:tc>
        <w:tc>
          <w:tcPr/>
          <w:p>
            <w:pPr>
              <w:pStyle w:val="Compact"/>
              <w:jc w:val="left"/>
            </w:pPr>
            <w:r>
              <w:t xml:space="preserve">SIL/HIL流程、测试用例设计</w:t>
            </w:r>
          </w:p>
        </w:tc>
        <w:tc>
          <w:tcPr/>
          <w:p>
            <w:pPr>
              <w:pStyle w:val="Compact"/>
              <w:jc w:val="left"/>
            </w:pPr>
            <w:r>
              <w:t xml:space="preserve">测试报告编写</w:t>
            </w:r>
          </w:p>
        </w:tc>
      </w:tr>
      <w:tr>
        <w:tc>
          <w:tcPr/>
          <w:p>
            <w:pPr>
              <w:pStyle w:val="Compact"/>
              <w:jc w:val="left"/>
            </w:pPr>
            <w:r>
              <w:t xml:space="preserve">异常工况协同处置</w:t>
            </w:r>
          </w:p>
        </w:tc>
        <w:tc>
          <w:tcPr/>
          <w:p>
            <w:pPr>
              <w:pStyle w:val="Compact"/>
              <w:jc w:val="left"/>
            </w:pPr>
            <w:r>
              <w:t xml:space="preserve">3天</w:t>
            </w:r>
          </w:p>
        </w:tc>
        <w:tc>
          <w:tcPr/>
          <w:p>
            <w:pPr>
              <w:pStyle w:val="Compact"/>
              <w:jc w:val="left"/>
            </w:pPr>
            <w:r>
              <w:t xml:space="preserve">全员联合</w:t>
            </w:r>
          </w:p>
        </w:tc>
        <w:tc>
          <w:tcPr/>
          <w:p>
            <w:pPr>
              <w:pStyle w:val="Compact"/>
              <w:jc w:val="left"/>
            </w:pPr>
            <w:r>
              <w:t xml:space="preserve">四态机演练、跨岗位协同</w:t>
            </w:r>
          </w:p>
        </w:tc>
        <w:tc>
          <w:tcPr/>
          <w:p>
            <w:pPr>
              <w:pStyle w:val="Compact"/>
              <w:jc w:val="left"/>
            </w:pPr>
            <w:r>
              <w:t xml:space="preserve">联合演练评分</w:t>
            </w:r>
          </w:p>
        </w:tc>
      </w:tr>
    </w:tbl>
    <w:p>
      <w:pPr>
        <w:pStyle w:val="BodyText"/>
      </w:pPr>
      <w:r>
        <w:t xml:space="preserve">这一体系的设计原则是”最小可用单元”：每个模块独立可学，但模块间存在推荐顺序。管理者至少完成第一模块即可理解WNAL语言，调度团队完成前两模块即可参与L2级系统的日常运行。</w:t>
      </w:r>
    </w:p>
    <w:p>
      <w:pPr>
        <w:pStyle w:val="BlockText"/>
      </w:pPr>
      <w:r>
        <w:rPr>
          <w:bCs/>
          <w:b/>
        </w:rPr>
        <w:t xml:space="preserve">概念速览：继续教育的分层认证路径</w:t>
      </w:r>
    </w:p>
    <w:p>
      <w:pPr>
        <w:pStyle w:val="BlockText"/>
      </w:pPr>
      <w:r>
        <w:t xml:space="preserve">建议设立三级CHS岗位认证：</w:t>
      </w:r>
      <w:r>
        <w:rPr>
          <w:bCs/>
          <w:b/>
        </w:rPr>
        <w:t xml:space="preserve">初级</w:t>
      </w:r>
      <w:r>
        <w:t xml:space="preserve">（完成模块1-2，具备WNAL语言和基本控制概念理解）→</w:t>
      </w:r>
      <w:r>
        <w:t xml:space="preserve"> </w:t>
      </w:r>
      <w:r>
        <w:rPr>
          <w:bCs/>
          <w:b/>
        </w:rPr>
        <w:t xml:space="preserve">中级</w:t>
      </w:r>
      <w:r>
        <w:t xml:space="preserve">（完成全部5个模块，具备跨岗位协同能力）→</w:t>
      </w:r>
      <w:r>
        <w:t xml:space="preserve"> </w:t>
      </w:r>
      <w:r>
        <w:rPr>
          <w:bCs/>
          <w:b/>
        </w:rPr>
        <w:t xml:space="preserve">高级</w:t>
      </w:r>
      <w:r>
        <w:t xml:space="preserve">（中级基础上累计12个月L3级系统运行经验，通过综合案例评审）。认证有效期建议为三年，到期需通过复审或继续教育学分更新——这与水利行业注册工程师制度的续期要求保持一致。</w:t>
      </w:r>
    </w:p>
    <w:p>
      <w:r>
        <w:pict>
          <v:rect style="width:0;height:1.5pt" o:hralign="center" o:hrstd="t" o:hr="t"/>
        </w:pict>
      </w:r>
    </w:p>
    <w:bookmarkEnd w:id="39"/>
    <w:bookmarkEnd w:id="40"/>
    <w:bookmarkStart w:id="44" w:name="实践平台建设"/>
    <w:p>
      <w:pPr>
        <w:pStyle w:val="Heading2"/>
      </w:pPr>
      <w:r>
        <w:t xml:space="preserve">7.5 实践平台建设</w:t>
      </w:r>
    </w:p>
    <w:bookmarkStart w:id="41" w:name="从教学沙盘到工程现场的三级平台"/>
    <w:p>
      <w:pPr>
        <w:pStyle w:val="Heading3"/>
      </w:pPr>
      <w:r>
        <w:t xml:space="preserve">7.5.1 从”教学沙盘”到”工程现场”的三级平台</w:t>
      </w:r>
    </w:p>
    <w:p>
      <w:pPr>
        <w:pStyle w:val="FirstParagraph"/>
      </w:pPr>
      <w:r>
        <w:t xml:space="preserve">人才培养的分水岭在实践平台。CHS建议构建”教学沙盘—数字孪生—现场试点”三级平台体系：</w:t>
      </w:r>
    </w:p>
    <w:p>
      <w:pPr>
        <w:pStyle w:val="BodyText"/>
      </w:pPr>
      <w:r>
        <w:rPr>
          <w:bCs/>
          <w:b/>
        </w:rPr>
        <w:t xml:space="preserve">第一级：教学沙盘。</w:t>
      </w:r>
      <w:r>
        <w:t xml:space="preserve"> </w:t>
      </w:r>
      <w:r>
        <w:t xml:space="preserve">低风险、可重复、快反馈。典型配置为缩比物理模型或纯软件仿真器，覆盖单渠段、单泵站或小型管网。功能包括基础PID调试、简单MPC体验和安全包络触发演示。适用于本科教学和继续教育入门模块。</w:t>
      </w:r>
    </w:p>
    <w:p>
      <w:pPr>
        <w:pStyle w:val="BodyText"/>
      </w:pPr>
      <w:r>
        <w:rPr>
          <w:bCs/>
          <w:b/>
        </w:rPr>
        <w:t xml:space="preserve">第二级：数字孪生平台。</w:t>
      </w:r>
      <w:r>
        <w:t xml:space="preserve"> </w:t>
      </w:r>
      <w:r>
        <w:t xml:space="preserve">中等保真、覆盖典型工况和异常工况、支撑在环测试。Muste等 [7-7] 指出，水力学实验的核心挑战是如何在可控条件下复现工程尺度的物理现象——数字孪生平台通过高保真仿真模型弥补了这一差距。平台应覆盖第四章§4.4定义的ODD标准工况集，并支持SIL和HIL测试流程（第三章原理五）。</w:t>
      </w:r>
    </w:p>
    <w:p>
      <w:pPr>
        <w:pStyle w:val="BodyText"/>
      </w:pPr>
      <w:r>
        <w:rPr>
          <w:bCs/>
          <w:b/>
        </w:rPr>
        <w:t xml:space="preserve">第三级：现场试点场景。</w:t>
      </w:r>
      <w:r>
        <w:t xml:space="preserve"> </w:t>
      </w:r>
      <w:r>
        <w:t xml:space="preserve">在明确ODD和安全门禁下开展灰度上线（Canary Release），积累真实运行经验。现场试点不是”放任系统自己跑”，而是在预设安全包络内、有完整回滚机制的受控实验。第六章的胶东调水案例即为第三级平台的实践范例。</w:t>
      </w:r>
    </w:p>
    <w:bookmarkEnd w:id="41"/>
    <w:bookmarkStart w:id="42" w:name="三级平台技术规格对比"/>
    <w:p>
      <w:pPr>
        <w:pStyle w:val="Heading3"/>
      </w:pPr>
      <w:r>
        <w:t xml:space="preserve">7.5.2 三级平台技术规格对比</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维度</w:t>
            </w:r>
          </w:p>
        </w:tc>
        <w:tc>
          <w:tcPr/>
          <w:p>
            <w:pPr>
              <w:pStyle w:val="Compact"/>
              <w:jc w:val="left"/>
            </w:pPr>
            <w:r>
              <w:t xml:space="preserve">第一级：教学沙盘</w:t>
            </w:r>
          </w:p>
        </w:tc>
        <w:tc>
          <w:tcPr/>
          <w:p>
            <w:pPr>
              <w:pStyle w:val="Compact"/>
              <w:jc w:val="left"/>
            </w:pPr>
            <w:r>
              <w:t xml:space="preserve">第二级：数字孪生</w:t>
            </w:r>
          </w:p>
        </w:tc>
        <w:tc>
          <w:tcPr/>
          <w:p>
            <w:pPr>
              <w:pStyle w:val="Compact"/>
              <w:jc w:val="left"/>
            </w:pPr>
            <w:r>
              <w:t xml:space="preserve">第三级：现场试点</w:t>
            </w:r>
          </w:p>
        </w:tc>
      </w:tr>
      <w:tr>
        <w:tc>
          <w:tcPr/>
          <w:p>
            <w:pPr>
              <w:pStyle w:val="Compact"/>
              <w:jc w:val="left"/>
            </w:pPr>
            <w:r>
              <w:t xml:space="preserve">规模</w:t>
            </w:r>
          </w:p>
        </w:tc>
        <w:tc>
          <w:tcPr/>
          <w:p>
            <w:pPr>
              <w:pStyle w:val="Compact"/>
              <w:jc w:val="left"/>
            </w:pPr>
            <w:r>
              <w:t xml:space="preserve">单渠段/单泵站</w:t>
            </w:r>
          </w:p>
        </w:tc>
        <w:tc>
          <w:tcPr/>
          <w:p>
            <w:pPr>
              <w:pStyle w:val="Compact"/>
              <w:jc w:val="left"/>
            </w:pPr>
            <w:r>
              <w:t xml:space="preserve">多渠段/子网络</w:t>
            </w:r>
          </w:p>
        </w:tc>
        <w:tc>
          <w:tcPr/>
          <w:p>
            <w:pPr>
              <w:pStyle w:val="Compact"/>
              <w:jc w:val="left"/>
            </w:pPr>
            <w:r>
              <w:t xml:space="preserve">全线/全网</w:t>
            </w:r>
          </w:p>
        </w:tc>
      </w:tr>
      <w:tr>
        <w:tc>
          <w:tcPr/>
          <w:p>
            <w:pPr>
              <w:pStyle w:val="Compact"/>
              <w:jc w:val="left"/>
            </w:pPr>
            <w:r>
              <w:t xml:space="preserve">保真度</w:t>
            </w:r>
          </w:p>
        </w:tc>
        <w:tc>
          <w:tcPr/>
          <w:p>
            <w:pPr>
              <w:pStyle w:val="Compact"/>
              <w:jc w:val="left"/>
            </w:pPr>
            <w:r>
              <w:t xml:space="preserve">低（简化模型）</w:t>
            </w:r>
          </w:p>
        </w:tc>
        <w:tc>
          <w:tcPr/>
          <w:p>
            <w:pPr>
              <w:pStyle w:val="Compact"/>
              <w:jc w:val="left"/>
            </w:pPr>
            <w:r>
              <w:t xml:space="preserve">中-高（校核模型）</w:t>
            </w:r>
          </w:p>
        </w:tc>
        <w:tc>
          <w:tcPr/>
          <w:p>
            <w:pPr>
              <w:pStyle w:val="Compact"/>
              <w:jc w:val="left"/>
            </w:pPr>
            <w:r>
              <w:t xml:space="preserve">真实工程</w:t>
            </w:r>
          </w:p>
        </w:tc>
      </w:tr>
      <w:tr>
        <w:tc>
          <w:tcPr/>
          <w:p>
            <w:pPr>
              <w:pStyle w:val="Compact"/>
              <w:jc w:val="left"/>
            </w:pPr>
            <w:r>
              <w:t xml:space="preserve">时间尺度</w:t>
            </w:r>
          </w:p>
        </w:tc>
        <w:tc>
          <w:tcPr/>
          <w:p>
            <w:pPr>
              <w:pStyle w:val="Compact"/>
              <w:jc w:val="left"/>
            </w:pPr>
            <w:r>
              <w:t xml:space="preserve">加速仿真（1h跑完1周）</w:t>
            </w:r>
          </w:p>
        </w:tc>
        <w:tc>
          <w:tcPr/>
          <w:p>
            <w:pPr>
              <w:pStyle w:val="Compact"/>
              <w:jc w:val="left"/>
            </w:pPr>
            <w:r>
              <w:t xml:space="preserve">实时/加速可切换</w:t>
            </w:r>
          </w:p>
        </w:tc>
        <w:tc>
          <w:tcPr/>
          <w:p>
            <w:pPr>
              <w:pStyle w:val="Compact"/>
              <w:jc w:val="left"/>
            </w:pPr>
            <w:r>
              <w:t xml:space="preserve">实时</w:t>
            </w:r>
          </w:p>
        </w:tc>
      </w:tr>
      <w:tr>
        <w:tc>
          <w:tcPr/>
          <w:p>
            <w:pPr>
              <w:pStyle w:val="Compact"/>
              <w:jc w:val="left"/>
            </w:pPr>
            <w:r>
              <w:t xml:space="preserve">安全机制</w:t>
            </w:r>
          </w:p>
        </w:tc>
        <w:tc>
          <w:tcPr/>
          <w:p>
            <w:pPr>
              <w:pStyle w:val="Compact"/>
              <w:jc w:val="left"/>
            </w:pPr>
            <w:r>
              <w:t xml:space="preserve">无需（纯仿真）</w:t>
            </w:r>
          </w:p>
        </w:tc>
        <w:tc>
          <w:tcPr/>
          <w:p>
            <w:pPr>
              <w:pStyle w:val="Compact"/>
              <w:jc w:val="left"/>
            </w:pPr>
            <w:r>
              <w:t xml:space="preserve">虚拟安全包络</w:t>
            </w:r>
          </w:p>
        </w:tc>
        <w:tc>
          <w:tcPr/>
          <w:p>
            <w:pPr>
              <w:pStyle w:val="Compact"/>
              <w:jc w:val="left"/>
            </w:pPr>
            <w:r>
              <w:t xml:space="preserve">实体安全包络+人工后备</w:t>
            </w:r>
          </w:p>
        </w:tc>
      </w:tr>
      <w:tr>
        <w:tc>
          <w:tcPr/>
          <w:p>
            <w:pPr>
              <w:pStyle w:val="Compact"/>
              <w:jc w:val="left"/>
            </w:pPr>
            <w:r>
              <w:t xml:space="preserve">数据接口</w:t>
            </w:r>
          </w:p>
        </w:tc>
        <w:tc>
          <w:tcPr/>
          <w:p>
            <w:pPr>
              <w:pStyle w:val="Compact"/>
              <w:jc w:val="left"/>
            </w:pPr>
            <w:r>
              <w:t xml:space="preserve">封闭</w:t>
            </w:r>
          </w:p>
        </w:tc>
        <w:tc>
          <w:tcPr/>
          <w:p>
            <w:pPr>
              <w:pStyle w:val="Compact"/>
              <w:jc w:val="left"/>
            </w:pPr>
            <w:r>
              <w:t xml:space="preserve">标准化API（与HydroOS一致）</w:t>
            </w:r>
          </w:p>
        </w:tc>
        <w:tc>
          <w:tcPr/>
          <w:p>
            <w:pPr>
              <w:pStyle w:val="Compact"/>
              <w:jc w:val="left"/>
            </w:pPr>
            <w:r>
              <w:t xml:space="preserve">现场总线+HydroOS</w:t>
            </w:r>
          </w:p>
        </w:tc>
      </w:tr>
      <w:tr>
        <w:tc>
          <w:tcPr/>
          <w:p>
            <w:pPr>
              <w:pStyle w:val="Compact"/>
              <w:jc w:val="left"/>
            </w:pPr>
            <w:r>
              <w:t xml:space="preserve">适用WNAL</w:t>
            </w:r>
          </w:p>
        </w:tc>
        <w:tc>
          <w:tcPr/>
          <w:p>
            <w:pPr>
              <w:pStyle w:val="Compact"/>
              <w:jc w:val="left"/>
            </w:pPr>
            <w:r>
              <w:t xml:space="preserve">L0-L1能力训练</w:t>
            </w:r>
          </w:p>
        </w:tc>
        <w:tc>
          <w:tcPr/>
          <w:p>
            <w:pPr>
              <w:pStyle w:val="Compact"/>
              <w:jc w:val="left"/>
            </w:pPr>
            <w:r>
              <w:t xml:space="preserve">L2-L3能力验证</w:t>
            </w:r>
          </w:p>
        </w:tc>
        <w:tc>
          <w:tcPr/>
          <w:p>
            <w:pPr>
              <w:pStyle w:val="Compact"/>
              <w:jc w:val="left"/>
            </w:pPr>
            <w:r>
              <w:t xml:space="preserve">L3+实战积累</w:t>
            </w:r>
          </w:p>
        </w:tc>
      </w:tr>
      <w:tr>
        <w:tc>
          <w:tcPr/>
          <w:p>
            <w:pPr>
              <w:pStyle w:val="Compact"/>
              <w:jc w:val="left"/>
            </w:pPr>
            <w:r>
              <w:t xml:space="preserve">典型投资</w:t>
            </w:r>
          </w:p>
        </w:tc>
        <w:tc>
          <w:tcPr/>
          <w:p>
            <w:pPr>
              <w:pStyle w:val="Compact"/>
              <w:jc w:val="left"/>
            </w:pPr>
            <w:r>
              <w:t xml:space="preserve">50-100万元</w:t>
            </w:r>
          </w:p>
        </w:tc>
        <w:tc>
          <w:tcPr/>
          <w:p>
            <w:pPr>
              <w:pStyle w:val="Compact"/>
              <w:jc w:val="left"/>
            </w:pPr>
            <w:r>
              <w:t xml:space="preserve">300-800万元</w:t>
            </w:r>
          </w:p>
        </w:tc>
        <w:tc>
          <w:tcPr/>
          <w:p>
            <w:pPr>
              <w:pStyle w:val="Compact"/>
              <w:jc w:val="left"/>
            </w:pPr>
            <w:r>
              <w:t xml:space="preserve">依托既有工程</w:t>
            </w:r>
          </w:p>
        </w:tc>
      </w:tr>
    </w:tbl>
    <w:bookmarkEnd w:id="42"/>
    <w:bookmarkStart w:id="43" w:name="平台贯通的关键"/>
    <w:p>
      <w:pPr>
        <w:pStyle w:val="Heading3"/>
      </w:pPr>
      <w:r>
        <w:t xml:space="preserve">7.5.3 平台贯通的关键</w:t>
      </w:r>
    </w:p>
    <w:p>
      <w:pPr>
        <w:pStyle w:val="FirstParagraph"/>
      </w:pPr>
      <w:r>
        <w:t xml:space="preserve">三级平台的价值不在于各自存在，而在于贯通。贯通的含义是：学生或工程师在沙盘上学到的操作逻辑，能够无缝迁移到数字孪生平台进行严格验证，验证通过后的策略能够直接部署到现场试点——模型格式、数据接口和控制协议在三级之间保持一致。如果三级平台使用完全不同的软件栈和数据格式，则”学了沙盘不会用现场”的断裂仍会发生。</w:t>
      </w:r>
    </w:p>
    <w:p>
      <w:pPr>
        <w:pStyle w:val="BodyText"/>
      </w:pPr>
      <w:r>
        <w:t xml:space="preserve">具体而言，贯通要求三个层面的统一：</w:t>
      </w:r>
      <w:r>
        <w:rPr>
          <w:bCs/>
          <w:b/>
        </w:rPr>
        <w:t xml:space="preserve">模型格式统一</w:t>
      </w:r>
      <w:r>
        <w:t xml:space="preserve">——三级平台使用相同的模型描述语言和参数结构，差异仅在于参数精度和边界条件；</w:t>
      </w:r>
      <w:r>
        <w:rPr>
          <w:bCs/>
          <w:b/>
        </w:rPr>
        <w:t xml:space="preserve">接口协议统一</w:t>
      </w:r>
      <w:r>
        <w:t xml:space="preserve">——控制策略通过标准化API与仿真/实体系统交互，策略代码无需修改即可在三级间迁移；</w:t>
      </w:r>
      <w:r>
        <w:rPr>
          <w:bCs/>
          <w:b/>
        </w:rPr>
        <w:t xml:space="preserve">评价指标统一</w:t>
      </w:r>
      <w:r>
        <w:t xml:space="preserve">——性能评估使用相同的KPI定义和计算方法，确保沙盘上的”达标”与现场的”达标”含义一致。</w:t>
      </w:r>
    </w:p>
    <w:p>
      <w:pPr>
        <w:pStyle w:val="BlockText"/>
      </w:pPr>
      <w:r>
        <w:rPr>
          <w:bCs/>
          <w:b/>
        </w:rPr>
        <w:t xml:space="preserve">概念速览：三级平台与WNAL的关系</w:t>
      </w:r>
    </w:p>
    <w:p>
      <w:pPr>
        <w:pStyle w:val="BlockText"/>
      </w:pPr>
      <w:r>
        <w:t xml:space="preserve">教学沙盘支撑L1级能力训练（规则自动化的理解）；数字孪生平台支撑L2-L3级能力训练（条件自动化到条件自主的验证）；现场试点支撑L3级及以上的实战积累。平台等级应与WNAL目标等级匹配——不能在L1级沙盘上训练L3级能力。</w:t>
      </w:r>
    </w:p>
    <w:p>
      <w:r>
        <w:pict>
          <v:rect style="width:0;height:1.5pt" o:hralign="center" o:hrstd="t" o:hr="t"/>
        </w:pict>
      </w:r>
    </w:p>
    <w:bookmarkEnd w:id="43"/>
    <w:bookmarkEnd w:id="44"/>
    <w:bookmarkStart w:id="48" w:name="学科组织与国际合作"/>
    <w:p>
      <w:pPr>
        <w:pStyle w:val="Heading2"/>
      </w:pPr>
      <w:r>
        <w:t xml:space="preserve">7.6 学科组织与国际合作</w:t>
      </w:r>
    </w:p>
    <w:bookmarkStart w:id="45" w:name="iahr平台与水系统运行工作组"/>
    <w:p>
      <w:pPr>
        <w:pStyle w:val="Heading3"/>
      </w:pPr>
      <w:r>
        <w:t xml:space="preserve">7.6.1 IAHR平台与水系统运行工作组</w:t>
      </w:r>
    </w:p>
    <w:p>
      <w:pPr>
        <w:pStyle w:val="FirstParagraph"/>
      </w:pPr>
      <w:r>
        <w:t xml:space="preserve">CHS的学术共同体建设需要国际化平台支撑。国际水利与环境工程学会（International Association for Hydro-Environment Engineering and Research, IAHR）[7-8] 是水利领域历史最悠久、覆盖最广泛的国际学术组织，其战略规划明确将”智能水利基础设施”列为未来十年重点方向之一。</w:t>
      </w:r>
    </w:p>
    <w:p>
      <w:pPr>
        <w:pStyle w:val="BodyText"/>
      </w:pPr>
      <w:r>
        <w:t xml:space="preserve">依托IAHR平台，CHS学科建设的国际合作可从三个层面展开。</w:t>
      </w:r>
      <w:r>
        <w:rPr>
          <w:bCs/>
          <w:b/>
        </w:rPr>
        <w:t xml:space="preserve">术语层</w:t>
      </w:r>
      <w:r>
        <w:t xml:space="preserve">：推动CHS核心术语（WNAL、ODD、Safety Envelope等）进入国际学术话语体系，形成中英文对照标准（参见本书术语表）。</w:t>
      </w:r>
      <w:r>
        <w:rPr>
          <w:bCs/>
          <w:b/>
        </w:rPr>
        <w:t xml:space="preserve">方法层</w:t>
      </w:r>
      <w:r>
        <w:t xml:space="preserve">：建立跨国测试基准库，使得不同国家的研究团队可以在统一基准上比较控制算法的性能——ASCE Canal Automation Manual [7-12] 中的测试工况集是这一方向的早期范例。</w:t>
      </w:r>
      <w:r>
        <w:rPr>
          <w:bCs/>
          <w:b/>
        </w:rPr>
        <w:t xml:space="preserve">人才层</w:t>
      </w:r>
      <w:r>
        <w:t xml:space="preserve">：通过联合培养、短期访学和暑期学校，促进不同学术传统背景的研究生交叉学习。</w:t>
      </w:r>
    </w:p>
    <w:p>
      <w:pPr>
        <w:pStyle w:val="BodyText"/>
      </w:pPr>
      <w:r>
        <w:t xml:space="preserve">CHS在IAHR体系中的定位是：不取代现有的水力学、水文学或水资源管理方向，而是在这些传统方向与控制科学、计算机科学之间架设桥梁。IAHR的技术委员会体系中，与CHS最直接相关的是”水利基础设施”和”水力学”两个委员会——CHS工作组（Water Systems Operation Working Group）的建立以这两个委员会为依托，同时吸引来自IFAC（国际自动控制联合会）和IEEE（电气与电子工程师学会）控制系统分会的跨学会参与。</w:t>
      </w:r>
    </w:p>
    <w:bookmarkEnd w:id="45"/>
    <w:bookmarkStart w:id="46" w:name="swan网络与产业联盟"/>
    <w:p>
      <w:pPr>
        <w:pStyle w:val="Heading3"/>
      </w:pPr>
      <w:r>
        <w:t xml:space="preserve">7.6.2 SWAN网络与产业联盟</w:t>
      </w:r>
    </w:p>
    <w:p>
      <w:pPr>
        <w:pStyle w:val="FirstParagraph"/>
      </w:pPr>
      <w:r>
        <w:t xml:space="preserve">学术共同体之外，产业共同体同样不可或缺。SWAN（Smart Water Networks）Forum [7-13] 是全球智慧水务领域的产业联盟，汇聚了来自供水、排水、灌溉和水电等多个子行业的技术提供商和运营商。SWAN的年度报告系统追踪了智能水网技术的全球应用趋势——CHS可以通过SWAN网络，将理论成果推向工程应用，同时从产业需求中提炼下一代研究问题。</w:t>
      </w:r>
    </w:p>
    <w:p>
      <w:pPr>
        <w:pStyle w:val="BodyText"/>
      </w:pPr>
      <w:r>
        <w:t xml:space="preserve">学术共同体与产业共同体的协同，关键在于”共识语义层”——术语、等级定义和边界条件的标准化。如果学术论文中的”WNAL L3”与工程实践中的”L3”含义不一致，协作成本会迅速上升。第四章§4.3.7的WNAL六级总览表，以及附录术语表，正是为建立这一共识语义层而设计的。</w:t>
      </w:r>
    </w:p>
    <w:bookmarkEnd w:id="46"/>
    <w:bookmarkStart w:id="47" w:name="国际对标三种模式"/>
    <w:p>
      <w:pPr>
        <w:pStyle w:val="Heading3"/>
      </w:pPr>
      <w:r>
        <w:t xml:space="preserve">7.6.3 国际对标：三种模式</w:t>
      </w:r>
    </w:p>
    <w:p>
      <w:pPr>
        <w:pStyle w:val="FirstParagraph"/>
      </w:pPr>
      <w:r>
        <w:t xml:space="preserve">全球范围内，水利工程智能化的人才培养已有多种探索路径：</w:t>
      </w:r>
    </w:p>
    <w:p>
      <w:pPr>
        <w:pStyle w:val="BodyText"/>
      </w:pPr>
      <w:r>
        <w:rPr>
          <w:bCs/>
          <w:b/>
        </w:rPr>
        <w:t xml:space="preserve">荷兰模式。</w:t>
      </w:r>
      <w:r>
        <w:t xml:space="preserve"> </w:t>
      </w:r>
      <w:r>
        <w:t xml:space="preserve">代尔夫特理工大学（TU Delft）以Van Overloop [7-14] 为代表的团队长期将控制理论与灌溉水力学深度融合，在硕士培养中要求学生同时具备建模和控制设计能力。这一模式的优势是跨学科融合度高，但规模较小，难以直接迁移到大规模水利体系。Van Overloop的博士论文 [7-14] 至今仍是明渠MPC领域引用率最高的文献之一，证明了深度交叉培养的学术价值。</w:t>
      </w:r>
    </w:p>
    <w:p>
      <w:pPr>
        <w:pStyle w:val="BodyText"/>
      </w:pPr>
      <w:r>
        <w:rPr>
          <w:bCs/>
          <w:b/>
        </w:rPr>
        <w:t xml:space="preserve">澳大利亚模式。</w:t>
      </w:r>
      <w:r>
        <w:t xml:space="preserve"> </w:t>
      </w:r>
      <w:r>
        <w:t xml:space="preserve">墨尔本大学Cantoni团队 [7-15] 将大规模灌溉网络控制作为系统工程问题，强调分布式控制架构设计与实验验证的结合。这一模式对CHS的支柱C（系统工程）有直接参考价值。澳大利亚的Murray-Darling流域管理经验表明，在复杂流域治理体系下推行技术创新，制度设计与技术设计必须同步——这与CHS对治理维度的强调高度一致。</w:t>
      </w:r>
    </w:p>
    <w:p>
      <w:pPr>
        <w:pStyle w:val="BodyText"/>
      </w:pPr>
      <w:r>
        <w:rPr>
          <w:bCs/>
          <w:b/>
        </w:rPr>
        <w:t xml:space="preserve">美国模式。</w:t>
      </w:r>
      <w:r>
        <w:t xml:space="preserve"> </w:t>
      </w:r>
      <w:r>
        <w:t xml:space="preserve">美国垦务局（USBR）与ASCE的合作，通过Canal Automation Manual [7-12] 形成了行业指南+测试基准+工程案例的三位一体推广体系，对CHS的标准化和继续教育有重要借鉴意义。这一模式的核心优势是”可操作性强”——工程师拿到手册就能开始实施，不需要先读完学位课程。</w:t>
      </w:r>
    </w:p>
    <w:p>
      <w:pPr>
        <w:pStyle w:val="BodyText"/>
      </w:pPr>
      <w:r>
        <w:t xml:space="preserve">这三种模式各有侧重，CHS的路径应取其综合——在理论深度上对标荷兰，在系统工程上对标澳大利亚，在行业推广上对标美国。</w:t>
      </w:r>
    </w:p>
    <w:p>
      <w:r>
        <w:pict>
          <v:rect style="width:0;height:1.5pt" o:hralign="center" o:hrstd="t" o:hr="t"/>
        </w:pict>
      </w:r>
    </w:p>
    <w:bookmarkEnd w:id="47"/>
    <w:bookmarkEnd w:id="48"/>
    <w:bookmarkStart w:id="52" w:name="十年路线图20262035"/>
    <w:p>
      <w:pPr>
        <w:pStyle w:val="Heading2"/>
      </w:pPr>
      <w:r>
        <w:t xml:space="preserve">7.7 十年路线图（2026—2035）</w:t>
      </w:r>
    </w:p>
    <w:p>
      <w:pPr>
        <w:pStyle w:val="BlockText"/>
      </w:pPr>
      <w:r>
        <w:t xml:space="preserve">图7-2: CHS学科建设十年路线图（2026—2035）。图示内容：以时间轴为横轴展示三个阶段，纵轴分四条平行主线——课程体系、实践平台、标准化、国际合作。阶段I（2026-2028）蓝色浅底，阶段II（2029-2031）蓝色中底，阶段III（2032-2035）蓝色深底。每条主线在每个阶段有1-2个里程碑标注。课程线：先导教材→跨校联合→国际课程包。平台线：教学沙盘→数字孪生基准→互联平台。标准线：术语统一→测试规范→国际标准。合作线：IAHR工作组→联合培养→产业生态。</w:t>
      </w:r>
    </w:p>
    <w:bookmarkStart w:id="49" w:name="阶段i基础建设期20262028"/>
    <w:p>
      <w:pPr>
        <w:pStyle w:val="Heading3"/>
      </w:pPr>
      <w:r>
        <w:t xml:space="preserve">7.7.1 阶段I：基础建设期（2026—2028）</w:t>
      </w:r>
    </w:p>
    <w:p>
      <w:pPr>
        <w:pStyle w:val="FirstParagraph"/>
      </w:pPr>
      <w:r>
        <w:t xml:space="preserve">三年内完成四项基础工作：</w:t>
      </w:r>
      <w:r>
        <w:rPr>
          <w:bCs/>
          <w:b/>
        </w:rPr>
        <w:t xml:space="preserve">完成先导教材</w:t>
      </w:r>
      <w:r>
        <w:t xml:space="preserve">，即本书（T1系列）和配套课件的定稿出版；</w:t>
      </w:r>
      <w:r>
        <w:rPr>
          <w:bCs/>
          <w:b/>
        </w:rPr>
        <w:t xml:space="preserve">建立核心课程</w:t>
      </w:r>
      <w:r>
        <w:t xml:space="preserve">，在2-3所高校开设CHS相关交叉选修课；</w:t>
      </w:r>
      <w:r>
        <w:rPr>
          <w:bCs/>
          <w:b/>
        </w:rPr>
        <w:t xml:space="preserve">搭建教学沙盘</w:t>
      </w:r>
      <w:r>
        <w:t xml:space="preserve">，至少有一个可用于课堂教学的仿真平台；</w:t>
      </w:r>
      <w:r>
        <w:rPr>
          <w:bCs/>
          <w:b/>
        </w:rPr>
        <w:t xml:space="preserve">启动术语标准化</w:t>
      </w:r>
      <w:r>
        <w:t xml:space="preserve">，发布CHS中英文核心术语对照表并提交IAHR审议。</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KPI</w:t>
            </w:r>
          </w:p>
        </w:tc>
        <w:tc>
          <w:tcPr/>
          <w:p>
            <w:pPr>
              <w:pStyle w:val="Compact"/>
              <w:jc w:val="left"/>
            </w:pPr>
            <w:r>
              <w:t xml:space="preserve">2026年底</w:t>
            </w:r>
          </w:p>
        </w:tc>
        <w:tc>
          <w:tcPr/>
          <w:p>
            <w:pPr>
              <w:pStyle w:val="Compact"/>
              <w:jc w:val="left"/>
            </w:pPr>
            <w:r>
              <w:t xml:space="preserve">2027年底</w:t>
            </w:r>
          </w:p>
        </w:tc>
        <w:tc>
          <w:tcPr/>
          <w:p>
            <w:pPr>
              <w:pStyle w:val="Compact"/>
              <w:jc w:val="left"/>
            </w:pPr>
            <w:r>
              <w:t xml:space="preserve">2028年底</w:t>
            </w:r>
          </w:p>
        </w:tc>
      </w:tr>
      <w:tr>
        <w:tc>
          <w:tcPr/>
          <w:p>
            <w:pPr>
              <w:pStyle w:val="Compact"/>
              <w:jc w:val="left"/>
            </w:pPr>
            <w:r>
              <w:t xml:space="preserve">出版教材</w:t>
            </w:r>
          </w:p>
        </w:tc>
        <w:tc>
          <w:tcPr/>
          <w:p>
            <w:pPr>
              <w:pStyle w:val="Compact"/>
              <w:jc w:val="left"/>
            </w:pPr>
            <w:r>
              <w:t xml:space="preserve">T1-CN定稿</w:t>
            </w:r>
          </w:p>
        </w:tc>
        <w:tc>
          <w:tcPr/>
          <w:p>
            <w:pPr>
              <w:pStyle w:val="Compact"/>
              <w:jc w:val="left"/>
            </w:pPr>
            <w:r>
              <w:t xml:space="preserve">T1-EN出版</w:t>
            </w:r>
          </w:p>
        </w:tc>
        <w:tc>
          <w:tcPr/>
          <w:p>
            <w:pPr>
              <w:pStyle w:val="Compact"/>
              <w:jc w:val="left"/>
            </w:pPr>
            <w:r>
              <w:t xml:space="preserve">T2a-CN启动</w:t>
            </w:r>
          </w:p>
        </w:tc>
      </w:tr>
      <w:tr>
        <w:tc>
          <w:tcPr/>
          <w:p>
            <w:pPr>
              <w:pStyle w:val="Compact"/>
              <w:jc w:val="left"/>
            </w:pPr>
            <w:r>
              <w:t xml:space="preserve">课程开设</w:t>
            </w:r>
          </w:p>
        </w:tc>
        <w:tc>
          <w:tcPr/>
          <w:p>
            <w:pPr>
              <w:pStyle w:val="Compact"/>
              <w:jc w:val="left"/>
            </w:pPr>
            <w:r>
              <w:t xml:space="preserve">1所高校试点</w:t>
            </w:r>
          </w:p>
        </w:tc>
        <w:tc>
          <w:tcPr/>
          <w:p>
            <w:pPr>
              <w:pStyle w:val="Compact"/>
              <w:jc w:val="left"/>
            </w:pPr>
            <w:r>
              <w:t xml:space="preserve">3所高校开课</w:t>
            </w:r>
          </w:p>
        </w:tc>
        <w:tc>
          <w:tcPr/>
          <w:p>
            <w:pPr>
              <w:pStyle w:val="Compact"/>
              <w:jc w:val="left"/>
            </w:pPr>
            <w:r>
              <w:t xml:space="preserve">5所高校使用教材</w:t>
            </w:r>
          </w:p>
        </w:tc>
      </w:tr>
      <w:tr>
        <w:tc>
          <w:tcPr/>
          <w:p>
            <w:pPr>
              <w:pStyle w:val="Compact"/>
              <w:jc w:val="left"/>
            </w:pPr>
            <w:r>
              <w:t xml:space="preserve">教学沙盘</w:t>
            </w:r>
          </w:p>
        </w:tc>
        <w:tc>
          <w:tcPr/>
          <w:p>
            <w:pPr>
              <w:pStyle w:val="Compact"/>
              <w:jc w:val="left"/>
            </w:pPr>
            <w:r>
              <w:t xml:space="preserve">原型可用</w:t>
            </w:r>
          </w:p>
        </w:tc>
        <w:tc>
          <w:tcPr/>
          <w:p>
            <w:pPr>
              <w:pStyle w:val="Compact"/>
              <w:jc w:val="left"/>
            </w:pPr>
            <w:r>
              <w:t xml:space="preserve">覆盖2个典型场景</w:t>
            </w:r>
          </w:p>
        </w:tc>
        <w:tc>
          <w:tcPr/>
          <w:p>
            <w:pPr>
              <w:pStyle w:val="Compact"/>
              <w:jc w:val="left"/>
            </w:pPr>
            <w:r>
              <w:t xml:space="preserve">开放下载</w:t>
            </w:r>
          </w:p>
        </w:tc>
      </w:tr>
      <w:tr>
        <w:tc>
          <w:tcPr/>
          <w:p>
            <w:pPr>
              <w:pStyle w:val="Compact"/>
              <w:jc w:val="left"/>
            </w:pPr>
            <w:r>
              <w:t xml:space="preserve">术语标准</w:t>
            </w:r>
          </w:p>
        </w:tc>
        <w:tc>
          <w:tcPr/>
          <w:p>
            <w:pPr>
              <w:pStyle w:val="Compact"/>
              <w:jc w:val="left"/>
            </w:pPr>
            <w:r>
              <w:t xml:space="preserve">内部统一</w:t>
            </w:r>
          </w:p>
        </w:tc>
        <w:tc>
          <w:tcPr/>
          <w:p>
            <w:pPr>
              <w:pStyle w:val="Compact"/>
              <w:jc w:val="left"/>
            </w:pPr>
            <w:r>
              <w:t xml:space="preserve">IAHR审议</w:t>
            </w:r>
          </w:p>
        </w:tc>
        <w:tc>
          <w:tcPr/>
          <w:p>
            <w:pPr>
              <w:pStyle w:val="Compact"/>
              <w:jc w:val="left"/>
            </w:pPr>
            <w:r>
              <w:t xml:space="preserve">中英文对照表发布</w:t>
            </w:r>
          </w:p>
        </w:tc>
      </w:tr>
    </w:tbl>
    <w:bookmarkEnd w:id="49"/>
    <w:bookmarkStart w:id="50" w:name="阶段ii规模扩展期20292031"/>
    <w:p>
      <w:pPr>
        <w:pStyle w:val="Heading3"/>
      </w:pPr>
      <w:r>
        <w:t xml:space="preserve">7.7.2 阶段II：规模扩展期（2029—2031）</w:t>
      </w:r>
    </w:p>
    <w:p>
      <w:pPr>
        <w:pStyle w:val="FirstParagraph"/>
      </w:pPr>
      <w:r>
        <w:t xml:space="preserve">在基础建设之上扩展规模：</w:t>
      </w:r>
      <w:r>
        <w:rPr>
          <w:bCs/>
          <w:b/>
        </w:rPr>
        <w:t xml:space="preserve">形成跨校联合培养</w:t>
      </w:r>
      <w:r>
        <w:t xml:space="preserve">，建立3-5所高校参与的CHS研究生联合培养协议；</w:t>
      </w:r>
      <w:r>
        <w:rPr>
          <w:bCs/>
          <w:b/>
        </w:rPr>
        <w:t xml:space="preserve">完善数字孪生基准</w:t>
      </w:r>
      <w:r>
        <w:t xml:space="preserve">，建立行业级在环测试基准库（参见第三章原理五）；</w:t>
      </w:r>
      <w:r>
        <w:rPr>
          <w:bCs/>
          <w:b/>
        </w:rPr>
        <w:t xml:space="preserve">启动行业认证</w:t>
      </w:r>
      <w:r>
        <w:t xml:space="preserve">，与水利主管部门合作设计CHS岗位能力认证体系；</w:t>
      </w:r>
      <w:r>
        <w:rPr>
          <w:bCs/>
          <w:b/>
        </w:rPr>
        <w:t xml:space="preserve">扩大区域示范</w:t>
      </w:r>
      <w:r>
        <w:t xml:space="preserve">，在5-10个工程项目中完成L2→L3的能力升级。</w:t>
      </w:r>
    </w:p>
    <w:p>
      <w:pPr>
        <w:pStyle w:val="BodyText"/>
      </w:pPr>
      <w:r>
        <w:t xml:space="preserve">这一阶段的评价指标：联合培养研究生≥50人/年，认证体系覆盖≥3类岗位，示范工程达到L3级≥5个。</w:t>
      </w:r>
    </w:p>
    <w:bookmarkEnd w:id="50"/>
    <w:bookmarkStart w:id="51" w:name="阶段iii生态成熟期20322035"/>
    <w:p>
      <w:pPr>
        <w:pStyle w:val="Heading3"/>
      </w:pPr>
      <w:r>
        <w:t xml:space="preserve">7.7.3 阶段III：生态成熟期（2032—2035）</w:t>
      </w:r>
    </w:p>
    <w:p>
      <w:pPr>
        <w:pStyle w:val="FirstParagraph"/>
      </w:pPr>
      <w:r>
        <w:t xml:space="preserve">推动国际标准化对接和产业生态形成：</w:t>
      </w:r>
      <w:r>
        <w:rPr>
          <w:bCs/>
          <w:b/>
        </w:rPr>
        <w:t xml:space="preserve">发布国际标准</w:t>
      </w:r>
      <w:r>
        <w:t xml:space="preserve">，推动WNAL分级和ODD定义进入IAHR或ISO标准体系；</w:t>
      </w:r>
      <w:r>
        <w:rPr>
          <w:bCs/>
          <w:b/>
        </w:rPr>
        <w:t xml:space="preserve">形成可输出的课程包</w:t>
      </w:r>
      <w:r>
        <w:t xml:space="preserve">，包括教材、课件、沙盘软件和认证考核标准的完整打包；</w:t>
      </w:r>
      <w:r>
        <w:rPr>
          <w:bCs/>
          <w:b/>
        </w:rPr>
        <w:t xml:space="preserve">建立产学研闭环</w:t>
      </w:r>
      <w:r>
        <w:t xml:space="preserve">，使CHS研究成果能够通过标准化流程进入工程应用，工程需求能够通过学术渠道转化为研究课题。</w:t>
      </w:r>
    </w:p>
    <w:p>
      <w:pPr>
        <w:pStyle w:val="BodyText"/>
      </w:pPr>
      <w:r>
        <w:t xml:space="preserve">这一阶段的标志性成果是：任何一个流域管理机构，即使没有CHS核心团队的直接参与，也能够通过”课程包+平台+认证”三位一体的标准化体系，独立完成从人才培训到系统部署的全流程——这才是”学科成熟”的真正含义。</w:t>
      </w:r>
    </w:p>
    <w:p>
      <w:r>
        <w:pict>
          <v:rect style="width:0;height:1.5pt" o:hralign="center" o:hrstd="t" o:hr="t"/>
        </w:pict>
      </w:r>
    </w:p>
    <w:bookmarkEnd w:id="51"/>
    <w:bookmarkEnd w:id="52"/>
    <w:bookmarkStart w:id="56" w:name="机构推进指南"/>
    <w:p>
      <w:pPr>
        <w:pStyle w:val="Heading2"/>
      </w:pPr>
      <w:r>
        <w:t xml:space="preserve">7.8 机构推进指南</w:t>
      </w:r>
    </w:p>
    <w:bookmarkStart w:id="53" w:name="天启动计划"/>
    <w:p>
      <w:pPr>
        <w:pStyle w:val="Heading3"/>
      </w:pPr>
      <w:r>
        <w:t xml:space="preserve">7.8.1 90天启动计划</w:t>
      </w:r>
    </w:p>
    <w:p>
      <w:pPr>
        <w:pStyle w:val="FirstParagraph"/>
      </w:pPr>
      <w:r>
        <w:t xml:space="preserve">对于希望启动CHS能力建设的流域机构或调度中心，建议按以下最小可行路径推进：</w:t>
      </w:r>
    </w:p>
    <w:p>
      <w:pPr>
        <w:pStyle w:val="BodyText"/>
      </w:pPr>
      <w:r>
        <w:rPr>
          <w:bCs/>
          <w:b/>
        </w:rPr>
        <w:t xml:space="preserve">第1—30天：统一语言。</w:t>
      </w:r>
      <w:r>
        <w:t xml:space="preserve"> </w:t>
      </w:r>
      <w:r>
        <w:t xml:space="preserve">完成术语与符号对齐——至少在团队内部建立对WNAL等级、ODD、Safety Envelope、四态机等核心概念的一致理解。明确各概念的责任人。建立跨岗位周例会机制，每周一次30分钟的”概念对齐”讨论。</w:t>
      </w:r>
    </w:p>
    <w:p>
      <w:pPr>
        <w:pStyle w:val="BodyText"/>
      </w:pPr>
      <w:r>
        <w:rPr>
          <w:bCs/>
          <w:b/>
        </w:rPr>
        <w:t xml:space="preserve">第31—60天：打通流程。</w:t>
      </w:r>
      <w:r>
        <w:t xml:space="preserve"> </w:t>
      </w:r>
      <w:r>
        <w:t xml:space="preserve">在教学沙盘或仿真环境中完成至少2个异常场景的联调——让调度、算法、运维三方在同一场景中各自执行各自的角色，暴露理解偏差。建立”策略变更→仿真验证→审批发布”的最小流程。发布首版岗位能力矩阵。</w:t>
      </w:r>
    </w:p>
    <w:p>
      <w:pPr>
        <w:pStyle w:val="BodyText"/>
      </w:pPr>
      <w:r>
        <w:rPr>
          <w:bCs/>
          <w:b/>
        </w:rPr>
        <w:t xml:space="preserve">第61—90天：形成闭环。</w:t>
      </w:r>
      <w:r>
        <w:t xml:space="preserve"> </w:t>
      </w:r>
      <w:r>
        <w:t xml:space="preserve">开展一次全流程在环演练——从工况模拟到策略响应到人工接管到复盘记录的完整链路。输出复盘报告和整改清单。将关键指标纳入季度考核——至少包括”异常场景响应时间”</w:t>
      </w:r>
      <w:r>
        <w:t xml:space="preserve">“</w:t>
      </w:r>
      <w:r>
        <w:t xml:space="preserve">接管操作规范执行率</w:t>
      </w:r>
      <w:r>
        <w:t xml:space="preserve">”</w:t>
      </w:r>
      <w:r>
        <w:t xml:space="preserve">“</w:t>
      </w:r>
      <w:r>
        <w:t xml:space="preserve">复盘报告完成率</w:t>
      </w:r>
      <w:r>
        <w:t xml:space="preserve">”</w:t>
      </w:r>
      <w:r>
        <w:t xml:space="preserve">三项。</w:t>
      </w:r>
    </w:p>
    <w:bookmarkEnd w:id="53"/>
    <w:bookmarkStart w:id="54" w:name="典型启动案例某省级调水工程管理处"/>
    <w:p>
      <w:pPr>
        <w:pStyle w:val="Heading3"/>
      </w:pPr>
      <w:r>
        <w:t xml:space="preserve">7.8.2 典型启动案例：某省级调水工程管理处</w:t>
      </w:r>
    </w:p>
    <w:p>
      <w:pPr>
        <w:pStyle w:val="FirstParagraph"/>
      </w:pPr>
      <w:r>
        <w:t xml:space="preserve">以下是一个根据多个工程实践综合提炼的典型启动过程。该管理处下辖三个管理段、一个调度中心和一个信息中心，现有人员约120人，系统处于WNAL L1-L2之间。</w:t>
      </w:r>
    </w:p>
    <w:p>
      <w:pPr>
        <w:pStyle w:val="BodyText"/>
      </w:pPr>
      <w:r>
        <w:rPr>
          <w:bCs/>
          <w:b/>
        </w:rPr>
        <w:t xml:space="preserve">第一阶段反馈（30天后）</w:t>
      </w:r>
      <w:r>
        <w:t xml:space="preserve">：通过术语对齐，调度中心首次建立了”ODD”的概念——此前所有运行规程中没有明确的”系统有效运行范围”定义，导致异常事件处置时，判断标准完全依赖个人经验。管理处决定先针对”输水流量突变&gt;20%</w:t>
      </w:r>
      <w:r>
        <w:t xml:space="preserve">“</w:t>
      </w:r>
      <w:r>
        <w:t xml:space="preserve">和</w:t>
      </w:r>
      <w:r>
        <w:t xml:space="preserve">”</w:t>
      </w:r>
      <w:r>
        <w:t xml:space="preserve">多站通信中断&gt;3站”两个场景定义初版ODD边界。</w:t>
      </w:r>
    </w:p>
    <w:p>
      <w:pPr>
        <w:pStyle w:val="BodyText"/>
      </w:pPr>
      <w:r>
        <w:rPr>
          <w:bCs/>
          <w:b/>
        </w:rPr>
        <w:t xml:space="preserve">第二阶段反馈（60天后）</w:t>
      </w:r>
      <w:r>
        <w:t xml:space="preserve">：在仿真环境联调中，发现了一个长期存在但从未被正式识别的问题：调度员习惯性地在MPC建议方案基础上”手动微调”闸门开度，但这些微调从未被记录也从未被评估其对下游的影响。联调暴露了这一”隐性操作”的存在，并推动建立了”策略偏离记录”机制。</w:t>
      </w:r>
    </w:p>
    <w:p>
      <w:pPr>
        <w:pStyle w:val="BodyText"/>
      </w:pPr>
      <w:r>
        <w:rPr>
          <w:bCs/>
          <w:b/>
        </w:rPr>
        <w:t xml:space="preserve">第三阶段反馈（90天后）</w:t>
      </w:r>
      <w:r>
        <w:t xml:space="preserve">：首次全流程演练中，从异常工况触发到四态机进入”受限态”再到人工接管，全流程耗时从此前的”无标准可参考”缩短到有明确的15分钟目标。更重要的是，三个岗位首次使用统一的状态迁移语言讨论问题——这正是引导案例中缺失的”共同控制语言”。</w:t>
      </w:r>
    </w:p>
    <w:bookmarkEnd w:id="54"/>
    <w:bookmarkStart w:id="55" w:name="常见推进失败点与纠偏"/>
    <w:p>
      <w:pPr>
        <w:pStyle w:val="Heading3"/>
      </w:pPr>
      <w:r>
        <w:t xml:space="preserve">7.8.3 常见推进失败点与纠偏</w:t>
      </w:r>
    </w:p>
    <w:p>
      <w:pPr>
        <w:pStyle w:val="FirstParagraph"/>
      </w:pPr>
      <w:r>
        <w:t xml:space="preserve">根据工程实践经验，以下五种失败模式最为常见：</w:t>
      </w:r>
    </w:p>
    <w:p>
      <w:pPr>
        <w:pStyle w:val="BodyText"/>
      </w:pPr>
      <w:r>
        <w:rPr>
          <w:bCs/>
          <w:b/>
        </w:rPr>
        <w:t xml:space="preserve">失败一：把培训当宣讲。</w:t>
      </w:r>
      <w:r>
        <w:t xml:space="preserve"> </w:t>
      </w:r>
      <w:r>
        <w:t xml:space="preserve">只讲理念不做演练，导致现场不会用。</w:t>
      </w:r>
      <w:r>
        <w:rPr>
          <w:bCs/>
          <w:b/>
        </w:rPr>
        <w:t xml:space="preserve">纠偏</w:t>
      </w:r>
      <w:r>
        <w:t xml:space="preserve">：每次培训必须包含至少30%的实操环节——看PPT不等于学会操作。</w:t>
      </w:r>
    </w:p>
    <w:p>
      <w:pPr>
        <w:pStyle w:val="BodyText"/>
      </w:pPr>
      <w:r>
        <w:rPr>
          <w:bCs/>
          <w:b/>
        </w:rPr>
        <w:t xml:space="preserve">失败二：把平台当展示。</w:t>
      </w:r>
      <w:r>
        <w:t xml:space="preserve"> </w:t>
      </w:r>
      <w:r>
        <w:t xml:space="preserve">重可视化轻闭环，大屏好看但不能支撑真实决策。</w:t>
      </w:r>
      <w:r>
        <w:rPr>
          <w:bCs/>
          <w:b/>
        </w:rPr>
        <w:t xml:space="preserve">纠偏</w:t>
      </w:r>
      <w:r>
        <w:t xml:space="preserve">：平台的评价标准不是”领导参观时是否好看”，而是”调度员日常工作时是否在用”。</w:t>
      </w:r>
    </w:p>
    <w:p>
      <w:pPr>
        <w:pStyle w:val="BodyText"/>
      </w:pPr>
      <w:r>
        <w:rPr>
          <w:bCs/>
          <w:b/>
        </w:rPr>
        <w:t xml:space="preserve">失败三：把算法当替代。</w:t>
      </w:r>
      <w:r>
        <w:t xml:space="preserve"> </w:t>
      </w:r>
      <w:r>
        <w:t xml:space="preserve">认为”上了AI就不需要人了”，忽视接管与审计。</w:t>
      </w:r>
      <w:r>
        <w:rPr>
          <w:bCs/>
          <w:b/>
        </w:rPr>
        <w:t xml:space="preserve">纠偏</w:t>
      </w:r>
      <w:r>
        <w:t xml:space="preserve">：任何自动化策略上线前，必须同步设计人工接管流程和审计记录机制——这是WNAL分级的基本要求（第四章§4.5）。</w:t>
      </w:r>
    </w:p>
    <w:p>
      <w:pPr>
        <w:pStyle w:val="BodyText"/>
      </w:pPr>
      <w:r>
        <w:rPr>
          <w:bCs/>
          <w:b/>
        </w:rPr>
        <w:t xml:space="preserve">失败四：把试点当终点。</w:t>
      </w:r>
      <w:r>
        <w:t xml:space="preserve"> </w:t>
      </w:r>
      <w:r>
        <w:t xml:space="preserve">一个工程做完后没有复盘和标准化，经验留在少数人脑中。</w:t>
      </w:r>
      <w:r>
        <w:rPr>
          <w:bCs/>
          <w:b/>
        </w:rPr>
        <w:t xml:space="preserve">纠偏</w:t>
      </w:r>
      <w:r>
        <w:t xml:space="preserve">：每个试点必须产出可迁移的三项交付物：运行手册、测试用例集和复盘报告。</w:t>
      </w:r>
    </w:p>
    <w:p>
      <w:pPr>
        <w:pStyle w:val="BodyText"/>
      </w:pPr>
      <w:r>
        <w:rPr>
          <w:bCs/>
          <w:b/>
        </w:rPr>
        <w:t xml:space="preserve">失败五：把指标当结果。</w:t>
      </w:r>
      <w:r>
        <w:t xml:space="preserve"> </w:t>
      </w:r>
      <w:r>
        <w:t xml:space="preserve">只追单项指标（如节能率）而忽视安全与组织韧性。</w:t>
      </w:r>
      <w:r>
        <w:rPr>
          <w:bCs/>
          <w:b/>
        </w:rPr>
        <w:t xml:space="preserve">纠偏</w:t>
      </w:r>
      <w:r>
        <w:t xml:space="preserve">：评价体系必须是多维的——安全、稳定、经济、服务、治理五个维度缺一不可（参见第六章评价模板）。</w:t>
      </w:r>
    </w:p>
    <w:p>
      <w:r>
        <w:pict>
          <v:rect style="width:0;height:1.5pt" o:hralign="center" o:hrstd="t" o:hr="t"/>
        </w:pict>
      </w:r>
    </w:p>
    <w:bookmarkEnd w:id="55"/>
    <w:bookmarkEnd w:id="56"/>
    <w:bookmarkStart w:id="57" w:name="本章小结与第八章衔接"/>
    <w:p>
      <w:pPr>
        <w:pStyle w:val="Heading2"/>
      </w:pPr>
      <w:r>
        <w:t xml:space="preserve">本章小结与第八章衔接</w:t>
      </w:r>
    </w:p>
    <w:p>
      <w:pPr>
        <w:pStyle w:val="FirstParagraph"/>
      </w:pPr>
      <w:r>
        <w:t xml:space="preserve">学科前景的本质，不是”新名词是否流行”，而是能否形成稳定的人才供给与能力升级机制。本章提出了CHS学科建设的完整框架：四类复合能力定义了”培养什么人”，四支柱课程体系解决了”教什么”，三层培养路径回答了”怎么教”，三级实践平台保障了”在哪里练”，IAHR和SWAN等国际平台提供了”与谁合作”，十年路线图给出了”走多快”。</w:t>
      </w:r>
    </w:p>
    <w:p>
      <w:pPr>
        <w:pStyle w:val="BodyText"/>
      </w:pPr>
      <w:r>
        <w:t xml:space="preserve">回到本章引导案例：如果那次演练发生在CHS学科体系成熟之后，调度员、算法工程师和运维人员将共享WNAL和四态机的概念语言，在数字孪生平台上经历过类似场景的联合演练，并持有相应等级的岗位能力认证。他们或许仍会面对技术困难，但不会面对”无法对话”的困境——因为学科的价值正在于此：它不是让每个人都成为全才，而是让不同专长的人具备协作的共同基础。</w:t>
      </w:r>
    </w:p>
    <w:p>
      <w:pPr>
        <w:pStyle w:val="BodyText"/>
      </w:pPr>
      <w:r>
        <w:t xml:space="preserve">然而，学科建设终究是手段而非目的。最终目的是让水利基础设施从依赖少数专家的经验驱动，走向可复制、可验证、可持续演进的自主运行。第八章将从更高视角回顾全书主线，展望从SCADA时代到自主运行生态的十年路径，回答一个总结性问题：</w:t>
      </w:r>
      <w:r>
        <w:t xml:space="preserve">“</w:t>
      </w:r>
      <w:r>
        <w:t xml:space="preserve">从今天到水网自主运行，我们还差哪些关键条件？</w:t>
      </w:r>
      <w:r>
        <w:t xml:space="preserve">”</w:t>
      </w:r>
    </w:p>
    <w:p>
      <w:r>
        <w:pict>
          <v:rect style="width:0;height:1.5pt" o:hralign="center" o:hrstd="t" o:hr="t"/>
        </w:pict>
      </w:r>
    </w:p>
    <w:bookmarkEnd w:id="57"/>
    <w:bookmarkStart w:id="58" w:name="推荐阅读"/>
    <w:p>
      <w:pPr>
        <w:pStyle w:val="Heading2"/>
      </w:pPr>
      <w:r>
        <w:t xml:space="preserve">推荐阅读</w:t>
      </w:r>
    </w:p>
    <w:p>
      <w:pPr>
        <w:numPr>
          <w:ilvl w:val="0"/>
          <w:numId w:val="1001"/>
        </w:numPr>
      </w:pPr>
      <w:r>
        <w:rPr>
          <w:bCs/>
          <w:b/>
        </w:rPr>
        <w:t xml:space="preserve">Litrico X, Fromion V.</w:t>
      </w:r>
      <w:r>
        <w:rPr>
          <w:bCs/>
          <w:b/>
        </w:rPr>
        <w:t xml:space="preserve"> </w:t>
      </w:r>
      <w:r>
        <w:rPr>
          <w:iCs/>
          <w:i/>
          <w:bCs/>
          <w:b/>
        </w:rPr>
        <w:t xml:space="preserve">Modeling and Control of Hydrosystems</w:t>
      </w:r>
      <w:r>
        <w:rPr>
          <w:bCs/>
          <w:b/>
        </w:rPr>
        <w:t xml:space="preserve"> </w:t>
      </w:r>
      <w:r>
        <w:rPr>
          <w:bCs/>
          <w:b/>
        </w:rPr>
        <w:t xml:space="preserve">[M]. London: Springer, 2009.</w:t>
      </w:r>
      <w:r>
        <w:t xml:space="preserve"> </w:t>
      </w:r>
      <w:r>
        <w:t xml:space="preserve">用传递函数方法统一处理明渠控制问题的开创性教材，最能体现”水工机理+控制理论”跨学科融合的写作范式，是支柱A课程设计的核心参考。</w:t>
      </w:r>
    </w:p>
    <w:p>
      <w:pPr>
        <w:numPr>
          <w:ilvl w:val="0"/>
          <w:numId w:val="1001"/>
        </w:numPr>
      </w:pPr>
      <w:r>
        <w:rPr>
          <w:bCs/>
          <w:b/>
        </w:rPr>
        <w:t xml:space="preserve">Leveson N G.</w:t>
      </w:r>
      <w:r>
        <w:rPr>
          <w:bCs/>
          <w:b/>
        </w:rPr>
        <w:t xml:space="preserve"> </w:t>
      </w:r>
      <w:r>
        <w:rPr>
          <w:iCs/>
          <w:i/>
          <w:bCs/>
          <w:b/>
        </w:rPr>
        <w:t xml:space="preserve">Engineering a Safer World: Systems Thinking Applied to Safety</w:t>
      </w:r>
      <w:r>
        <w:rPr>
          <w:bCs/>
          <w:b/>
        </w:rPr>
        <w:t xml:space="preserve"> </w:t>
      </w:r>
      <w:r>
        <w:rPr>
          <w:bCs/>
          <w:b/>
        </w:rPr>
        <w:t xml:space="preserve">[M]. Cambridge: MIT Press, 2011.</w:t>
      </w:r>
      <w:r>
        <w:t xml:space="preserve"> </w:t>
      </w:r>
      <w:r>
        <w:t xml:space="preserve">系统安全工程领域的奠基之作，对理解水利工程运行治理中”技术-组织-管理”耦合失效有重要启发，是支柱D课程设计的理论基础。</w:t>
      </w:r>
    </w:p>
    <w:p>
      <w:pPr>
        <w:numPr>
          <w:ilvl w:val="0"/>
          <w:numId w:val="1001"/>
        </w:numPr>
      </w:pPr>
      <w:r>
        <w:rPr>
          <w:bCs/>
          <w:b/>
        </w:rPr>
        <w:t xml:space="preserve">Senge P M.</w:t>
      </w:r>
      <w:r>
        <w:rPr>
          <w:bCs/>
          <w:b/>
        </w:rPr>
        <w:t xml:space="preserve"> </w:t>
      </w:r>
      <w:r>
        <w:rPr>
          <w:iCs/>
          <w:i/>
          <w:bCs/>
          <w:b/>
        </w:rPr>
        <w:t xml:space="preserve">The Fifth Discipline: The Art and Practice of the Learning Organization</w:t>
      </w:r>
      <w:r>
        <w:rPr>
          <w:bCs/>
          <w:b/>
        </w:rPr>
        <w:t xml:space="preserve"> </w:t>
      </w:r>
      <w:r>
        <w:rPr>
          <w:bCs/>
          <w:b/>
        </w:rPr>
        <w:t xml:space="preserve">[M]. Revised ed. New York: Doubleday, 2006.</w:t>
      </w:r>
      <w:r>
        <w:t xml:space="preserve"> </w:t>
      </w:r>
      <w:r>
        <w:t xml:space="preserve">组织学习理论经典，对理解水利行业存量人才转型中的”心智模式”惯性有独到分析，适合关注行业能力升级路径的管理者阅读。</w:t>
      </w:r>
    </w:p>
    <w:p>
      <w:pPr>
        <w:numPr>
          <w:ilvl w:val="0"/>
          <w:numId w:val="1001"/>
        </w:numPr>
      </w:pPr>
      <w:r>
        <w:rPr>
          <w:bCs/>
          <w:b/>
        </w:rPr>
        <w:t xml:space="preserve">ASCE Task Committee on Canal Automation.</w:t>
      </w:r>
      <w:r>
        <w:rPr>
          <w:bCs/>
          <w:b/>
        </w:rPr>
        <w:t xml:space="preserve"> </w:t>
      </w:r>
      <w:r>
        <w:rPr>
          <w:iCs/>
          <w:i/>
          <w:bCs/>
          <w:b/>
        </w:rPr>
        <w:t xml:space="preserve">Canal Automation for Irrigation Systems: ASCE MOP No. 131</w:t>
      </w:r>
      <w:r>
        <w:rPr>
          <w:bCs/>
          <w:b/>
        </w:rPr>
        <w:t xml:space="preserve"> </w:t>
      </w:r>
      <w:r>
        <w:rPr>
          <w:bCs/>
          <w:b/>
        </w:rPr>
        <w:t xml:space="preserve">[M]. Reston: ASCE, 2014.</w:t>
      </w:r>
      <w:r>
        <w:t xml:space="preserve"> </w:t>
      </w:r>
      <w:r>
        <w:t xml:space="preserve">渠道自动化领域最权威的行业指南，其”指南+基准+案例”三位一体的推广体系对CHS的标准化和继续教育路径设计有直接借鉴价值。</w:t>
      </w:r>
    </w:p>
    <w:p>
      <w:pPr>
        <w:numPr>
          <w:ilvl w:val="0"/>
          <w:numId w:val="1001"/>
        </w:numPr>
      </w:pPr>
      <w:r>
        <w:rPr>
          <w:bCs/>
          <w:b/>
        </w:rPr>
        <w:t xml:space="preserve">Savic D A, Morley M S, Khoury M. Serious gaming for water systems planning and management [J].</w:t>
      </w:r>
      <w:r>
        <w:rPr>
          <w:bCs/>
          <w:b/>
        </w:rPr>
        <w:t xml:space="preserve"> </w:t>
      </w:r>
      <w:r>
        <w:rPr>
          <w:iCs/>
          <w:i/>
          <w:bCs/>
          <w:b/>
        </w:rPr>
        <w:t xml:space="preserve">Water</w:t>
      </w:r>
      <w:r>
        <w:rPr>
          <w:bCs/>
          <w:b/>
        </w:rPr>
        <w:t xml:space="preserve">, 2016, 8(10): 456.</w:t>
      </w:r>
      <w:r>
        <w:t xml:space="preserve"> </w:t>
      </w:r>
      <w:r>
        <w:t xml:space="preserve">首次系统论述”严肃游戏”在水系统人才培养中的应用，对理解沉浸式仿真教学的价值和设计原则有重要参考意义。</w:t>
      </w:r>
    </w:p>
    <w:p>
      <w:r>
        <w:pict>
          <v:rect style="width:0;height:1.5pt" o:hralign="center" o:hrstd="t" o:hr="t"/>
        </w:pict>
      </w:r>
    </w:p>
    <w:bookmarkEnd w:id="58"/>
    <w:bookmarkStart w:id="59" w:name="本章练习与思考题"/>
    <w:p>
      <w:pPr>
        <w:pStyle w:val="Heading2"/>
      </w:pPr>
      <w:r>
        <w:t xml:space="preserve">本章练习与思考题</w:t>
      </w:r>
    </w:p>
    <w:p>
      <w:pPr>
        <w:pStyle w:val="FirstParagraph"/>
      </w:pPr>
      <w:r>
        <w:rPr>
          <w:bCs/>
          <w:b/>
        </w:rPr>
        <w:t xml:space="preserve">基础理解</w:t>
      </w:r>
    </w:p>
    <w:p>
      <w:pPr>
        <w:numPr>
          <w:ilvl w:val="0"/>
          <w:numId w:val="1002"/>
        </w:numPr>
      </w:pPr>
      <w:r>
        <w:t xml:space="preserve">请用一句话分别解释”技术成功”和”学科成形”的区别，并说明引导案例中暴露的问题属于哪一类。</w:t>
      </w:r>
    </w:p>
    <w:p>
      <w:pPr>
        <w:numPr>
          <w:ilvl w:val="0"/>
          <w:numId w:val="1002"/>
        </w:numPr>
      </w:pPr>
      <w:r>
        <w:t xml:space="preserve">CHS四类复合能力分别是什么？请为每类能力举一个水利工程中的典型工作场景。</w:t>
      </w:r>
    </w:p>
    <w:p>
      <w:pPr>
        <w:numPr>
          <w:ilvl w:val="0"/>
          <w:numId w:val="1002"/>
        </w:numPr>
      </w:pPr>
      <w:r>
        <w:t xml:space="preserve">四支柱课程体系与四类复合能力如何对应？请画出对应关系图并简要说明每个支柱的核心目标。</w:t>
      </w:r>
    </w:p>
    <w:p>
      <w:pPr>
        <w:pStyle w:val="FirstParagraph"/>
      </w:pPr>
      <w:r>
        <w:rPr>
          <w:bCs/>
          <w:b/>
        </w:rPr>
        <w:t xml:space="preserve">应用分析</w:t>
      </w:r>
    </w:p>
    <w:p>
      <w:pPr>
        <w:numPr>
          <w:ilvl w:val="0"/>
          <w:numId w:val="1003"/>
        </w:numPr>
      </w:pPr>
      <w:r>
        <w:t xml:space="preserve">假设你所在的调水管理处目前处于WNAL L1水平，参照表7-2（WNAL等级与能力需求对应表），分析从L1升级到L2需要重点补强哪类人才能力，并设计一个为期6个月的能力提升方案。</w:t>
      </w:r>
    </w:p>
    <w:p>
      <w:pPr>
        <w:numPr>
          <w:ilvl w:val="0"/>
          <w:numId w:val="1003"/>
        </w:numPr>
      </w:pPr>
      <w:r>
        <w:t xml:space="preserve">某水利高校计划开设一门面向研究生的CHS交叉课程（32学时），请参照§7.3.5的综合设计课程模板，设计一个缩减版的8周课程方案，说明每周涉及哪些支柱的任务以及最终考核方式。</w:t>
      </w:r>
    </w:p>
    <w:p>
      <w:pPr>
        <w:numPr>
          <w:ilvl w:val="0"/>
          <w:numId w:val="1003"/>
        </w:numPr>
      </w:pPr>
      <w:r>
        <w:t xml:space="preserve">如果要为一个拥有80人的流域调度中心实施90天CHS启动计划（§7.8.1），你预计在每个阶段最可能遇到的阻力是什么？如何参照§7.8.3的失败模式进行预防？</w:t>
      </w:r>
    </w:p>
    <w:p>
      <w:pPr>
        <w:pStyle w:val="FirstParagraph"/>
      </w:pPr>
      <w:r>
        <w:rPr>
          <w:bCs/>
          <w:b/>
        </w:rPr>
        <w:t xml:space="preserve">开放思考</w:t>
      </w:r>
    </w:p>
    <w:p>
      <w:pPr>
        <w:numPr>
          <w:ilvl w:val="0"/>
          <w:numId w:val="1004"/>
        </w:numPr>
      </w:pPr>
      <w:r>
        <w:t xml:space="preserve">第七章提出了荷兰、澳大利亚和美国三种国际模式。如果中国要形成自己的CHS人才培养模式，你认为应当侧重借鉴哪种模式？是否存在第四种可能的路径？请结合中国水利行业的特点论述。</w:t>
      </w:r>
    </w:p>
    <w:p>
      <w:pPr>
        <w:numPr>
          <w:ilvl w:val="0"/>
          <w:numId w:val="1004"/>
        </w:numPr>
      </w:pPr>
      <w:r>
        <w:t xml:space="preserve">CHS十年路线图（§7.7）将2032—2035定义为”生态成熟期”，其标志是”任何机构无需核心团队参与即可独立完成全流程”。你认为这一目标是否过于乐观？实现这一目标的最大瓶颈在哪里？请从技术、制度和人才三个维度分析。</w:t>
      </w:r>
    </w:p>
    <w:p>
      <w:r>
        <w:pict>
          <v:rect style="width:0;height:1.5pt" o:hralign="center" o:hrstd="t" o:hr="t"/>
        </w:pict>
      </w:r>
    </w:p>
    <w:bookmarkEnd w:id="59"/>
    <w:bookmarkStart w:id="60" w:name="本章术语表"/>
    <w:p>
      <w:pPr>
        <w:pStyle w:val="Heading2"/>
      </w:pPr>
      <w:r>
        <w:t xml:space="preserve">本章术语表</w:t>
      </w:r>
    </w:p>
    <w:tbl>
      <w:tblPr>
        <w:tblStyle w:val="Table"/>
        <w:tblW w:type="pct" w:w="5000"/>
        <w:tblLook w:firstRow="1" w:lastRow="0" w:firstColumn="0" w:lastColumn="0" w:noHBand="0" w:noVBand="0" w:val="0020"/>
        <w:jc w:val="start"/>
      </w:tblPr>
      <w:tblGrid>
        <w:gridCol w:w="1760"/>
        <w:gridCol w:w="1760"/>
        <w:gridCol w:w="1760"/>
        <w:gridCol w:w="2640"/>
      </w:tblGrid>
      <w:tr>
        <w:trPr>
          <w:tblHeader w:val="true"/>
        </w:trPr>
        <w:tc>
          <w:tcPr/>
          <w:p>
            <w:pPr>
              <w:pStyle w:val="Compact"/>
              <w:jc w:val="left"/>
            </w:pPr>
            <w:r>
              <w:t xml:space="preserve">中文</w:t>
            </w:r>
          </w:p>
        </w:tc>
        <w:tc>
          <w:tcPr/>
          <w:p>
            <w:pPr>
              <w:pStyle w:val="Compact"/>
              <w:jc w:val="left"/>
            </w:pPr>
            <w:r>
              <w:t xml:space="preserve">英文</w:t>
            </w:r>
          </w:p>
        </w:tc>
        <w:tc>
          <w:tcPr/>
          <w:p>
            <w:pPr>
              <w:pStyle w:val="Compact"/>
              <w:jc w:val="left"/>
            </w:pPr>
            <w:r>
              <w:t xml:space="preserve">定义</w:t>
            </w:r>
          </w:p>
        </w:tc>
        <w:tc>
          <w:tcPr/>
          <w:p>
            <w:pPr>
              <w:pStyle w:val="Compact"/>
              <w:jc w:val="left"/>
            </w:pPr>
            <w:r>
              <w:t xml:space="preserve">首次出现</w:t>
            </w:r>
          </w:p>
        </w:tc>
      </w:tr>
      <w:tr>
        <w:tc>
          <w:tcPr/>
          <w:p>
            <w:pPr>
              <w:pStyle w:val="Compact"/>
              <w:jc w:val="left"/>
            </w:pPr>
            <w:r>
              <w:t xml:space="preserve">四类复合能力</w:t>
            </w:r>
          </w:p>
        </w:tc>
        <w:tc>
          <w:tcPr/>
          <w:p>
            <w:pPr>
              <w:pStyle w:val="Compact"/>
              <w:jc w:val="left"/>
            </w:pPr>
            <w:r>
              <w:t xml:space="preserve">Four Competency Model</w:t>
            </w:r>
          </w:p>
        </w:tc>
        <w:tc>
          <w:tcPr/>
          <w:p>
            <w:pPr>
              <w:pStyle w:val="Compact"/>
              <w:jc w:val="left"/>
            </w:pPr>
            <w:r>
              <w:t xml:space="preserve">CHS人才需具备的水工机理、控制优化、智能软件、治理安全四类交叉能力</w:t>
            </w:r>
          </w:p>
        </w:tc>
        <w:tc>
          <w:tcPr/>
          <w:p>
            <w:pPr>
              <w:pStyle w:val="Compact"/>
              <w:jc w:val="left"/>
            </w:pPr>
            <w:r>
              <w:t xml:space="preserve">§7.2</w:t>
            </w:r>
          </w:p>
        </w:tc>
      </w:tr>
      <w:tr>
        <w:tc>
          <w:tcPr/>
          <w:p>
            <w:pPr>
              <w:pStyle w:val="Compact"/>
              <w:jc w:val="left"/>
            </w:pPr>
            <w:r>
              <w:t xml:space="preserve">四支柱课程体系</w:t>
            </w:r>
          </w:p>
        </w:tc>
        <w:tc>
          <w:tcPr/>
          <w:p>
            <w:pPr>
              <w:pStyle w:val="Compact"/>
              <w:jc w:val="left"/>
            </w:pPr>
            <w:r>
              <w:t xml:space="preserve">Four-Pillar Curriculum</w:t>
            </w:r>
          </w:p>
        </w:tc>
        <w:tc>
          <w:tcPr/>
          <w:p>
            <w:pPr>
              <w:pStyle w:val="Compact"/>
              <w:jc w:val="left"/>
            </w:pPr>
            <w:r>
              <w:t xml:space="preserve">与四类能力对应的课程架构：建模控制、智能算法、系统工程、运行治理</w:t>
            </w:r>
          </w:p>
        </w:tc>
        <w:tc>
          <w:tcPr/>
          <w:p>
            <w:pPr>
              <w:pStyle w:val="Compact"/>
              <w:jc w:val="left"/>
            </w:pPr>
            <w:r>
              <w:t xml:space="preserve">§7.3</w:t>
            </w:r>
          </w:p>
        </w:tc>
      </w:tr>
      <w:tr>
        <w:tc>
          <w:tcPr/>
          <w:p>
            <w:pPr>
              <w:pStyle w:val="Compact"/>
              <w:jc w:val="left"/>
            </w:pPr>
            <w:r>
              <w:t xml:space="preserve">三级实践平台</w:t>
            </w:r>
          </w:p>
        </w:tc>
        <w:tc>
          <w:tcPr/>
          <w:p>
            <w:pPr>
              <w:pStyle w:val="Compact"/>
              <w:jc w:val="left"/>
            </w:pPr>
            <w:r>
              <w:t xml:space="preserve">Three-Tier Practice Platform</w:t>
            </w:r>
          </w:p>
        </w:tc>
        <w:tc>
          <w:tcPr/>
          <w:p>
            <w:pPr>
              <w:pStyle w:val="Compact"/>
              <w:jc w:val="left"/>
            </w:pPr>
            <w:r>
              <w:t xml:space="preserve">教学沙盘→数字孪生→现场试点的递进式实训体系</w:t>
            </w:r>
          </w:p>
        </w:tc>
        <w:tc>
          <w:tcPr/>
          <w:p>
            <w:pPr>
              <w:pStyle w:val="Compact"/>
              <w:jc w:val="left"/>
            </w:pPr>
            <w:r>
              <w:t xml:space="preserve">§7.5</w:t>
            </w:r>
          </w:p>
        </w:tc>
      </w:tr>
      <w:tr>
        <w:tc>
          <w:tcPr/>
          <w:p>
            <w:pPr>
              <w:pStyle w:val="Compact"/>
              <w:jc w:val="left"/>
            </w:pPr>
            <w:r>
              <w:t xml:space="preserve">继续教育</w:t>
            </w:r>
          </w:p>
        </w:tc>
        <w:tc>
          <w:tcPr/>
          <w:p>
            <w:pPr>
              <w:pStyle w:val="Compact"/>
              <w:jc w:val="left"/>
            </w:pPr>
            <w:r>
              <w:t xml:space="preserve">Continuing Education</w:t>
            </w:r>
          </w:p>
        </w:tc>
        <w:tc>
          <w:tcPr/>
          <w:p>
            <w:pPr>
              <w:pStyle w:val="Compact"/>
              <w:jc w:val="left"/>
            </w:pPr>
            <w:r>
              <w:t xml:space="preserve">面向在岗工程师的模块化能力升级培训体系</w:t>
            </w:r>
          </w:p>
        </w:tc>
        <w:tc>
          <w:tcPr/>
          <w:p>
            <w:pPr>
              <w:pStyle w:val="Compact"/>
              <w:jc w:val="left"/>
            </w:pPr>
            <w:r>
              <w:t xml:space="preserve">§7.4</w:t>
            </w:r>
          </w:p>
        </w:tc>
      </w:tr>
      <w:tr>
        <w:tc>
          <w:tcPr/>
          <w:p>
            <w:pPr>
              <w:pStyle w:val="Compact"/>
              <w:jc w:val="left"/>
            </w:pPr>
            <w:r>
              <w:t xml:space="preserve">共识语义层</w:t>
            </w:r>
          </w:p>
        </w:tc>
        <w:tc>
          <w:tcPr/>
          <w:p>
            <w:pPr>
              <w:pStyle w:val="Compact"/>
              <w:jc w:val="left"/>
            </w:pPr>
            <w:r>
              <w:t xml:space="preserve">Consensus Semantic Layer</w:t>
            </w:r>
          </w:p>
        </w:tc>
        <w:tc>
          <w:tcPr/>
          <w:p>
            <w:pPr>
              <w:pStyle w:val="Compact"/>
              <w:jc w:val="left"/>
            </w:pPr>
            <w:r>
              <w:t xml:space="preserve">术语、等级、边界条件在学术与产业间的一致性标准</w:t>
            </w:r>
          </w:p>
        </w:tc>
        <w:tc>
          <w:tcPr/>
          <w:p>
            <w:pPr>
              <w:pStyle w:val="Compact"/>
              <w:jc w:val="left"/>
            </w:pPr>
            <w:r>
              <w:t xml:space="preserve">§7.6</w:t>
            </w:r>
          </w:p>
        </w:tc>
      </w:tr>
      <w:tr>
        <w:tc>
          <w:tcPr/>
          <w:p>
            <w:pPr>
              <w:pStyle w:val="Compact"/>
              <w:jc w:val="left"/>
            </w:pPr>
            <w:r>
              <w:t xml:space="preserve">边界对象</w:t>
            </w:r>
          </w:p>
        </w:tc>
        <w:tc>
          <w:tcPr/>
          <w:p>
            <w:pPr>
              <w:pStyle w:val="Compact"/>
              <w:jc w:val="left"/>
            </w:pPr>
            <w:r>
              <w:t xml:space="preserve">Boundary Object</w:t>
            </w:r>
          </w:p>
        </w:tc>
        <w:tc>
          <w:tcPr/>
          <w:p>
            <w:pPr>
              <w:pStyle w:val="Compact"/>
              <w:jc w:val="left"/>
            </w:pPr>
            <w:r>
              <w:t xml:space="preserve">跨学科团队用于建立共识的共享概念或工具</w:t>
            </w:r>
          </w:p>
        </w:tc>
        <w:tc>
          <w:tcPr/>
          <w:p>
            <w:pPr>
              <w:pStyle w:val="Compact"/>
              <w:jc w:val="left"/>
            </w:pPr>
            <w:r>
              <w:t xml:space="preserve">§7.1</w:t>
            </w:r>
          </w:p>
        </w:tc>
      </w:tr>
      <w:tr>
        <w:tc>
          <w:tcPr/>
          <w:p>
            <w:pPr>
              <w:pStyle w:val="Compact"/>
              <w:jc w:val="left"/>
            </w:pPr>
            <w:r>
              <w:t xml:space="preserve">IAHR</w:t>
            </w:r>
          </w:p>
        </w:tc>
        <w:tc>
          <w:tcPr/>
          <w:p>
            <w:pPr>
              <w:pStyle w:val="Compact"/>
              <w:jc w:val="left"/>
            </w:pPr>
            <w:r>
              <w:t xml:space="preserve">International Association for Hydro-Environment Engineering and Research</w:t>
            </w:r>
          </w:p>
        </w:tc>
        <w:tc>
          <w:tcPr/>
          <w:p>
            <w:pPr>
              <w:pStyle w:val="Compact"/>
              <w:jc w:val="left"/>
            </w:pPr>
            <w:r>
              <w:t xml:space="preserve">国际水利与环境工程学会</w:t>
            </w:r>
          </w:p>
        </w:tc>
        <w:tc>
          <w:tcPr/>
          <w:p>
            <w:pPr>
              <w:pStyle w:val="Compact"/>
              <w:jc w:val="left"/>
            </w:pPr>
            <w:r>
              <w:t xml:space="preserve">§7.6</w:t>
            </w:r>
          </w:p>
        </w:tc>
      </w:tr>
      <w:tr>
        <w:tc>
          <w:tcPr/>
          <w:p>
            <w:pPr>
              <w:pStyle w:val="Compact"/>
              <w:jc w:val="left"/>
            </w:pPr>
            <w:r>
              <w:t xml:space="preserve">SWAN</w:t>
            </w:r>
          </w:p>
        </w:tc>
        <w:tc>
          <w:tcPr/>
          <w:p>
            <w:pPr>
              <w:pStyle w:val="Compact"/>
              <w:jc w:val="left"/>
            </w:pPr>
            <w:r>
              <w:t xml:space="preserve">Smart Water Networks Forum</w:t>
            </w:r>
          </w:p>
        </w:tc>
        <w:tc>
          <w:tcPr/>
          <w:p>
            <w:pPr>
              <w:pStyle w:val="Compact"/>
              <w:jc w:val="left"/>
            </w:pPr>
            <w:r>
              <w:t xml:space="preserve">全球智慧水务产业联盟</w:t>
            </w:r>
          </w:p>
        </w:tc>
        <w:tc>
          <w:tcPr/>
          <w:p>
            <w:pPr>
              <w:pStyle w:val="Compact"/>
              <w:jc w:val="left"/>
            </w:pPr>
            <w:r>
              <w:t xml:space="preserve">§7.6</w:t>
            </w:r>
          </w:p>
        </w:tc>
      </w:tr>
      <w:tr>
        <w:tc>
          <w:tcPr/>
          <w:p>
            <w:pPr>
              <w:pStyle w:val="Compact"/>
              <w:jc w:val="left"/>
            </w:pPr>
            <w:r>
              <w:t xml:space="preserve">灰度上线</w:t>
            </w:r>
          </w:p>
        </w:tc>
        <w:tc>
          <w:tcPr/>
          <w:p>
            <w:pPr>
              <w:pStyle w:val="Compact"/>
              <w:jc w:val="left"/>
            </w:pPr>
            <w:r>
              <w:t xml:space="preserve">Canary Release</w:t>
            </w:r>
          </w:p>
        </w:tc>
        <w:tc>
          <w:tcPr/>
          <w:p>
            <w:pPr>
              <w:pStyle w:val="Compact"/>
              <w:jc w:val="left"/>
            </w:pPr>
            <w:r>
              <w:t xml:space="preserve">新策略逐步部署、保留回滚能力的受控发布方式</w:t>
            </w:r>
          </w:p>
        </w:tc>
        <w:tc>
          <w:tcPr/>
          <w:p>
            <w:pPr>
              <w:pStyle w:val="Compact"/>
              <w:jc w:val="left"/>
            </w:pPr>
            <w:r>
              <w:t xml:space="preserve">§7.5</w:t>
            </w:r>
          </w:p>
        </w:tc>
      </w:tr>
      <w:tr>
        <w:tc>
          <w:tcPr/>
          <w:p>
            <w:pPr>
              <w:pStyle w:val="Compact"/>
              <w:jc w:val="left"/>
            </w:pPr>
            <w:r>
              <w:t xml:space="preserve">岗位能力认证</w:t>
            </w:r>
          </w:p>
        </w:tc>
        <w:tc>
          <w:tcPr/>
          <w:p>
            <w:pPr>
              <w:pStyle w:val="Compact"/>
              <w:jc w:val="left"/>
            </w:pPr>
            <w:r>
              <w:t xml:space="preserve">Professional Competency Certification</w:t>
            </w:r>
          </w:p>
        </w:tc>
        <w:tc>
          <w:tcPr/>
          <w:p>
            <w:pPr>
              <w:pStyle w:val="Compact"/>
              <w:jc w:val="left"/>
            </w:pPr>
            <w:r>
              <w:t xml:space="preserve">针对CHS相关岗位的分级能力认证体系</w:t>
            </w:r>
          </w:p>
        </w:tc>
        <w:tc>
          <w:tcPr/>
          <w:p>
            <w:pPr>
              <w:pStyle w:val="Compact"/>
              <w:jc w:val="left"/>
            </w:pPr>
            <w:r>
              <w:t xml:space="preserve">§7.4</w:t>
            </w:r>
          </w:p>
        </w:tc>
      </w:tr>
    </w:tbl>
    <w:p>
      <w:r>
        <w:pict>
          <v:rect style="width:0;height:1.5pt" o:hralign="center" o:hrstd="t" o:hr="t"/>
        </w:pict>
      </w:r>
    </w:p>
    <w:bookmarkEnd w:id="60"/>
    <w:bookmarkStart w:id="61" w:name="本章参考文献"/>
    <w:p>
      <w:pPr>
        <w:pStyle w:val="Heading2"/>
      </w:pPr>
      <w:r>
        <w:t xml:space="preserve">本章参考文献</w:t>
      </w:r>
    </w:p>
    <w:p>
      <w:pPr>
        <w:pStyle w:val="BlockText"/>
      </w:pPr>
      <w:r>
        <w:rPr>
          <w:bCs/>
          <w:b/>
        </w:rPr>
        <w:t xml:space="preserve">核实说明</w:t>
      </w:r>
      <w:r>
        <w:t xml:space="preserve">：标注 ✅ 为经搜索核实的文献；⚠️ 为基本信息可信但部分细节待确认的文献；👉 为作者本人论文需自行补充完整信息。定稿前务必逐条核对，删除本说明段。</w:t>
      </w:r>
    </w:p>
    <w:p>
      <w:pPr>
        <w:pStyle w:val="FirstParagraph"/>
      </w:pPr>
      <w:r>
        <w:t xml:space="preserve">[7-1] Oki T, Kanae S. Global hydrological cycles and world water resources [J]. Science, 2006, 313(5790): 1068-1072. ✅</w:t>
      </w:r>
    </w:p>
    <w:p>
      <w:pPr>
        <w:pStyle w:val="BodyText"/>
      </w:pPr>
      <w:r>
        <w:t xml:space="preserve">[7-2] Loucks D P, van Beek E. Water Resource Systems Planning and Management: An Introduction to Methods, Models, and Applications [M]. Cham: Springer, 2017. ✅</w:t>
      </w:r>
    </w:p>
    <w:p>
      <w:pPr>
        <w:pStyle w:val="BodyText"/>
      </w:pPr>
      <w:r>
        <w:t xml:space="preserve">[7-3] Litrico X, Fromion V. Modeling and Control of Hydrosystems [M]. London: Springer, 2009. ✅</w:t>
      </w:r>
    </w:p>
    <w:p>
      <w:pPr>
        <w:pStyle w:val="BodyText"/>
      </w:pPr>
      <w:r>
        <w:t xml:space="preserve">[7-4] Russell S, Norvig P. Artificial Intelligence: A Modern Approach [M]. 4th ed. Hoboken: Pearson, 2021. ✅</w:t>
      </w:r>
    </w:p>
    <w:p>
      <w:pPr>
        <w:pStyle w:val="BodyText"/>
      </w:pPr>
      <w:r>
        <w:t xml:space="preserve">[7-5] Savic D A, Morley M S, Khoury M. Serious gaming for water systems planning and management [J]. Water, 2016, 8(10): 456. ✅</w:t>
      </w:r>
    </w:p>
    <w:p>
      <w:pPr>
        <w:pStyle w:val="BodyText"/>
      </w:pPr>
      <w:r>
        <w:t xml:space="preserve">[7-6] Leveson N G. Engineering a Safer World: Systems Thinking Applied to Safety [M]. Cambridge: MIT Press, 2011. ✅</w:t>
      </w:r>
    </w:p>
    <w:p>
      <w:pPr>
        <w:pStyle w:val="BodyText"/>
      </w:pPr>
      <w:r>
        <w:t xml:space="preserve">[7-7] Muste M, Lee K, Bertrand-Krajewski J L. Integrated Experimental Methods and Uncertainty Estimation in Hydraulics [M]. Singapore: Springer, 2022. ⚠️</w:t>
      </w:r>
    </w:p>
    <w:p>
      <w:pPr>
        <w:pStyle w:val="BodyText"/>
      </w:pPr>
      <w:r>
        <w:t xml:space="preserve">[7-8] IAHR. Strategic Plan 2020-2030 [R]. Beijing: IAHR, 2020. ⚠️</w:t>
      </w:r>
    </w:p>
    <w:p>
      <w:pPr>
        <w:pStyle w:val="BodyText"/>
      </w:pPr>
      <w:r>
        <w:t xml:space="preserve">[7-9] 武汉大学水利水电学院. 水利类专业本科培养方案 [R]. 武汉: 武汉大学, 2023. ⚠️</w:t>
      </w:r>
    </w:p>
    <w:p>
      <w:pPr>
        <w:pStyle w:val="BodyText"/>
      </w:pPr>
      <w:r>
        <w:t xml:space="preserve">[7-10] 清华大学水利水电工程系. 智慧水利交叉方向研究生培养方案 [R]. 北京: 清华大学, 2024. ⚠️</w:t>
      </w:r>
    </w:p>
    <w:p>
      <w:pPr>
        <w:pStyle w:val="BodyText"/>
      </w:pPr>
      <w:r>
        <w:t xml:space="preserve">[7-11] Pendleton S D, Andersen H, Du X, et al. Perception, planning, control, and coordination for autonomous vehicles [J]. Machines, 2017, 5(1): 6. ✅</w:t>
      </w:r>
    </w:p>
    <w:p>
      <w:pPr>
        <w:pStyle w:val="BodyText"/>
      </w:pPr>
      <w:r>
        <w:t xml:space="preserve">[7-12] ASCE Task Committee on Canal Automation. Canal Automation for Irrigation Systems: ASCE Manuals and Reports on Engineering Practice No. 131 [M]. Reston: ASCE, 2014. ✅</w:t>
      </w:r>
    </w:p>
    <w:p>
      <w:pPr>
        <w:pStyle w:val="BodyText"/>
      </w:pPr>
      <w:r>
        <w:t xml:space="preserve">[7-13] SWAN Forum. Smart Water Networks: Technology Trends, Applications, and Leading Practices [R]. London: SWAN, 2023. ⚠️</w:t>
      </w:r>
    </w:p>
    <w:p>
      <w:pPr>
        <w:pStyle w:val="BodyText"/>
      </w:pPr>
      <w:r>
        <w:t xml:space="preserve">[7-14] Van Overloop P J. Model Predictive Control on Open Water Systems [D]. Delft: Delft University of Technology, 2006. ✅</w:t>
      </w:r>
    </w:p>
    <w:p>
      <w:pPr>
        <w:pStyle w:val="BodyText"/>
      </w:pPr>
      <w:r>
        <w:t xml:space="preserve">[7-15] Cantoni M, Weyer E, Li Y, et al. Control of large-scale irrigation networks [J]. Proceedings of the IEEE, 2007, 95(1): 75-91. ✅</w:t>
      </w:r>
    </w:p>
    <w:p>
      <w:pPr>
        <w:pStyle w:val="BodyText"/>
      </w:pPr>
      <w:r>
        <w:t xml:space="preserve">[7-16] Borg S G. Reconceptualizing Approaches to PhD Interdisciplinarity [J]. Studies in Higher Education, 2016, 41(1): 115-130. ⚠️</w:t>
      </w:r>
    </w:p>
    <w:p>
      <w:pPr>
        <w:pStyle w:val="BodyText"/>
      </w:pPr>
      <w:r>
        <w:t xml:space="preserve">[7-17] Senge P M. The Fifth Discipline: The Art and Practice of the Learning Organization [M]. Revised ed. New York: Doubleday, 2006. ✅</w:t>
      </w:r>
    </w:p>
    <w:p>
      <w:pPr>
        <w:pStyle w:val="BodyText"/>
      </w:pPr>
      <w:r>
        <w:t xml:space="preserve">[7-18] Garrido-Baserba M, Corominas L, Cortés U, et al. The fourth-revolution in the water sector encounters the digital revolution [J]. Environmental Science &amp; Technology, 2020, 54(8): 4698-4705. ✅</w:t>
      </w:r>
    </w:p>
    <w:p>
      <w:pPr>
        <w:pStyle w:val="BodyText"/>
      </w:pPr>
      <w:r>
        <w:t xml:space="preserve">[7-19] IHE Delft Institute for Water Education. Water Science and Engineering Programme Curriculum [R]. Delft: IHE Delft, 2023. ⚠️</w:t>
      </w:r>
    </w:p>
    <w:p>
      <w:r>
        <w:pict>
          <v:rect style="width:0;height:1.5pt" o:hralign="center" o:hrstd="t" o:hr="t"/>
        </w:pict>
      </w:r>
    </w:p>
    <w:p>
      <w:pPr>
        <w:pStyle w:val="FirstParagraph"/>
      </w:pPr>
      <w:r>
        <w:rPr>
          <w:bCs/>
          <w:b/>
        </w:rPr>
        <w:t xml:space="preserve">出版前核验提示</w:t>
      </w:r>
      <w:r>
        <w:t xml:space="preserve">：</w:t>
      </w:r>
      <w:r>
        <w:t xml:space="preserve"> </w:t>
      </w:r>
      <w:r>
        <w:t xml:space="preserve">1. 图7-1四类能力雷达图需与第四章WNAL分级表中的能力要求保持一致。</w:t>
      </w:r>
      <w:r>
        <w:t xml:space="preserve"> </w:t>
      </w:r>
      <w:r>
        <w:t xml:space="preserve">2. 图7-2路线图需与第八章§8.2十年路线图在时间节点和阶段划分上完全一致。</w:t>
      </w:r>
      <w:r>
        <w:t xml:space="preserve"> </w:t>
      </w:r>
      <w:r>
        <w:t xml:space="preserve">3. 表7-1学科对标分析中的IFAC和IEEE信息需核实最新动态。</w:t>
      </w:r>
      <w:r>
        <w:t xml:space="preserve"> </w:t>
      </w:r>
      <w:r>
        <w:t xml:space="preserve">4. 表7.3.5综合设计课程模板中的周数为建议值，定稿前需与试点高校确认。</w:t>
      </w:r>
      <w:r>
        <w:t xml:space="preserve"> </w:t>
      </w:r>
      <w:r>
        <w:t xml:space="preserve">5. 继续教育模块化培训表中的时长为建议值，需根据实际培训反馈调整。</w:t>
      </w:r>
      <w:r>
        <w:t xml:space="preserve"> </w:t>
      </w:r>
      <w:r>
        <w:t xml:space="preserve">6. §7.3.6国际课程对标中的IHE Delft课程信息需核实当前培养方案。</w:t>
      </w:r>
      <w:r>
        <w:t xml:space="preserve"> </w:t>
      </w:r>
      <w:r>
        <w:t xml:space="preserve">7. §7.5.2三级平台技术规格表中的投资估算为概略数，需根据市场报价更新。</w:t>
      </w:r>
      <w:r>
        <w:t xml:space="preserve"> </w:t>
      </w:r>
      <w:r>
        <w:t xml:space="preserve">8. §7.6.3国际对标中的荷兰/澳大利亚/美国模式为概括性描述，定稿前建议补充具体案例或引用。</w:t>
      </w:r>
      <w:r>
        <w:t xml:space="preserve"> </w:t>
      </w:r>
      <w:r>
        <w:t xml:space="preserve">9. §7.8.2启动案例为多工程综合提炼的典型场景，不指向任何特定工程。</w:t>
      </w:r>
      <w:r>
        <w:t xml:space="preserve"> </w:t>
      </w:r>
      <w:r>
        <w:t xml:space="preserve">10. 引导案例为多工程综合提炼的典型场景，不指向任何特定工程。</w:t>
      </w:r>
      <w:r>
        <w:t xml:space="preserve"> </w:t>
      </w:r>
      <w:r>
        <w:t xml:space="preserve">11. [7-16]和[7-19]的引用信息需进一步核实完整性。</w:t>
      </w:r>
    </w:p>
    <w:bookmarkEnd w:id="61"/>
    <w:bookmarkEnd w:id="6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14">
    <w:nsid w:val="A99414"/>
    <w:multiLevelType w:val="multilevel"/>
    <w:lvl w:ilvl="0">
      <w:start w:val="4"/>
      <w:numFmt w:val="decimal"/>
      <w:lvlText w:val="%1."/>
      <w:lvlJc w:val="left"/>
      <w:pPr>
        <w:ind w:left="720" w:hanging="480"/>
      </w:pPr>
    </w:lvl>
    <w:lvl w:ilvl="1">
      <w:start w:val="4"/>
      <w:numFmt w:val="decimal"/>
      <w:lvlText w:val="%2."/>
      <w:lvlJc w:val="left"/>
      <w:pPr>
        <w:ind w:left="1440" w:hanging="480"/>
      </w:pPr>
    </w:lvl>
    <w:lvl w:ilvl="2">
      <w:start w:val="4"/>
      <w:numFmt w:val="decimal"/>
      <w:lvlText w:val="%3."/>
      <w:lvlJc w:val="left"/>
      <w:pPr>
        <w:ind w:left="2160" w:hanging="480"/>
      </w:pPr>
    </w:lvl>
    <w:lvl w:ilvl="3">
      <w:start w:val="4"/>
      <w:numFmt w:val="decimal"/>
      <w:lvlText w:val="%4."/>
      <w:lvlJc w:val="left"/>
      <w:pPr>
        <w:ind w:left="2880" w:hanging="480"/>
      </w:pPr>
    </w:lvl>
    <w:lvl w:ilvl="4">
      <w:start w:val="4"/>
      <w:numFmt w:val="decimal"/>
      <w:lvlText w:val="%5."/>
      <w:lvlJc w:val="left"/>
      <w:pPr>
        <w:ind w:left="3600" w:hanging="480"/>
      </w:pPr>
    </w:lvl>
    <w:lvl w:ilvl="5">
      <w:start w:val="4"/>
      <w:numFmt w:val="decimal"/>
      <w:lvlText w:val="%6."/>
      <w:lvlJc w:val="left"/>
      <w:pPr>
        <w:ind w:left="4320" w:hanging="480"/>
      </w:pPr>
    </w:lvl>
    <w:lvl w:ilvl="6">
      <w:start w:val="4"/>
      <w:numFmt w:val="decimal"/>
      <w:lvlText w:val="%7."/>
      <w:lvlJc w:val="left"/>
      <w:pPr>
        <w:ind w:left="5040" w:hanging="480"/>
      </w:pPr>
    </w:lvl>
    <w:lvl w:ilvl="7">
      <w:start w:val="4"/>
      <w:numFmt w:val="decimal"/>
      <w:lvlText w:val="%8."/>
      <w:lvlJc w:val="left"/>
      <w:pPr>
        <w:ind w:left="5760" w:hanging="480"/>
      </w:pPr>
    </w:lvl>
    <w:lvl w:ilvl="8">
      <w:start w:val="4"/>
      <w:numFmt w:val="decimal"/>
      <w:lvlText w:val="%9."/>
      <w:lvlJc w:val="left"/>
      <w:pPr>
        <w:ind w:left="6480" w:hanging="480"/>
      </w:pPr>
    </w:lvl>
  </w:abstractNum>
  <w:abstractNum w:abstractNumId="99417">
    <w:nsid w:val="A99417"/>
    <w:multiLevelType w:val="multilevel"/>
    <w:lvl w:ilvl="0">
      <w:start w:val="7"/>
      <w:numFmt w:val="decimal"/>
      <w:lvlText w:val="%1."/>
      <w:lvlJc w:val="left"/>
      <w:pPr>
        <w:ind w:left="720" w:hanging="480"/>
      </w:pPr>
    </w:lvl>
    <w:lvl w:ilvl="1">
      <w:start w:val="7"/>
      <w:numFmt w:val="decimal"/>
      <w:lvlText w:val="%2."/>
      <w:lvlJc w:val="left"/>
      <w:pPr>
        <w:ind w:left="1440" w:hanging="480"/>
      </w:pPr>
    </w:lvl>
    <w:lvl w:ilvl="2">
      <w:start w:val="7"/>
      <w:numFmt w:val="decimal"/>
      <w:lvlText w:val="%3."/>
      <w:lvlJc w:val="left"/>
      <w:pPr>
        <w:ind w:left="2160" w:hanging="480"/>
      </w:pPr>
    </w:lvl>
    <w:lvl w:ilvl="3">
      <w:start w:val="7"/>
      <w:numFmt w:val="decimal"/>
      <w:lvlText w:val="%4."/>
      <w:lvlJc w:val="left"/>
      <w:pPr>
        <w:ind w:left="2880" w:hanging="480"/>
      </w:pPr>
    </w:lvl>
    <w:lvl w:ilvl="4">
      <w:start w:val="7"/>
      <w:numFmt w:val="decimal"/>
      <w:lvlText w:val="%5."/>
      <w:lvlJc w:val="left"/>
      <w:pPr>
        <w:ind w:left="3600" w:hanging="480"/>
      </w:pPr>
    </w:lvl>
    <w:lvl w:ilvl="5">
      <w:start w:val="7"/>
      <w:numFmt w:val="decimal"/>
      <w:lvlText w:val="%6."/>
      <w:lvlJc w:val="left"/>
      <w:pPr>
        <w:ind w:left="4320" w:hanging="480"/>
      </w:pPr>
    </w:lvl>
    <w:lvl w:ilvl="6">
      <w:start w:val="7"/>
      <w:numFmt w:val="decimal"/>
      <w:lvlText w:val="%7."/>
      <w:lvlJc w:val="left"/>
      <w:pPr>
        <w:ind w:left="5040" w:hanging="480"/>
      </w:pPr>
    </w:lvl>
    <w:lvl w:ilvl="7">
      <w:start w:val="7"/>
      <w:numFmt w:val="decimal"/>
      <w:lvlText w:val="%8."/>
      <w:lvlJc w:val="left"/>
      <w:pPr>
        <w:ind w:left="5760" w:hanging="480"/>
      </w:pPr>
    </w:lvl>
    <w:lvl w:ilvl="8">
      <w:start w:val="7"/>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04">
    <w:abstractNumId w:val="9941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2026-02-20T07:22:45Z</dcterms:created>
  <dcterms:modified xsi:type="dcterms:W3CDTF">2026-02-20T07:22:45Z</dcterms:modified>
</cp:coreProperties>
</file>

<file path=docProps/custom.xml><?xml version="1.0" encoding="utf-8"?>
<Properties xmlns="http://schemas.openxmlformats.org/officeDocument/2006/custom-properties" xmlns:vt="http://schemas.openxmlformats.org/officeDocument/2006/docPropsVTypes"/>
</file>